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910825027"/>
        <w:docPartObj>
          <w:docPartGallery w:val="Cover Pages"/>
          <w:docPartUnique/>
        </w:docPartObj>
      </w:sdtPr>
      <w:sdtEndPr>
        <w:rPr>
          <w:rFonts w:ascii="Cambria" w:eastAsia="Times New Roman" w:hAnsi="Cambria" w:cs="Calibri"/>
          <w:color w:val="052E65"/>
          <w:spacing w:val="5"/>
          <w:kern w:val="28"/>
          <w:sz w:val="22"/>
          <w:szCs w:val="36"/>
        </w:rPr>
      </w:sdtEndPr>
      <w:sdtContent>
        <w:p w:rsidR="006361C8" w:rsidRDefault="006361C8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361C8" w:rsidRDefault="006361C8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072C5" w:rsidRDefault="005072C5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E00CFF" wp14:editId="0A5F58E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Prostoką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Prostokąt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LYKwIAAEMEAAAOAAAAZHJzL2Uyb0RvYy54bWysU0Fu2zAQvBfoHwjea0mGHTuC5SBwmqJA&#10;2hpI+4A1RVlEKC5L0pbTe3/Wh3VJOa7j3orqQHC15HB2dnZxc+g020vnFZqKF6OcM2kE1spsK/7t&#10;6/27OWc+gKlBo5EVf5ae3yzfvln0tpRjbFHX0jECMb7sbcXbEGyZZV60sgM/QisNJRt0HQQK3Tar&#10;HfSE3ulsnOdXWY+utg6F9J7+3g1Jvkz4TSNF+NI0XgamK07cQlpdWjdxzZYLKLcObKvEkQb8A4sO&#10;lKFHT1B3EIDtnPoLqlPCoccmjAR2GTaNEjLVQNUU+UU1jy1YmWohcbw9yeT/H6z4vF87puqKzzgz&#10;0FGL1kQw4NOvn4GNoz699SUde7RrFyv09gHFk2cGVy2Yrbx1DvtWQk2sing+e3UhBp6usk3/CWuC&#10;h13AJNWhcV0EJBHYIXXk+dQReQhM0M95cVXkY2qcoNy8mM3nqWUZlC+3rfPhg8SOxU3FHXU8ocP+&#10;wYfIBsqXI4k9alXfK61TEF0mV9qxPZA/QAhpwjTVQHWen9SG9RW/no6nCfxVLnn1EmVQ4gKlU4HM&#10;rlVHteTxG+wXxXtv6mTFAEoPeyKuzVHNKODQiA3WzySmw8HJNHm0adH94KwnF1fcf9+Bk5zpj4Ya&#10;cl1MJtH2KZhMZ1FKd57ZnGfACIKqeOBs2K7CMCo769S2pZeKVL7BW2pio5K+scEDqyNZcmqS/ThV&#10;cRTO43Tqz+wvfwMAAP//AwBQSwMEFAAGAAgAAAAhANfTfT7bAAAABgEAAA8AAABkcnMvZG93bnJl&#10;di54bWxMj8FOwzAQRO9I/IO1SNyo04iiEOJULQKk9oBE4AM28TaJsNchdtvw93V7gctqVrOaeVss&#10;J2vEgUbfO1YwnyUgiBune24VfH2+3mUgfEDWaByTgl/ysCyvrwrMtTvyBx2q0IoYwj5HBV0IQy6l&#10;bzqy6GduII7ezo0WQ1zHVuoRjzHcGpkmyYO02HNs6HCg546a72pvFZB5fPupt+l2N6/k5v2+H2j9&#10;slDq9mZaPYEINIW/YzjjR3QoI1Pt9qy9MAriI+Eyz16aLVIQ9UVlIMtC/scvTwAAAP//AwBQSwEC&#10;LQAUAAYACAAAACEAtoM4kv4AAADhAQAAEwAAAAAAAAAAAAAAAAAAAAAAW0NvbnRlbnRfVHlwZXNd&#10;LnhtbFBLAQItABQABgAIAAAAIQA4/SH/1gAAAJQBAAALAAAAAAAAAAAAAAAAAC8BAABfcmVscy8u&#10;cmVsc1BLAQItABQABgAIAAAAIQBJQSLYKwIAAEMEAAAOAAAAAAAAAAAAAAAAAC4CAABkcnMvZTJv&#10;RG9jLnhtbFBLAQItABQABgAIAAAAIQDX030+2wAAAAYBAAAPAAAAAAAAAAAAAAAAAIUEAABkcnMv&#10;ZG93bnJldi54bWxQSwUGAAAAAAQABADzAAAAjQ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6E317C0" wp14:editId="5112D53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Prostokąt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Prostokąt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5bLAIAAEAEAAAOAAAAZHJzL2Uyb0RvYy54bWysU0Fu2zAQvBfoHwjea0mGlSaC5SBw6qJA&#10;2hpI+wCaoiwiFJdd0pbTe3/Wh2VJOa6T3orqQHC15HB2Znd+fegN2yv0GmzNi0nOmbISGm23Nf/+&#10;bfXukjMfhG2EAatq/qg8v168fTMfXKWm0IFpFDICsb4aXM27EFyVZV52qhd+Ak5ZSraAvQgU4jZr&#10;UAyE3ptsmucX2QDYOASpvKe/t2OSLxJ+2yoZvratV4GZmhO3kFZM6yau2WIuqi0K12l5pCH+gUUv&#10;tKVHT1C3Igi2Q/0XVK8lgoc2TCT0GbStlirVQNUU+atq7jvhVKqFxPHuJJP/f7Dyy36NTDc1J6Os&#10;6MmiNREM8PD7V2Bl1GdwvqJj926NsULv7kA+eGZh2Qm7VTeIMHRKNMSqiOezFxdi4Okq2wyfoSF4&#10;sQuQpDq02EdAEoEdkiOPJ0fUITBJP6/yy7zkTFKmyMvyYjpLlmWier7t0IePCnoWNzVHcjyhi/2d&#10;D5GNqJ6PJPZgdLPSxqQAt5ulQbYX1B2r9KUCqMjzY8aygaiU0zIhv8ilRlUnECGlsmGU4RVKrwN1&#10;utE9SZ3Hb+y9qNwH26Q+DEKbcU+sjT1KGdUbXdhA80hKIoxtTGNHmw7wJ2cDtXDN/Y+dQMWZ+WTJ&#10;jatiRnKxkIJZ+X5KAZ5nNucZYSVB1TxwNm6XYZyTnUO97eilIpVv4YYcbHUSN7o7sjqSpTZNmh9H&#10;Ks7BeZxO/Rn8xRMAAAD//wMAUEsDBBQABgAIAAAAIQB9IeJz3QAAAAUBAAAPAAAAZHJzL2Rvd25y&#10;ZXYueG1sTI9BS8NAEIXvgv9hGcGb3TSWqGk2pRQK4slWEb1NstMkNDsbstsm7a9324te5jG84b1v&#10;ssVoWnGk3jWWFUwnEQji0uqGKwWfH+uHZxDOI2tsLZOCEzlY5Lc3GabaDryh49ZXIoSwS1FB7X2X&#10;SunKmgy6ie2Ig7ezvUEf1r6SuschhJtWxlGUSIMNh4YaO1rVVO63B6MgftUvw7vb7M8/b+60/iqf&#10;pufvQqn7u3E5B+Fp9H/HcMEP6JAHpsIeWDvRKgiP+Ou8eLNHEEXQJIlnIPNM/qfPfwEAAP//AwBQ&#10;SwECLQAUAAYACAAAACEAtoM4kv4AAADhAQAAEwAAAAAAAAAAAAAAAAAAAAAAW0NvbnRlbnRfVHlw&#10;ZXNdLnhtbFBLAQItABQABgAIAAAAIQA4/SH/1gAAAJQBAAALAAAAAAAAAAAAAAAAAC8BAABfcmVs&#10;cy8ucmVsc1BLAQItABQABgAIAAAAIQDy5s5bLAIAAEAEAAAOAAAAAAAAAAAAAAAAAC4CAABkcnMv&#10;ZTJvRG9jLnhtbFBLAQItABQABgAIAAAAIQB9IeJz3QAAAAUBAAAPAAAAAAAAAAAAAAAAAIYEAABk&#10;cnMvZG93bnJldi54bWxQSwUGAAAAAAQABADzAAAAkA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A89E50F" wp14:editId="772560F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Prostoką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Prostokąt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YzLQIAAEAEAAAOAAAAZHJzL2Uyb0RvYy54bWysU8Fu2zAMvQ/YPwi6L7aDpGuMOEWRLsOA&#10;bgvQ7QMUWY6FyqJGKXGy+/5sH1ZKTrO0uw3TQRBF6unxkZzfHDrD9gq9BlvxYpRzpqyEWtttxb9/&#10;W7275swHYWthwKqKH5XnN4u3b+a9K9UYWjC1QkYg1pe9q3gbgiuzzMtWdcKPwClLzgawE4FM3GY1&#10;ip7QO5ON8/wq6wFrhyCV93R7Nzj5IuE3jZLha9N4FZipOHELace0b+KeLeai3KJwrZYnGuIfWHRC&#10;W/r0DHUngmA71H9BdVoieGjCSEKXQdNoqVIOlE2Rv8rmoRVOpVxIHO/OMvn/Byu/7NfIdF3xGWdW&#10;dFSiNREM8Pj7V2CTqE/vfElhD26NMUPv7kE+emZh2Qq7VbeI0LdK1MSqiPHZiwfR8PSUbfrPUBO8&#10;2AVIUh0a7CIgicAOqSLHc0XUITBJl7P8Op9yJslT5NPp1XiSSpaJ8vm1Qx8+KuhYPFQcqeIJXezv&#10;fYhsRPkcktiD0fVKG5MM3G6WBtleUHes0koJUJKXYcaynqhMx9OE/MKXGlWdQYSUyoZBhlconQ7U&#10;6UZ3Fb/O4xp6Lyr3wdapD4PQZjgTa2NPUkb1hipsoD6SkghDG9PY0aEF/MlZTy1ccf9jJ1BxZj5Z&#10;qsasmJBcLCRjMn0/JgMvPZtLj7CSoCoeOBuOyzDMyc6h3rb0U5HSt3BLFWx0EjdWd2B1IkttmjQ/&#10;jVScg0s7Rf0Z/MUT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1a3mMy0CAABA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006C35E" wp14:editId="4E81D7E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gnKwIAAEQEAAAOAAAAZHJzL2Uyb0RvYy54bWysU9uO0zAQfUfiHyy/01xoSxs1Xa26LEJa&#10;oNLCB7iO01hre4ztNi3v/Bkfxtjplm55Q+TB8mTs4zNnzixuDlqRvXBegqlpMcopEYZDI822pt++&#10;3r+ZUeIDMw1TYERNj8LTm+XrV4veVqKEDlQjHEEQ46ve1rQLwVZZ5nknNPMjsMJgsgWnWcDQbbPG&#10;sR7RtcrKPJ9mPbjGOuDCe/x7NyTpMuG3reDhS9t6EYiqKXILaXVp3cQ1Wy5YtXXMdpKfaLB/YKGZ&#10;NPjoGeqOBUZ2Tv4FpSV34KENIw46g7aVXKQasJoiv6rmsWNWpFpQHG/PMvn/B8s/79eOyAZ7h/IY&#10;prFHa2QY4OnXz0DeRoF66ys892jXLpbo7QPwJ08MrDpmtuLWOeg7wRqkVcTz2YsLMfB4lWz6T9Ag&#10;PNsFSFodWqcjIKpADqklx3NLxCEQjj9nxbTIS6TGMTcry/k09Sxj1fNt63z4IECTuKmpw5YndLZ/&#10;8CGyYdXzkcQelGzupVIpiDYTK+XInqFBGOfChEmqAeu8PKkM6Ws6n5STBP4il8x6jTIocYWiZUC3&#10;K6mxljx+g/+ieO9Nk7wYmFTDHokrc1IzCjg0YgPNEcV0MFgZRw83HbgflPRo45r67zvmBCXqo8GG&#10;zIvxOPo+BePJuyilu8xsLjPMcISqaaBk2K7CMCs76+S2w5eKVL6BW2xiK5O+scEDqxNZtGqS/TRW&#10;cRYu43Tqz/AvfwMAAP//AwBQSwMEFAAGAAgAAAAhAAf+Z8/cAAAABgEAAA8AAABkcnMvZG93bnJl&#10;di54bWxMj8FOwzAQRO9I/IO1SNyo04hWbRqnAgRI9FCJwAds4m0S1V6H2G3D3+NwgctqVrOaeZtv&#10;R2vEmQbfOVYwnyUgiGunO24UfH683K1A+ICs0TgmBd/kYVtcX+WYaXfhdzqXoRExhH2GCtoQ+kxK&#10;X7dk0c9cTxy9gxsshrgOjdQDXmK4NTJNkqW02HFsaLGnp5bqY3myCsisX7+qXbo7zEv5tr/venp8&#10;Xih1ezM+bEAEGsPfMUz4ER2KyFS5E2svjIL4SPidk5euFimIalLrJcgil//xix8AAAD//wMAUEsB&#10;Ai0AFAAGAAgAAAAhALaDOJL+AAAA4QEAABMAAAAAAAAAAAAAAAAAAAAAAFtDb250ZW50X1R5cGVz&#10;XS54bWxQSwECLQAUAAYACAAAACEAOP0h/9YAAACUAQAACwAAAAAAAAAAAAAAAAAvAQAAX3JlbHMv&#10;LnJlbHNQSwECLQAUAAYACAAAACEAVCIIJysCAABEBAAADgAAAAAAAAAAAAAAAAAuAgAAZHJzL2Uy&#10;b0RvYy54bWxQSwECLQAUAAYACAAAACEAB/5nz9wAAAAGAQAADwAAAAAAAAAAAAAAAACFBAAAZHJz&#10;L2Rvd25yZXYueG1sUEsFBgAAAAAEAAQA8wAAAI4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="Times New Roman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  <w:lang w:eastAsia="en-US"/>
            </w:rPr>
            <w:alias w:val="Tytuł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072C5" w:rsidRDefault="005072C5" w:rsidP="005072C5">
              <w:pPr>
                <w:pStyle w:val="Bezodstpw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5072C5">
                <w:rPr>
                  <w:rFonts w:asciiTheme="majorHAnsi" w:eastAsia="Times New Roman" w:hAnsiTheme="majorHAnsi" w:cstheme="majorBidi"/>
                  <w:color w:val="17365D" w:themeColor="text2" w:themeShade="BF"/>
                  <w:spacing w:val="5"/>
                  <w:kern w:val="28"/>
                  <w:sz w:val="52"/>
                  <w:szCs w:val="52"/>
                  <w:lang w:eastAsia="en-US"/>
                </w:rPr>
                <w:t>Lista projektów zintegrowanych w ramach Strategii rozwoju ponadlokalnego Hrubieszowskiego Obszaru Funkcjonalnego na lata 2021 – 2030</w:t>
              </w:r>
            </w:p>
          </w:sdtContent>
        </w:sdt>
        <w:p w:rsidR="005072C5" w:rsidRDefault="005072C5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072C5" w:rsidRDefault="005072C5"/>
        <w:p w:rsidR="006361C8" w:rsidRDefault="006361C8"/>
        <w:sdt>
          <w:sdtPr>
            <w:rPr>
              <w:rFonts w:asciiTheme="majorHAnsi" w:eastAsiaTheme="majorEastAsia" w:hAnsiTheme="majorHAnsi" w:cstheme="majorBidi"/>
              <w:color w:val="17365D" w:themeColor="text2" w:themeShade="BF"/>
              <w:sz w:val="36"/>
              <w:szCs w:val="36"/>
            </w:rPr>
            <w:alias w:val="Podtytuł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5072C5" w:rsidRPr="005072C5" w:rsidRDefault="005072C5" w:rsidP="005072C5">
              <w:pPr>
                <w:pStyle w:val="Bezodstpw"/>
                <w:jc w:val="center"/>
                <w:rPr>
                  <w:rFonts w:asciiTheme="majorHAnsi" w:eastAsiaTheme="majorEastAsia" w:hAnsiTheme="majorHAnsi" w:cstheme="majorBidi"/>
                  <w:color w:val="17365D" w:themeColor="text2" w:themeShade="BF"/>
                  <w:sz w:val="36"/>
                  <w:szCs w:val="36"/>
                </w:rPr>
              </w:pPr>
              <w:r w:rsidRPr="005072C5">
                <w:rPr>
                  <w:rFonts w:asciiTheme="majorHAnsi" w:eastAsiaTheme="majorEastAsia" w:hAnsiTheme="majorHAnsi" w:cstheme="majorBidi"/>
                  <w:color w:val="17365D" w:themeColor="text2" w:themeShade="BF"/>
                  <w:sz w:val="36"/>
                  <w:szCs w:val="36"/>
                </w:rPr>
                <w:t>Załącznik nr 2 do Strategii rozwoju ponadlokalnego Hrubieszowskiego Obszaru Funkcjonalnego na lata 2021 – 2030</w:t>
              </w:r>
            </w:p>
          </w:sdtContent>
        </w:sdt>
        <w:p w:rsidR="005072C5" w:rsidRPr="003B17CB" w:rsidRDefault="005072C5" w:rsidP="005072C5">
          <w:pPr>
            <w:pBdr>
              <w:bottom w:val="single" w:sz="8" w:space="0" w:color="31B6FD"/>
            </w:pBdr>
            <w:spacing w:after="300" w:line="240" w:lineRule="auto"/>
            <w:ind w:firstLine="357"/>
            <w:contextualSpacing/>
            <w:jc w:val="right"/>
            <w:rPr>
              <w:rFonts w:ascii="Cambria" w:eastAsia="Times New Roman" w:hAnsi="Cambria" w:cs="Calibri"/>
              <w:color w:val="052E65"/>
              <w:spacing w:val="5"/>
              <w:kern w:val="28"/>
              <w:szCs w:val="36"/>
            </w:rPr>
          </w:pPr>
          <w:r>
            <w:rPr>
              <w:rFonts w:ascii="Cambria" w:eastAsia="Times New Roman" w:hAnsi="Cambria" w:cs="Calibri"/>
              <w:color w:val="052E65"/>
              <w:spacing w:val="5"/>
              <w:kern w:val="28"/>
              <w:szCs w:val="36"/>
            </w:rPr>
            <w:t xml:space="preserve"> </w:t>
          </w:r>
          <w:r>
            <w:rPr>
              <w:rFonts w:ascii="Cambria" w:eastAsia="Times New Roman" w:hAnsi="Cambria" w:cs="Calibri"/>
              <w:color w:val="052E65"/>
              <w:spacing w:val="5"/>
              <w:kern w:val="28"/>
              <w:szCs w:val="36"/>
            </w:rPr>
            <w:br w:type="page"/>
          </w:r>
        </w:p>
      </w:sdtContent>
    </w:sdt>
    <w:p w:rsidR="00953BB1" w:rsidRDefault="005072C5" w:rsidP="005072C5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 xml:space="preserve">Przedsięwzięcie 1. </w:t>
      </w:r>
      <w:r w:rsidRPr="005072C5">
        <w:t>Rozwój elektronicznych usług publicznych w Hrubieszowskim Obszarze Funkcjonalnym – Cyfrowy HOF</w:t>
      </w:r>
      <w:r>
        <w:t>.</w:t>
      </w:r>
    </w:p>
    <w:p w:rsidR="005072C5" w:rsidRDefault="005072C5" w:rsidP="005072C5">
      <w:pPr>
        <w:pStyle w:val="Akapitzlist"/>
        <w:numPr>
          <w:ilvl w:val="0"/>
          <w:numId w:val="1"/>
        </w:numPr>
        <w:spacing w:line="360" w:lineRule="auto"/>
      </w:pPr>
      <w:r w:rsidRPr="005072C5">
        <w:t>Przedsięwzięcie 2. HOF przyjazny środowisku - poprawa efektywności energetycznej budynków użyteczności publicznej</w:t>
      </w:r>
      <w:r>
        <w:t>.</w:t>
      </w:r>
    </w:p>
    <w:p w:rsidR="005072C5" w:rsidRDefault="005072C5" w:rsidP="005072C5">
      <w:pPr>
        <w:pStyle w:val="Akapitzlist"/>
        <w:numPr>
          <w:ilvl w:val="0"/>
          <w:numId w:val="1"/>
        </w:numPr>
        <w:spacing w:line="360" w:lineRule="auto"/>
      </w:pPr>
      <w:r w:rsidRPr="005072C5">
        <w:t xml:space="preserve">Przedsięwzięcie 3. Wzmocnienie potencjału systemu pomocy i integracji społecznej w Hrubieszowskim Obszarze Funkcjonalnym poprzez utworzenie Centrum Opiekuńczego w </w:t>
      </w:r>
      <w:proofErr w:type="spellStart"/>
      <w:r w:rsidRPr="005072C5">
        <w:t>Dziekanowie</w:t>
      </w:r>
      <w:proofErr w:type="spellEnd"/>
      <w:r w:rsidRPr="005072C5">
        <w:t xml:space="preserve"> wraz z wypożyczalnią sprzętu opiekuńczo – rehabilitacyjnego</w:t>
      </w:r>
      <w:r>
        <w:t>.</w:t>
      </w:r>
    </w:p>
    <w:p w:rsidR="005072C5" w:rsidRDefault="005072C5" w:rsidP="005072C5">
      <w:pPr>
        <w:pStyle w:val="Akapitzlist"/>
        <w:numPr>
          <w:ilvl w:val="0"/>
          <w:numId w:val="1"/>
        </w:numPr>
        <w:spacing w:line="360" w:lineRule="auto"/>
      </w:pPr>
      <w:r w:rsidRPr="005072C5">
        <w:t xml:space="preserve">Przedsięwzięcie 4. Poprawa dostępu do </w:t>
      </w:r>
      <w:proofErr w:type="gramStart"/>
      <w:r w:rsidRPr="005072C5">
        <w:t>wysokiej jakości</w:t>
      </w:r>
      <w:proofErr w:type="gramEnd"/>
      <w:r w:rsidRPr="005072C5">
        <w:t xml:space="preserve"> usług edukacyjnych w HOF poprzez modernizację i unowocześnienie przedszkoli</w:t>
      </w:r>
      <w:r>
        <w:t>.</w:t>
      </w:r>
    </w:p>
    <w:p w:rsidR="00803F9A" w:rsidRDefault="005072C5" w:rsidP="00803F9A">
      <w:pPr>
        <w:pStyle w:val="Akapitzlist"/>
        <w:numPr>
          <w:ilvl w:val="0"/>
          <w:numId w:val="1"/>
        </w:numPr>
        <w:spacing w:line="360" w:lineRule="auto"/>
      </w:pPr>
      <w:r w:rsidRPr="005072C5">
        <w:t xml:space="preserve">Przedsięwzięcie 5. </w:t>
      </w:r>
      <w:bookmarkStart w:id="0" w:name="_GoBack"/>
      <w:r w:rsidR="00803F9A" w:rsidRPr="00803F9A">
        <w:t>Rozwój usług społecznych</w:t>
      </w:r>
      <w:bookmarkEnd w:id="0"/>
      <w:r w:rsidR="00803F9A" w:rsidRPr="00803F9A">
        <w:t xml:space="preserve"> świadczonych w społeczności lokalnej dla osób potrzebujących wsparcia w codziennym funkcjonowaniu w tym osób posiadających niepełnosprawności z terenu Hrubieszowskiego Obszaru Funkcjonalnego</w:t>
      </w:r>
    </w:p>
    <w:p w:rsidR="005072C5" w:rsidRDefault="005072C5" w:rsidP="00803F9A">
      <w:pPr>
        <w:pStyle w:val="Akapitzlist"/>
        <w:numPr>
          <w:ilvl w:val="0"/>
          <w:numId w:val="1"/>
        </w:numPr>
        <w:spacing w:line="360" w:lineRule="auto"/>
      </w:pPr>
      <w:r w:rsidRPr="005072C5">
        <w:t>Przedsięwzięcie 6. Programy rozwojowe szkół i przedszkoli na terenie Hrubieszowskiego Obszaru Funkcjonalnego</w:t>
      </w:r>
      <w:r>
        <w:t>.</w:t>
      </w:r>
    </w:p>
    <w:p w:rsidR="005072C5" w:rsidRDefault="005072C5" w:rsidP="005072C5">
      <w:pPr>
        <w:pStyle w:val="Akapitzlist"/>
        <w:numPr>
          <w:ilvl w:val="0"/>
          <w:numId w:val="1"/>
        </w:numPr>
        <w:spacing w:line="360" w:lineRule="auto"/>
      </w:pPr>
      <w:r w:rsidRPr="005072C5">
        <w:t>Przedsięwzięcie 7. Zintegrowany rozwój infrastruktury kultury Hrubieszowskiego Obszaru Funkcjonalnego</w:t>
      </w:r>
      <w:r>
        <w:t>.</w:t>
      </w:r>
    </w:p>
    <w:p w:rsidR="005072C5" w:rsidRDefault="005072C5"/>
    <w:tbl>
      <w:tblPr>
        <w:tblStyle w:val="Jasnasiatkaakcent22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798"/>
        <w:gridCol w:w="1722"/>
        <w:gridCol w:w="1817"/>
        <w:gridCol w:w="1727"/>
        <w:gridCol w:w="1174"/>
        <w:gridCol w:w="1519"/>
        <w:gridCol w:w="1190"/>
        <w:gridCol w:w="1190"/>
      </w:tblGrid>
      <w:tr w:rsidR="005072C5" w:rsidRPr="00D60076" w:rsidTr="0062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jc w:val="center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Nazwa przedsięwzięcia</w:t>
            </w:r>
          </w:p>
        </w:tc>
        <w:tc>
          <w:tcPr>
            <w:tcW w:w="1798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Cel strategiczny Strategii</w:t>
            </w:r>
          </w:p>
        </w:tc>
        <w:tc>
          <w:tcPr>
            <w:tcW w:w="1722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Cel szczegółowy Strategii</w:t>
            </w:r>
          </w:p>
        </w:tc>
        <w:tc>
          <w:tcPr>
            <w:tcW w:w="1817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Cel polityki UE</w:t>
            </w:r>
          </w:p>
        </w:tc>
        <w:tc>
          <w:tcPr>
            <w:tcW w:w="1727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 xml:space="preserve">Nazwa działania </w:t>
            </w:r>
            <w:proofErr w:type="spellStart"/>
            <w:r w:rsidRPr="007C5DCB">
              <w:rPr>
                <w:sz w:val="18"/>
                <w:szCs w:val="18"/>
              </w:rPr>
              <w:t>FEdL</w:t>
            </w:r>
            <w:proofErr w:type="spellEnd"/>
          </w:p>
        </w:tc>
        <w:tc>
          <w:tcPr>
            <w:tcW w:w="1174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Nazwa Funduszu</w:t>
            </w:r>
          </w:p>
        </w:tc>
        <w:tc>
          <w:tcPr>
            <w:tcW w:w="1519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Kwota dotacji w Euro</w:t>
            </w:r>
          </w:p>
        </w:tc>
        <w:tc>
          <w:tcPr>
            <w:tcW w:w="1190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% alokacji EFRR</w:t>
            </w:r>
          </w:p>
        </w:tc>
        <w:tc>
          <w:tcPr>
            <w:tcW w:w="1190" w:type="dxa"/>
          </w:tcPr>
          <w:p w:rsidR="005072C5" w:rsidRPr="007C5DCB" w:rsidRDefault="005072C5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5DCB">
              <w:rPr>
                <w:sz w:val="18"/>
                <w:szCs w:val="18"/>
              </w:rPr>
              <w:t>% alokacji EFS</w:t>
            </w:r>
          </w:p>
        </w:tc>
      </w:tr>
      <w:tr w:rsidR="005072C5" w:rsidRPr="00D60076" w:rsidTr="0062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>Przedsięwzięcie 1.  Rozwój elektronicznych usług publicznych w Hrubieszowskim Obszarze Funkcjonalnym – Cyfrowy HOF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4. SPRAWNA ADMINISTRACJA I AKTYWNE SPOŁECZEŃSTWO OBYWATELSKIE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60076">
              <w:rPr>
                <w:sz w:val="18"/>
                <w:szCs w:val="18"/>
              </w:rPr>
              <w:t>5 Zintegrowana cyfryzacja usług publicznych kierowana do mieszkańców HOF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CP 1. Bardziej konkurencyjna i inteligentna Europa dzięki wspieraniu innowacyjnej i inteligentnej transformacji gospodarczej oraz regionalnej łączności cyfrowej.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Działanie 2.2 Cyfrowe Lubelskie w ramach Zintegrowanych Inwestycji Terytorialnych Miejskich Obszarów Funkcjonalnych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EFRR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375 697,00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076">
              <w:rPr>
                <w:rFonts w:ascii="Calibri" w:hAnsi="Calibri" w:cs="Calibri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-</w:t>
            </w:r>
          </w:p>
        </w:tc>
      </w:tr>
      <w:tr w:rsidR="005072C5" w:rsidRPr="00D60076" w:rsidTr="00622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Przedsięwzięcie 2. HOF przyjazny środowisku - poprawa efektywności energetycznej budynków </w:t>
            </w: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użyteczności publicznej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>2. CZYSTE ŚRODOWISKO I ADAPTACJA DO ZMIAN KLIMATU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2.6 Partnerskie wspieranie efektywności energetycznej i energooszczędności na obszarze HOF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CP 2. Bardziej przyjazna dla środowiska, niskoemisyjna i przechodząca w kierunku gospodarki zeroemisyjnej oraz </w:t>
            </w:r>
            <w:r w:rsidRPr="00D60076">
              <w:rPr>
                <w:sz w:val="18"/>
                <w:szCs w:val="18"/>
              </w:rPr>
              <w:lastRenderedPageBreak/>
              <w:t>odporna Europa dzięki promowaniu czystej i sprawiedliwej transformacji energetycznej, zielonych i niebieskich inwestycji, gospodarki o obiegu zamkniętym, łagodzenia zmian klimatu i przystosowania się do nich, zapobiegania ryzyku i zarządzania ryzykiem, oraz zrównoważonej mobilności miejskiej.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 xml:space="preserve">Działanie 4.3. Wspieranie efektywności energetycznej i energooszczędności w ramach Zintegrowanych </w:t>
            </w:r>
            <w:r w:rsidRPr="00D60076">
              <w:rPr>
                <w:sz w:val="18"/>
                <w:szCs w:val="18"/>
              </w:rPr>
              <w:lastRenderedPageBreak/>
              <w:t>Inwestycji Terytorialnych.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>EFRR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3 655 322,00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076">
              <w:rPr>
                <w:rFonts w:ascii="Calibri" w:hAnsi="Calibri" w:cs="Calibri"/>
                <w:color w:val="000000"/>
                <w:sz w:val="18"/>
                <w:szCs w:val="18"/>
              </w:rPr>
              <w:t>61,18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-</w:t>
            </w:r>
          </w:p>
        </w:tc>
      </w:tr>
      <w:tr w:rsidR="005072C5" w:rsidRPr="00D60076" w:rsidTr="0062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Przedsięwzięcie 3. Wzmocnienie potencjału systemu pomocy i integracji społecznej w Hrubieszowskim Obszarze Funkcjonalnym poprzez utworzenie Centrum Opiekuńczego w </w:t>
            </w:r>
            <w:proofErr w:type="spellStart"/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>Dziekanowie</w:t>
            </w:r>
            <w:proofErr w:type="spellEnd"/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wraz z wypożyczalnią sprzętu opiekuńczo – rehabilitacyjnego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1. </w:t>
            </w:r>
            <w:proofErr w:type="gramStart"/>
            <w:r w:rsidRPr="00D60076">
              <w:rPr>
                <w:sz w:val="18"/>
                <w:szCs w:val="18"/>
              </w:rPr>
              <w:t>LEPSZA JAKOŚĆ</w:t>
            </w:r>
            <w:proofErr w:type="gramEnd"/>
            <w:r w:rsidRPr="00D60076">
              <w:rPr>
                <w:sz w:val="18"/>
                <w:szCs w:val="18"/>
              </w:rPr>
              <w:t xml:space="preserve"> ŻYCIA I ZINTEGROWANA SPOŁECZNOŚĆ LOKALNA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1.8 Pogłębienie współpracy obszaru HOF w zakresie usług integracji społecznej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CP 4 Europa o silniejszym wymiarze społecznym, bardziej sprzyjająca włączeniu społecznemu i wdrażająca Europejski filar prawa socjalnych.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Działanie 7.7. Infrastruktura usług i integracji społecznej w ramach Zintegrowanych Instrumentów Terytorialnych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EFRR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465 231,28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076">
              <w:rPr>
                <w:rFonts w:ascii="Calibri" w:hAnsi="Calibri" w:cs="Calibri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-</w:t>
            </w:r>
          </w:p>
        </w:tc>
      </w:tr>
      <w:tr w:rsidR="005072C5" w:rsidRPr="00D60076" w:rsidTr="00622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Przedsięwzięcie 4. Poprawa dostępu do </w:t>
            </w:r>
            <w:proofErr w:type="gramStart"/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>wysokiej jakości</w:t>
            </w:r>
            <w:proofErr w:type="gramEnd"/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usług edukacyjnych w HOF </w:t>
            </w: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poprzez modernizację i unowocześnienie przedszkoli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 xml:space="preserve">1. </w:t>
            </w:r>
            <w:proofErr w:type="gramStart"/>
            <w:r w:rsidRPr="00D60076">
              <w:rPr>
                <w:sz w:val="18"/>
                <w:szCs w:val="18"/>
              </w:rPr>
              <w:t>LEPSZA JAKOŚĆ</w:t>
            </w:r>
            <w:proofErr w:type="gramEnd"/>
            <w:r w:rsidRPr="00D60076">
              <w:rPr>
                <w:sz w:val="18"/>
                <w:szCs w:val="18"/>
              </w:rPr>
              <w:t xml:space="preserve"> ŻYCIA I ZINTEGROWANA SPOŁECZNOŚĆ </w:t>
            </w:r>
            <w:r w:rsidRPr="00D60076">
              <w:rPr>
                <w:sz w:val="18"/>
                <w:szCs w:val="18"/>
              </w:rPr>
              <w:lastRenderedPageBreak/>
              <w:t>LOKALNA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 xml:space="preserve">1.9 Zintegrowane wzmocnienie potencjału edukacyjnego i </w:t>
            </w:r>
            <w:r w:rsidRPr="00D60076">
              <w:rPr>
                <w:sz w:val="18"/>
                <w:szCs w:val="18"/>
              </w:rPr>
              <w:lastRenderedPageBreak/>
              <w:t>kulturowego HOF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 xml:space="preserve">CP 4 Europa o silniejszym wymiarze społecznym, bardziej sprzyjająca włączeniu </w:t>
            </w:r>
            <w:r w:rsidRPr="00D60076">
              <w:rPr>
                <w:sz w:val="18"/>
                <w:szCs w:val="18"/>
              </w:rPr>
              <w:lastRenderedPageBreak/>
              <w:t>społecznemu i wdrażająca Europejski filar prawa socjalnych.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 xml:space="preserve">Działanie 7.5. Edukacja w ramach Zintegrowanych Inwestycji </w:t>
            </w:r>
            <w:r w:rsidRPr="00D60076">
              <w:rPr>
                <w:sz w:val="18"/>
                <w:szCs w:val="18"/>
              </w:rPr>
              <w:lastRenderedPageBreak/>
              <w:t>Terytorialnych.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>EFRR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155 506,61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076">
              <w:rPr>
                <w:rFonts w:ascii="Calibri" w:hAnsi="Calibri" w:cs="Calibri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-</w:t>
            </w:r>
          </w:p>
        </w:tc>
      </w:tr>
      <w:tr w:rsidR="005072C5" w:rsidRPr="00D60076" w:rsidTr="0062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A76F02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Przedsięwzięcie 5. </w:t>
            </w:r>
            <w:r w:rsidR="00803F9A" w:rsidRPr="00803F9A">
              <w:rPr>
                <w:rFonts w:asciiTheme="minorHAnsi" w:hAnsiTheme="minorHAnsi" w:cstheme="minorHAnsi"/>
                <w:b w:val="0"/>
                <w:sz w:val="18"/>
                <w:szCs w:val="18"/>
              </w:rPr>
              <w:t>Rozwój usług społecznych świadczonych w społeczności lokalnej dla osób potrzebujących wsparcia w codziennym funkcjonowaniu w tym osób posiadających niepełnosprawności z terenu Hrubieszowskiego Obszaru Funkcjonalnego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1. </w:t>
            </w:r>
            <w:proofErr w:type="gramStart"/>
            <w:r w:rsidRPr="00D60076">
              <w:rPr>
                <w:sz w:val="18"/>
                <w:szCs w:val="18"/>
              </w:rPr>
              <w:t>LEPSZA JAKOŚĆ</w:t>
            </w:r>
            <w:proofErr w:type="gramEnd"/>
            <w:r w:rsidRPr="00D60076">
              <w:rPr>
                <w:sz w:val="18"/>
                <w:szCs w:val="18"/>
              </w:rPr>
              <w:t xml:space="preserve"> ŻYCIA I ZINTEGROWANA SPOŁECZNOŚĆ LOKALNA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1.8 Pogłębienie współpracy obszaru HOF w zakresie usług integracji społecznej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CP 4 Europa o silniejszym wymiarze społecznym, bardziej sprzyjająca włączeniu społecznemu i wdrażająca Europejski filar prawa socjalnych.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Działanie 8.7. Usługi społeczne w ramach Zintegrowanych Inwestycji Terytorialnych.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EFS+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374 449,34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50,66</w:t>
            </w:r>
          </w:p>
        </w:tc>
      </w:tr>
      <w:tr w:rsidR="005072C5" w:rsidRPr="00D60076" w:rsidTr="00622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>Przedsięwzięcie 6. Programy rozwojowe szkół i przedszkoli na terenie Hrubieszowskiego Obszaru Funkcjonalnego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1. </w:t>
            </w:r>
            <w:proofErr w:type="gramStart"/>
            <w:r w:rsidRPr="00D60076">
              <w:rPr>
                <w:sz w:val="18"/>
                <w:szCs w:val="18"/>
              </w:rPr>
              <w:t>LEPSZA JAKOŚĆ</w:t>
            </w:r>
            <w:proofErr w:type="gramEnd"/>
            <w:r w:rsidRPr="00D60076">
              <w:rPr>
                <w:sz w:val="18"/>
                <w:szCs w:val="18"/>
              </w:rPr>
              <w:t xml:space="preserve"> ŻYCIA I ZINTEGROWANA SPOŁECZNOŚĆ LOKALNA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1.9 Zintegrowane wzmocnienie potencjału edukacyjnego i kulturowego HOF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CP 4 Europa o silniejszym wymiarze społecznym, bardziej sprzyjająca włączeniu społecznemu i wdrażająca Europejski filar prawa socjalnych.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Działanie 10.5. Wsparcie edukacji w ramach Zintegrowanych Inwestycji Terytorialnych.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EFS+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364 763,66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49,34</w:t>
            </w:r>
          </w:p>
        </w:tc>
      </w:tr>
      <w:tr w:rsidR="005072C5" w:rsidRPr="00D60076" w:rsidTr="0062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072C5" w:rsidRPr="007C5DCB" w:rsidRDefault="005072C5" w:rsidP="00622886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5DCB">
              <w:rPr>
                <w:rFonts w:asciiTheme="minorHAnsi" w:hAnsiTheme="minorHAnsi" w:cstheme="minorHAnsi"/>
                <w:b w:val="0"/>
                <w:sz w:val="18"/>
                <w:szCs w:val="18"/>
              </w:rPr>
              <w:t>Przedsięwzięcie 7. Zintegrowany rozwój infrastruktury kultury Hrubieszowskiego Obszaru Funkcjonalnego</w:t>
            </w:r>
          </w:p>
        </w:tc>
        <w:tc>
          <w:tcPr>
            <w:tcW w:w="1798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1. </w:t>
            </w:r>
            <w:proofErr w:type="gramStart"/>
            <w:r w:rsidRPr="00D60076">
              <w:rPr>
                <w:sz w:val="18"/>
                <w:szCs w:val="18"/>
              </w:rPr>
              <w:t>LEPSZA JAKOŚĆ</w:t>
            </w:r>
            <w:proofErr w:type="gramEnd"/>
            <w:r w:rsidRPr="00D60076">
              <w:rPr>
                <w:sz w:val="18"/>
                <w:szCs w:val="18"/>
              </w:rPr>
              <w:t xml:space="preserve"> ŻYCIA I ZINTEGROWANA SPOŁECZNOŚĆ LOKALNA</w:t>
            </w:r>
          </w:p>
        </w:tc>
        <w:tc>
          <w:tcPr>
            <w:tcW w:w="1722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1.9 Zintegrowane wzmocnienie potencjału edukacyjnego i kulturowego HOF</w:t>
            </w:r>
          </w:p>
        </w:tc>
        <w:tc>
          <w:tcPr>
            <w:tcW w:w="181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Cel Polityki 5. Europa bliższa obywatelom dzięki wspieraniu zrównoważonego i zintegrowanego rozwoju wszystkich rodzajów terytoriów i inicjatyw lokalnych.</w:t>
            </w:r>
          </w:p>
        </w:tc>
        <w:tc>
          <w:tcPr>
            <w:tcW w:w="1727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 xml:space="preserve">Działanie 11.3. Ochrona dziedzictwa kulturowego obszarów miejskich i ich obszarów funkcjonalnych w ramach </w:t>
            </w:r>
            <w:r w:rsidRPr="00D60076">
              <w:rPr>
                <w:sz w:val="18"/>
                <w:szCs w:val="18"/>
              </w:rPr>
              <w:lastRenderedPageBreak/>
              <w:t>Zintegrowanych Inwestycji Terytorialnych.</w:t>
            </w:r>
          </w:p>
        </w:tc>
        <w:tc>
          <w:tcPr>
            <w:tcW w:w="1174" w:type="dxa"/>
          </w:tcPr>
          <w:p w:rsidR="005072C5" w:rsidRPr="00D60076" w:rsidRDefault="005072C5" w:rsidP="00622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lastRenderedPageBreak/>
              <w:t>EFRR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1 322 323,00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22,13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-</w:t>
            </w:r>
          </w:p>
        </w:tc>
      </w:tr>
      <w:tr w:rsidR="005072C5" w:rsidRPr="00D60076" w:rsidTr="00622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6"/>
          </w:tcPr>
          <w:p w:rsidR="005072C5" w:rsidRPr="007C5DCB" w:rsidRDefault="005072C5" w:rsidP="00622886">
            <w:pPr>
              <w:rPr>
                <w:b w:val="0"/>
                <w:sz w:val="18"/>
                <w:szCs w:val="18"/>
              </w:rPr>
            </w:pPr>
            <w:r w:rsidRPr="007C5DCB">
              <w:rPr>
                <w:b w:val="0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1519" w:type="dxa"/>
          </w:tcPr>
          <w:p w:rsidR="005072C5" w:rsidRPr="00D60076" w:rsidRDefault="005072C5" w:rsidP="006228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6 713 292,89 EUR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100%</w:t>
            </w:r>
          </w:p>
        </w:tc>
        <w:tc>
          <w:tcPr>
            <w:tcW w:w="1190" w:type="dxa"/>
          </w:tcPr>
          <w:p w:rsidR="005072C5" w:rsidRPr="00D60076" w:rsidRDefault="005072C5" w:rsidP="0062288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60076">
              <w:rPr>
                <w:sz w:val="18"/>
                <w:szCs w:val="18"/>
              </w:rPr>
              <w:t>100%</w:t>
            </w:r>
          </w:p>
        </w:tc>
      </w:tr>
    </w:tbl>
    <w:p w:rsidR="005072C5" w:rsidRDefault="005072C5"/>
    <w:p w:rsidR="006361C8" w:rsidRDefault="006361C8" w:rsidP="006361C8">
      <w:r>
        <w:t xml:space="preserve">Szczegółowe informacje dotyczące każdego z przedsięwzięć zostały opisane w załączniku nr 6 do Strategii rozwoju ponadlokalnego Hrubieszowskiego Obszaru Funkcjonalnego na lata 2021 – 2030: </w:t>
      </w:r>
      <w:r w:rsidRPr="006361C8">
        <w:rPr>
          <w:i/>
        </w:rPr>
        <w:t>„Zarys Planu Działań Zintegrowanych Inwestycji Terytorialnych w ramach Strategii rozwoju ponadlokalnego Hrubieszowskiego Obszaru Funkcjonalnego na lata 2021 – 2030”.</w:t>
      </w:r>
    </w:p>
    <w:sectPr w:rsidR="006361C8" w:rsidSect="005072C5">
      <w:footerReference w:type="defaul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52" w:rsidRDefault="00861252" w:rsidP="005072C5">
      <w:pPr>
        <w:spacing w:before="0" w:after="0" w:line="240" w:lineRule="auto"/>
      </w:pPr>
      <w:r>
        <w:separator/>
      </w:r>
    </w:p>
  </w:endnote>
  <w:endnote w:type="continuationSeparator" w:id="0">
    <w:p w:rsidR="00861252" w:rsidRDefault="00861252" w:rsidP="005072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73477"/>
      <w:docPartObj>
        <w:docPartGallery w:val="Page Numbers (Bottom of Page)"/>
        <w:docPartUnique/>
      </w:docPartObj>
    </w:sdtPr>
    <w:sdtEndPr/>
    <w:sdtContent>
      <w:p w:rsidR="005072C5" w:rsidRDefault="005072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7B">
          <w:rPr>
            <w:noProof/>
          </w:rPr>
          <w:t>1</w:t>
        </w:r>
        <w:r>
          <w:fldChar w:fldCharType="end"/>
        </w:r>
      </w:p>
    </w:sdtContent>
  </w:sdt>
  <w:p w:rsidR="005072C5" w:rsidRDefault="00507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52" w:rsidRDefault="00861252" w:rsidP="005072C5">
      <w:pPr>
        <w:spacing w:before="0" w:after="0" w:line="240" w:lineRule="auto"/>
      </w:pPr>
      <w:r>
        <w:separator/>
      </w:r>
    </w:p>
  </w:footnote>
  <w:footnote w:type="continuationSeparator" w:id="0">
    <w:p w:rsidR="00861252" w:rsidRDefault="00861252" w:rsidP="005072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3EAA"/>
    <w:multiLevelType w:val="hybridMultilevel"/>
    <w:tmpl w:val="7C486EB0"/>
    <w:lvl w:ilvl="0" w:tplc="2286D6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C5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0820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2C5"/>
    <w:rsid w:val="005076DC"/>
    <w:rsid w:val="0050782B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1C8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6F7B2D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97B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3F9A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252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6F02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60E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1F7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2C5"/>
    <w:pPr>
      <w:spacing w:before="120"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072C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7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link w:val="BezodstpwZnak"/>
    <w:uiPriority w:val="1"/>
    <w:qFormat/>
    <w:rsid w:val="005072C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072C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2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2C5"/>
    <w:rPr>
      <w:rFonts w:ascii="Tahoma" w:hAnsi="Tahoma" w:cs="Tahoma"/>
      <w:sz w:val="16"/>
      <w:szCs w:val="16"/>
    </w:rPr>
  </w:style>
  <w:style w:type="table" w:customStyle="1" w:styleId="Jasnasiatkaakcent22">
    <w:name w:val="Jasna siatka — akcent 22"/>
    <w:basedOn w:val="Standardowy"/>
    <w:next w:val="Jasnasiatkaakcent2"/>
    <w:uiPriority w:val="62"/>
    <w:rsid w:val="005072C5"/>
    <w:pPr>
      <w:spacing w:after="0" w:line="240" w:lineRule="auto"/>
    </w:pPr>
    <w:tblPr>
      <w:tblStyleRowBandSize w:val="1"/>
      <w:tblStyleColBandSize w:val="1"/>
      <w:tblBorders>
        <w:top w:val="single" w:sz="8" w:space="0" w:color="4584D3"/>
        <w:left w:val="single" w:sz="8" w:space="0" w:color="4584D3"/>
        <w:bottom w:val="single" w:sz="8" w:space="0" w:color="4584D3"/>
        <w:right w:val="single" w:sz="8" w:space="0" w:color="4584D3"/>
        <w:insideH w:val="single" w:sz="8" w:space="0" w:color="4584D3"/>
        <w:insideV w:val="single" w:sz="8" w:space="0" w:color="4584D3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584D3"/>
          <w:left w:val="single" w:sz="8" w:space="0" w:color="4584D3"/>
          <w:bottom w:val="single" w:sz="18" w:space="0" w:color="4584D3"/>
          <w:right w:val="single" w:sz="8" w:space="0" w:color="4584D3"/>
          <w:insideH w:val="nil"/>
          <w:insideV w:val="single" w:sz="8" w:space="0" w:color="4584D3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584D3"/>
          <w:left w:val="single" w:sz="8" w:space="0" w:color="4584D3"/>
          <w:bottom w:val="single" w:sz="8" w:space="0" w:color="4584D3"/>
          <w:right w:val="single" w:sz="8" w:space="0" w:color="4584D3"/>
          <w:insideH w:val="nil"/>
          <w:insideV w:val="single" w:sz="8" w:space="0" w:color="4584D3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</w:tcBorders>
      </w:tcPr>
    </w:tblStylePr>
    <w:tblStylePr w:type="band1Vert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</w:tcBorders>
        <w:shd w:val="clear" w:color="auto" w:fill="D0E0F4"/>
      </w:tcPr>
    </w:tblStylePr>
    <w:tblStylePr w:type="band1Horz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  <w:insideV w:val="single" w:sz="8" w:space="0" w:color="4584D3"/>
        </w:tcBorders>
        <w:shd w:val="clear" w:color="auto" w:fill="D0E0F4"/>
      </w:tcPr>
    </w:tblStylePr>
    <w:tblStylePr w:type="band2Horz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  <w:insideV w:val="single" w:sz="8" w:space="0" w:color="4584D3"/>
        </w:tcBorders>
      </w:tcPr>
    </w:tblStylePr>
  </w:style>
  <w:style w:type="table" w:styleId="Jasnasiatkaakcent2">
    <w:name w:val="Light Grid Accent 2"/>
    <w:basedOn w:val="Standardowy"/>
    <w:uiPriority w:val="62"/>
    <w:rsid w:val="005072C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kapitzlist">
    <w:name w:val="List Paragraph"/>
    <w:basedOn w:val="Normalny"/>
    <w:uiPriority w:val="34"/>
    <w:qFormat/>
    <w:rsid w:val="00507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2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C5"/>
  </w:style>
  <w:style w:type="paragraph" w:styleId="Stopka">
    <w:name w:val="footer"/>
    <w:basedOn w:val="Normalny"/>
    <w:link w:val="StopkaZnak"/>
    <w:uiPriority w:val="99"/>
    <w:unhideWhenUsed/>
    <w:rsid w:val="005072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2C5"/>
    <w:pPr>
      <w:spacing w:before="120"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072C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7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link w:val="BezodstpwZnak"/>
    <w:uiPriority w:val="1"/>
    <w:qFormat/>
    <w:rsid w:val="005072C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072C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2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2C5"/>
    <w:rPr>
      <w:rFonts w:ascii="Tahoma" w:hAnsi="Tahoma" w:cs="Tahoma"/>
      <w:sz w:val="16"/>
      <w:szCs w:val="16"/>
    </w:rPr>
  </w:style>
  <w:style w:type="table" w:customStyle="1" w:styleId="Jasnasiatkaakcent22">
    <w:name w:val="Jasna siatka — akcent 22"/>
    <w:basedOn w:val="Standardowy"/>
    <w:next w:val="Jasnasiatkaakcent2"/>
    <w:uiPriority w:val="62"/>
    <w:rsid w:val="005072C5"/>
    <w:pPr>
      <w:spacing w:after="0" w:line="240" w:lineRule="auto"/>
    </w:pPr>
    <w:tblPr>
      <w:tblStyleRowBandSize w:val="1"/>
      <w:tblStyleColBandSize w:val="1"/>
      <w:tblBorders>
        <w:top w:val="single" w:sz="8" w:space="0" w:color="4584D3"/>
        <w:left w:val="single" w:sz="8" w:space="0" w:color="4584D3"/>
        <w:bottom w:val="single" w:sz="8" w:space="0" w:color="4584D3"/>
        <w:right w:val="single" w:sz="8" w:space="0" w:color="4584D3"/>
        <w:insideH w:val="single" w:sz="8" w:space="0" w:color="4584D3"/>
        <w:insideV w:val="single" w:sz="8" w:space="0" w:color="4584D3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584D3"/>
          <w:left w:val="single" w:sz="8" w:space="0" w:color="4584D3"/>
          <w:bottom w:val="single" w:sz="18" w:space="0" w:color="4584D3"/>
          <w:right w:val="single" w:sz="8" w:space="0" w:color="4584D3"/>
          <w:insideH w:val="nil"/>
          <w:insideV w:val="single" w:sz="8" w:space="0" w:color="4584D3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584D3"/>
          <w:left w:val="single" w:sz="8" w:space="0" w:color="4584D3"/>
          <w:bottom w:val="single" w:sz="8" w:space="0" w:color="4584D3"/>
          <w:right w:val="single" w:sz="8" w:space="0" w:color="4584D3"/>
          <w:insideH w:val="nil"/>
          <w:insideV w:val="single" w:sz="8" w:space="0" w:color="4584D3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</w:tcBorders>
      </w:tcPr>
    </w:tblStylePr>
    <w:tblStylePr w:type="band1Vert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</w:tcBorders>
        <w:shd w:val="clear" w:color="auto" w:fill="D0E0F4"/>
      </w:tcPr>
    </w:tblStylePr>
    <w:tblStylePr w:type="band1Horz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  <w:insideV w:val="single" w:sz="8" w:space="0" w:color="4584D3"/>
        </w:tcBorders>
        <w:shd w:val="clear" w:color="auto" w:fill="D0E0F4"/>
      </w:tcPr>
    </w:tblStylePr>
    <w:tblStylePr w:type="band2Horz">
      <w:tblPr/>
      <w:tcPr>
        <w:tcBorders>
          <w:top w:val="single" w:sz="8" w:space="0" w:color="4584D3"/>
          <w:left w:val="single" w:sz="8" w:space="0" w:color="4584D3"/>
          <w:bottom w:val="single" w:sz="8" w:space="0" w:color="4584D3"/>
          <w:right w:val="single" w:sz="8" w:space="0" w:color="4584D3"/>
          <w:insideV w:val="single" w:sz="8" w:space="0" w:color="4584D3"/>
        </w:tcBorders>
      </w:tcPr>
    </w:tblStylePr>
  </w:style>
  <w:style w:type="table" w:styleId="Jasnasiatkaakcent2">
    <w:name w:val="Light Grid Accent 2"/>
    <w:basedOn w:val="Standardowy"/>
    <w:uiPriority w:val="62"/>
    <w:rsid w:val="005072C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kapitzlist">
    <w:name w:val="List Paragraph"/>
    <w:basedOn w:val="Normalny"/>
    <w:uiPriority w:val="34"/>
    <w:qFormat/>
    <w:rsid w:val="00507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2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2C5"/>
  </w:style>
  <w:style w:type="paragraph" w:styleId="Stopka">
    <w:name w:val="footer"/>
    <w:basedOn w:val="Normalny"/>
    <w:link w:val="StopkaZnak"/>
    <w:uiPriority w:val="99"/>
    <w:unhideWhenUsed/>
    <w:rsid w:val="005072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zintegrowanych w ramach Strategii rozwoju ponadlokalnego Hrubieszowskiego Obszaru Funkcjonalnego na lata 2021 – 2030</vt:lpstr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zintegrowanych w ramach Strategii rozwoju ponadlokalnego Hrubieszowskiego Obszaru Funkcjonalnego na lata 2021 – 2030</dc:title>
  <dc:subject>Załącznik nr 2 do Strategii rozwoju ponadlokalnego Hrubieszowskiego Obszaru Funkcjonalnego na lata 2021 – 2030</dc:subject>
  <dc:creator>EuroCompass Sp. z o.o.</dc:creator>
  <cp:lastModifiedBy>EuroCompass Sp. z o.o.</cp:lastModifiedBy>
  <cp:revision>5</cp:revision>
  <cp:lastPrinted>2023-07-25T07:48:00Z</cp:lastPrinted>
  <dcterms:created xsi:type="dcterms:W3CDTF">2023-07-14T11:26:00Z</dcterms:created>
  <dcterms:modified xsi:type="dcterms:W3CDTF">2023-07-25T07:48:00Z</dcterms:modified>
</cp:coreProperties>
</file>