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Calibri" w:eastAsia="Times New Roman" w:hAnsi="Calibri" w:cs="Calibri"/>
          <w:sz w:val="72"/>
          <w:szCs w:val="72"/>
        </w:rPr>
        <w:id w:val="-1318486581"/>
        <w:docPartObj>
          <w:docPartGallery w:val="Cover Pages"/>
          <w:docPartUnique/>
        </w:docPartObj>
      </w:sdtPr>
      <w:sdtEndPr>
        <w:rPr>
          <w:rFonts w:eastAsia="Calibri" w:cs="Times New Roman"/>
          <w:sz w:val="22"/>
          <w:szCs w:val="22"/>
        </w:rPr>
      </w:sdtEndPr>
      <w:sdtContent>
        <w:p w:rsidR="00E320BC" w:rsidRPr="00E320BC" w:rsidRDefault="00E320BC" w:rsidP="00E320BC">
          <w:pPr>
            <w:spacing w:after="0" w:line="240" w:lineRule="auto"/>
            <w:ind w:firstLine="357"/>
            <w:rPr>
              <w:rFonts w:ascii="Calibri" w:eastAsia="Times New Roman" w:hAnsi="Calibri" w:cs="Calibri"/>
              <w:sz w:val="72"/>
              <w:szCs w:val="72"/>
              <w:lang w:eastAsia="pl-PL"/>
            </w:rPr>
          </w:pPr>
          <w:r w:rsidRPr="00E320BC">
            <w:rPr>
              <w:rFonts w:ascii="Calibri" w:eastAsia="Times New Roman" w:hAnsi="Calibri" w:cs="Calibri"/>
              <w:noProof/>
              <w:lang w:eastAsia="pl-PL"/>
            </w:rPr>
            <mc:AlternateContent>
              <mc:Choice Requires="wps">
                <w:drawing>
                  <wp:anchor distT="0" distB="0" distL="114300" distR="114300" simplePos="0" relativeHeight="251659264" behindDoc="0" locked="0" layoutInCell="0" allowOverlap="1" wp14:anchorId="0B357763" wp14:editId="1D31D2AE">
                    <wp:simplePos x="0" y="0"/>
                    <wp:positionH relativeFrom="page">
                      <wp:align>center</wp:align>
                    </wp:positionH>
                    <wp:positionV relativeFrom="page">
                      <wp:align>bottom</wp:align>
                    </wp:positionV>
                    <wp:extent cx="8161020" cy="817880"/>
                    <wp:effectExtent l="0" t="0" r="0" b="5080"/>
                    <wp:wrapNone/>
                    <wp:docPr id="7" name="Prostoką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17880"/>
                            </a:xfrm>
                            <a:prstGeom prst="rect">
                              <a:avLst/>
                            </a:prstGeom>
                            <a:solidFill>
                              <a:srgbClr val="F5C040"/>
                            </a:solidFill>
                            <a:ln w="9525">
                              <a:solidFill>
                                <a:srgbClr val="31B6FD"/>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Prostokąt 2" o:spid="_x0000_s1026" style="position:absolute;margin-left:0;margin-top:0;width:642.6pt;height:64.4pt;z-index:251659264;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" o:allowincell="f" fillcolor="#f5c040" strokecolor="#31b6fd">
                    <w10:wrap anchorx="page" anchory="page"/>
                  </v:rect>
                </w:pict>
              </mc:Fallback>
            </mc:AlternateContent>
          </w:r>
          <w:r w:rsidRPr="00E320BC">
            <w:rPr>
              <w:rFonts w:ascii="Calibri" w:eastAsia="Times New Roman" w:hAnsi="Calibri" w:cs="Calibri"/>
              <w:noProof/>
              <w:lang w:eastAsia="pl-PL"/>
            </w:rPr>
            <mc:AlternateContent>
              <mc:Choice Requires="wps">
                <w:drawing>
                  <wp:anchor distT="0" distB="0" distL="114300" distR="114300" simplePos="0" relativeHeight="251662336" behindDoc="0" locked="0" layoutInCell="0" allowOverlap="1" wp14:anchorId="1B6C27A8" wp14:editId="1F3A09F9">
                    <wp:simplePos x="0" y="0"/>
                    <wp:positionH relativeFrom="leftMargin">
                      <wp:align>center</wp:align>
                    </wp:positionH>
                    <wp:positionV relativeFrom="page">
                      <wp:align>center</wp:align>
                    </wp:positionV>
                    <wp:extent cx="90805" cy="10556240"/>
                    <wp:effectExtent l="0" t="0" r="4445" b="5080"/>
                    <wp:wrapNone/>
                    <wp:docPr id="8" name="Prostokąt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rgbClr val="31B6F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Prostokąt 5" o:spid="_x0000_s1026" style="position:absolute;margin-left:0;margin-top:0;width:7.15pt;height:831.2pt;z-index:251662336;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" o:allowincell="f" strokecolor="#31b6fd">
                    <w10:wrap anchorx="margin" anchory="page"/>
                  </v:rect>
                </w:pict>
              </mc:Fallback>
            </mc:AlternateContent>
          </w:r>
          <w:r w:rsidRPr="00E320BC">
            <w:rPr>
              <w:rFonts w:ascii="Calibri" w:eastAsia="Times New Roman" w:hAnsi="Calibri" w:cs="Calibri"/>
              <w:noProof/>
              <w:lang w:eastAsia="pl-PL"/>
            </w:rPr>
            <mc:AlternateContent>
              <mc:Choice Requires="wps">
                <w:drawing>
                  <wp:anchor distT="0" distB="0" distL="114300" distR="114300" simplePos="0" relativeHeight="251661312" behindDoc="0" locked="0" layoutInCell="0" allowOverlap="1" wp14:anchorId="109D5E8E" wp14:editId="00411531">
                    <wp:simplePos x="0" y="0"/>
                    <wp:positionH relativeFrom="rightMargin">
                      <wp:align>center</wp:align>
                    </wp:positionH>
                    <wp:positionV relativeFrom="page">
                      <wp:align>center</wp:align>
                    </wp:positionV>
                    <wp:extent cx="90805" cy="10556240"/>
                    <wp:effectExtent l="0" t="0" r="4445" b="5080"/>
                    <wp:wrapNone/>
                    <wp:docPr id="9" name="Prostokąt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0556240"/>
                            </a:xfrm>
                            <a:prstGeom prst="rect">
                              <a:avLst/>
                            </a:prstGeom>
                            <a:solidFill>
                              <a:srgbClr val="FFFFFF"/>
                            </a:solidFill>
                            <a:ln w="9525">
                              <a:solidFill>
                                <a:srgbClr val="31B6F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id="Prostokąt 4" o:spid="_x0000_s1026" style="position:absolute;margin-left:0;margin-top:0;width:7.15pt;height:831.2pt;z-index:251661312;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" o:allowincell="f" strokecolor="#31b6fd">
                    <w10:wrap anchorx="margin" anchory="page"/>
                  </v:rect>
                </w:pict>
              </mc:Fallback>
            </mc:AlternateContent>
          </w:r>
          <w:r w:rsidRPr="00E320BC">
            <w:rPr>
              <w:rFonts w:ascii="Calibri" w:eastAsia="Times New Roman" w:hAnsi="Calibri" w:cs="Calibri"/>
              <w:noProof/>
              <w:lang w:eastAsia="pl-PL"/>
            </w:rPr>
            <mc:AlternateContent>
              <mc:Choice Requires="wps">
                <w:drawing>
                  <wp:anchor distT="0" distB="0" distL="114300" distR="114300" simplePos="0" relativeHeight="251660288" behindDoc="0" locked="0" layoutInCell="0" allowOverlap="1" wp14:anchorId="5BD698FB" wp14:editId="52B7C2C4">
                    <wp:simplePos x="0" y="0"/>
                    <wp:positionH relativeFrom="page">
                      <wp:align>center</wp:align>
                    </wp:positionH>
                    <wp:positionV relativeFrom="topMargin">
                      <wp:align>top</wp:align>
                    </wp:positionV>
                    <wp:extent cx="8161020" cy="822960"/>
                    <wp:effectExtent l="0" t="0" r="0" b="0"/>
                    <wp:wrapNone/>
                    <wp:docPr id="10"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61020" cy="822960"/>
                            </a:xfrm>
                            <a:prstGeom prst="rect">
                              <a:avLst/>
                            </a:prstGeom>
                            <a:solidFill>
                              <a:srgbClr val="F5C040"/>
                            </a:solidFill>
                            <a:ln w="9525">
                              <a:solidFill>
                                <a:srgbClr val="31B6FD"/>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id="Prostokąt 3" o:spid="_x0000_s1026" style="position:absolute;margin-left:0;margin-top:0;width:642.6pt;height:64.8pt;z-index:251660288;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" o:allowincell="f" fillcolor="#f5c040" strokecolor="#31b6fd">
                    <w10:wrap anchorx="page" anchory="margin"/>
                  </v:rect>
                </w:pict>
              </mc:Fallback>
            </mc:AlternateContent>
          </w:r>
        </w:p>
        <w:p w:rsidR="00E320BC" w:rsidRPr="00E320BC" w:rsidRDefault="00E320BC" w:rsidP="00E320BC">
          <w:pPr>
            <w:pBdr>
              <w:bottom w:val="single" w:sz="8" w:space="4" w:color="31B6FD"/>
            </w:pBdr>
            <w:spacing w:after="300" w:line="240" w:lineRule="auto"/>
            <w:ind w:firstLine="357"/>
            <w:contextualSpacing/>
            <w:jc w:val="center"/>
            <w:rPr>
              <w:rFonts w:ascii="Cambria" w:eastAsia="Times New Roman" w:hAnsi="Cambria" w:cs="Calibri"/>
              <w:color w:val="052E65"/>
              <w:spacing w:val="5"/>
              <w:kern w:val="28"/>
              <w:sz w:val="36"/>
              <w:szCs w:val="36"/>
            </w:rPr>
          </w:pPr>
          <w:r w:rsidRPr="00E320BC">
            <w:rPr>
              <w:rFonts w:ascii="Cambria" w:eastAsia="Times New Roman" w:hAnsi="Cambria" w:cs="Times New Roman"/>
              <w:color w:val="052E65"/>
              <w:spacing w:val="5"/>
              <w:kern w:val="28"/>
              <w:sz w:val="52"/>
              <w:szCs w:val="52"/>
            </w:rPr>
            <w:t>Strategia rozwoju ponadlokalnego Hrubieszowskiego Obszaru Funkcjonalnego na lata 2021 – 2030</w:t>
          </w:r>
        </w:p>
        <w:p w:rsidR="00E320BC" w:rsidRPr="00E320BC" w:rsidRDefault="00E320BC" w:rsidP="00E320BC">
          <w:pPr>
            <w:spacing w:after="0" w:line="240" w:lineRule="auto"/>
            <w:ind w:firstLine="357"/>
            <w:rPr>
              <w:rFonts w:ascii="Calibri" w:eastAsia="Times New Roman" w:hAnsi="Calibri" w:cs="Calibri"/>
              <w:sz w:val="36"/>
              <w:szCs w:val="36"/>
              <w:lang w:eastAsia="pl-PL"/>
            </w:rPr>
          </w:pPr>
        </w:p>
        <w:p w:rsidR="00E320BC" w:rsidRPr="00E320BC" w:rsidRDefault="00E320BC" w:rsidP="00E320BC">
          <w:pPr>
            <w:spacing w:after="0" w:line="240" w:lineRule="auto"/>
            <w:ind w:firstLine="357"/>
            <w:jc w:val="center"/>
            <w:rPr>
              <w:rFonts w:ascii="Calibri" w:eastAsia="Times New Roman" w:hAnsi="Calibri" w:cs="Calibri"/>
              <w:sz w:val="36"/>
              <w:szCs w:val="36"/>
              <w:lang w:eastAsia="pl-PL"/>
            </w:rPr>
          </w:pPr>
          <w:r w:rsidRPr="00E320BC">
            <w:rPr>
              <w:rFonts w:ascii="Calibri" w:eastAsia="Candara" w:hAnsi="Calibri" w:cs="Candara"/>
              <w:noProof/>
              <w:lang w:eastAsia="pl-PL"/>
            </w:rPr>
            <w:drawing>
              <wp:inline distT="0" distB="0" distL="0" distR="0" wp14:anchorId="6EB7C71F" wp14:editId="1B5EDC03">
                <wp:extent cx="4101220" cy="5199999"/>
                <wp:effectExtent l="0" t="0" r="0" b="127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ładk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27394" cy="5233186"/>
                        </a:xfrm>
                        <a:prstGeom prst="rect">
                          <a:avLst/>
                        </a:prstGeom>
                      </pic:spPr>
                    </pic:pic>
                  </a:graphicData>
                </a:graphic>
              </wp:inline>
            </w:drawing>
          </w:r>
        </w:p>
        <w:p w:rsidR="00E320BC" w:rsidRPr="00E320BC" w:rsidRDefault="00E320BC" w:rsidP="00E320BC">
          <w:pPr>
            <w:spacing w:after="0"/>
            <w:ind w:firstLine="357"/>
            <w:rPr>
              <w:rFonts w:ascii="Calibri" w:eastAsia="Calibri" w:hAnsi="Calibri" w:cs="Times New Roman"/>
            </w:rPr>
          </w:pPr>
        </w:p>
        <w:p w:rsidR="00E320BC" w:rsidRPr="00E320BC" w:rsidRDefault="00E320BC" w:rsidP="00E320BC">
          <w:pPr>
            <w:spacing w:after="0"/>
            <w:ind w:firstLine="357"/>
            <w:rPr>
              <w:rFonts w:ascii="Calibri" w:eastAsia="Calibri" w:hAnsi="Calibri" w:cs="Times New Roman"/>
            </w:rPr>
          </w:pPr>
          <w:r w:rsidRPr="00E320BC">
            <w:rPr>
              <w:rFonts w:ascii="Calibri" w:eastAsia="Calibri" w:hAnsi="Calibri" w:cs="Times New Roman"/>
            </w:rPr>
            <w:br w:type="page"/>
          </w:r>
        </w:p>
      </w:sdtContent>
    </w:sdt>
    <w:p w:rsidR="00E320BC" w:rsidRPr="00E320BC" w:rsidRDefault="00E320BC" w:rsidP="00E320BC">
      <w:pPr>
        <w:spacing w:after="0"/>
        <w:ind w:firstLine="357"/>
        <w:rPr>
          <w:rFonts w:ascii="Calibri" w:eastAsia="Candara" w:hAnsi="Calibri" w:cs="Candara"/>
        </w:rPr>
      </w:pPr>
      <w:r w:rsidRPr="00E320BC">
        <w:rPr>
          <w:rFonts w:ascii="Calibri" w:eastAsia="Calibri" w:hAnsi="Calibri" w:cs="Candara"/>
        </w:rPr>
        <w:lastRenderedPageBreak/>
        <w:t xml:space="preserve">Strategia rozwoju ponadlokalnego Hrubieszowskiego Obszaru Funkcjonalnego na lata 2021-2030 </w:t>
      </w:r>
      <w:r w:rsidRPr="00E320BC">
        <w:rPr>
          <w:rFonts w:ascii="Calibri" w:eastAsia="Candara" w:hAnsi="Calibri" w:cs="Candara"/>
        </w:rPr>
        <w:t xml:space="preserve">została opracowana przez firmę </w:t>
      </w:r>
      <w:proofErr w:type="spellStart"/>
      <w:r w:rsidRPr="00E320BC">
        <w:rPr>
          <w:rFonts w:ascii="Calibri" w:eastAsia="Candara" w:hAnsi="Calibri" w:cs="Candara"/>
          <w:color w:val="05436B"/>
        </w:rPr>
        <w:t>EuroCompass</w:t>
      </w:r>
      <w:proofErr w:type="spellEnd"/>
      <w:r w:rsidRPr="00E320BC">
        <w:rPr>
          <w:rFonts w:ascii="Calibri" w:eastAsia="Candara" w:hAnsi="Calibri" w:cs="Candara"/>
          <w:color w:val="05436B"/>
        </w:rPr>
        <w:t xml:space="preserve"> Sp. z o.</w:t>
      </w:r>
      <w:proofErr w:type="gramStart"/>
      <w:r w:rsidRPr="00E320BC">
        <w:rPr>
          <w:rFonts w:ascii="Calibri" w:eastAsia="Candara" w:hAnsi="Calibri" w:cs="Candara"/>
          <w:color w:val="05436B"/>
        </w:rPr>
        <w:t>o</w:t>
      </w:r>
      <w:proofErr w:type="gramEnd"/>
      <w:r w:rsidRPr="00E320BC">
        <w:rPr>
          <w:rFonts w:ascii="Calibri" w:eastAsia="Candara" w:hAnsi="Calibri" w:cs="Candara"/>
          <w:color w:val="05436B"/>
        </w:rPr>
        <w:t>.</w:t>
      </w:r>
      <w:r w:rsidRPr="00E320BC">
        <w:rPr>
          <w:rFonts w:ascii="Calibri" w:eastAsia="Candara" w:hAnsi="Calibri" w:cs="Candara"/>
        </w:rPr>
        <w:t xml:space="preserve"> </w:t>
      </w:r>
      <w:proofErr w:type="gramStart"/>
      <w:r w:rsidRPr="00E320BC">
        <w:rPr>
          <w:rFonts w:ascii="Calibri" w:eastAsia="Candara" w:hAnsi="Calibri" w:cs="Candara"/>
        </w:rPr>
        <w:t>na</w:t>
      </w:r>
      <w:proofErr w:type="gramEnd"/>
      <w:r w:rsidR="00572A39">
        <w:rPr>
          <w:rFonts w:ascii="Calibri" w:eastAsia="Candara" w:hAnsi="Calibri" w:cs="Candara"/>
        </w:rPr>
        <w:t xml:space="preserve"> podstawie umowy nr </w:t>
      </w:r>
      <w:r w:rsidRPr="00E320BC">
        <w:rPr>
          <w:rFonts w:ascii="Calibri" w:eastAsia="Candara" w:hAnsi="Calibri" w:cs="Candara"/>
        </w:rPr>
        <w:t xml:space="preserve">WIR.272.2.8.2021.MK z dnia 07.04.2021 </w:t>
      </w:r>
      <w:proofErr w:type="gramStart"/>
      <w:r w:rsidRPr="00E320BC">
        <w:rPr>
          <w:rFonts w:ascii="Calibri" w:eastAsia="Candara" w:hAnsi="Calibri" w:cs="Candara"/>
        </w:rPr>
        <w:t>r</w:t>
      </w:r>
      <w:proofErr w:type="gramEnd"/>
      <w:r w:rsidRPr="00E320BC">
        <w:rPr>
          <w:rFonts w:ascii="Calibri" w:eastAsia="Candara" w:hAnsi="Calibri" w:cs="Candara"/>
        </w:rPr>
        <w:t>.</w:t>
      </w: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Default="00E320BC" w:rsidP="00E320BC">
      <w:pPr>
        <w:spacing w:after="0"/>
        <w:ind w:firstLine="357"/>
        <w:rPr>
          <w:rFonts w:ascii="Cambria" w:eastAsia="Calibri" w:hAnsi="Cambria" w:cs="Times New Roman"/>
          <w:highlight w:val="yellow"/>
        </w:rPr>
      </w:pPr>
    </w:p>
    <w:p w:rsidR="00E320BC" w:rsidRDefault="00E320BC" w:rsidP="00E320BC">
      <w:pPr>
        <w:spacing w:after="0"/>
        <w:ind w:firstLine="357"/>
        <w:rPr>
          <w:rFonts w:ascii="Cambria" w:eastAsia="Calibri" w:hAnsi="Cambria" w:cs="Times New Roman"/>
          <w:highlight w:val="yellow"/>
        </w:rPr>
      </w:pPr>
    </w:p>
    <w:p w:rsidR="00E320BC" w:rsidRDefault="00E320BC" w:rsidP="00E320BC">
      <w:pPr>
        <w:spacing w:after="0"/>
        <w:ind w:firstLine="357"/>
        <w:rPr>
          <w:rFonts w:ascii="Cambria" w:eastAsia="Calibri" w:hAnsi="Cambria" w:cs="Times New Roman"/>
          <w:highlight w:val="yellow"/>
        </w:rPr>
      </w:pPr>
    </w:p>
    <w:p w:rsid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rPr>
          <w:rFonts w:ascii="Cambria" w:eastAsia="Calibri" w:hAnsi="Cambria" w:cs="Times New Roman"/>
          <w:highlight w:val="yellow"/>
        </w:rPr>
      </w:pPr>
    </w:p>
    <w:p w:rsidR="00E320BC" w:rsidRPr="00E320BC" w:rsidRDefault="00E320BC" w:rsidP="00E320BC">
      <w:pPr>
        <w:spacing w:after="0"/>
        <w:ind w:firstLine="357"/>
        <w:jc w:val="right"/>
        <w:rPr>
          <w:rFonts w:ascii="Cambria" w:eastAsia="Candara" w:hAnsi="Cambria" w:cs="Times New Roman"/>
        </w:rPr>
      </w:pPr>
      <w:r w:rsidRPr="00E320BC">
        <w:rPr>
          <w:rFonts w:ascii="Calibri" w:eastAsia="Candara" w:hAnsi="Calibri" w:cs="Times New Roman"/>
          <w:noProof/>
          <w:lang w:eastAsia="pl-PL"/>
        </w:rPr>
        <w:drawing>
          <wp:inline distT="0" distB="0" distL="0" distR="0" wp14:anchorId="464D3F6E" wp14:editId="1C873B46">
            <wp:extent cx="1812898" cy="749013"/>
            <wp:effectExtent l="0" t="0" r="0" b="0"/>
            <wp:docPr id="2" name="Obraz 2" descr="C:\Users\stacja robocza\Desktop\Pracownicze\LOGO\eurocompass_logo_spz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tacja robocza\Desktop\Pracownicze\LOGO\eurocompass_logo_spzoo.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17422" cy="750882"/>
                    </a:xfrm>
                    <a:prstGeom prst="rect">
                      <a:avLst/>
                    </a:prstGeom>
                    <a:noFill/>
                    <a:ln>
                      <a:noFill/>
                    </a:ln>
                  </pic:spPr>
                </pic:pic>
              </a:graphicData>
            </a:graphic>
          </wp:inline>
        </w:drawing>
      </w:r>
    </w:p>
    <w:p w:rsidR="00E320BC" w:rsidRPr="00E320BC" w:rsidRDefault="00E320BC" w:rsidP="00E320BC">
      <w:pPr>
        <w:spacing w:after="0"/>
        <w:ind w:firstLine="357"/>
        <w:rPr>
          <w:rFonts w:ascii="Cambria" w:eastAsia="Candara" w:hAnsi="Cambria" w:cs="Times New Roman"/>
        </w:rPr>
      </w:pPr>
    </w:p>
    <w:p w:rsidR="00E320BC" w:rsidRPr="00E320BC" w:rsidRDefault="00E320BC" w:rsidP="00E320BC">
      <w:pPr>
        <w:spacing w:after="0"/>
        <w:ind w:firstLine="357"/>
        <w:jc w:val="right"/>
        <w:rPr>
          <w:rFonts w:ascii="Cambria" w:eastAsia="Candara" w:hAnsi="Cambria" w:cs="Times New Roman"/>
          <w:color w:val="073E87"/>
        </w:rPr>
      </w:pPr>
      <w:r w:rsidRPr="00E320BC">
        <w:rPr>
          <w:rFonts w:ascii="Cambria" w:eastAsia="Candara" w:hAnsi="Cambria" w:cs="Times New Roman"/>
          <w:color w:val="073E87"/>
        </w:rPr>
        <w:t>Eksperci zewnętrzni:</w:t>
      </w:r>
    </w:p>
    <w:p w:rsidR="00E320BC" w:rsidRPr="00E320BC" w:rsidRDefault="00E320BC" w:rsidP="00E320BC">
      <w:pPr>
        <w:spacing w:after="0"/>
        <w:ind w:firstLine="357"/>
        <w:jc w:val="right"/>
        <w:rPr>
          <w:rFonts w:ascii="Calibri" w:eastAsia="Candara" w:hAnsi="Calibri" w:cs="Times New Roman"/>
          <w:color w:val="073E87"/>
        </w:rPr>
      </w:pPr>
      <w:r w:rsidRPr="00E320BC">
        <w:rPr>
          <w:rFonts w:ascii="Calibri" w:eastAsia="Candara" w:hAnsi="Calibri" w:cs="Times New Roman"/>
          <w:color w:val="073E87"/>
        </w:rPr>
        <w:t>Ryszard Boguszewski</w:t>
      </w:r>
    </w:p>
    <w:p w:rsidR="00E320BC" w:rsidRPr="00E320BC" w:rsidRDefault="00E320BC" w:rsidP="00E320BC">
      <w:pPr>
        <w:spacing w:after="0"/>
        <w:ind w:firstLine="357"/>
        <w:jc w:val="right"/>
        <w:rPr>
          <w:rFonts w:ascii="Calibri" w:eastAsia="Candara" w:hAnsi="Calibri" w:cs="Times New Roman"/>
          <w:color w:val="073E87"/>
        </w:rPr>
      </w:pPr>
      <w:r w:rsidRPr="00E320BC">
        <w:rPr>
          <w:rFonts w:ascii="Calibri" w:eastAsia="Candara" w:hAnsi="Calibri" w:cs="Times New Roman"/>
          <w:color w:val="073E87"/>
        </w:rPr>
        <w:t xml:space="preserve">Monika </w:t>
      </w:r>
      <w:proofErr w:type="spellStart"/>
      <w:r w:rsidRPr="00E320BC">
        <w:rPr>
          <w:rFonts w:ascii="Calibri" w:eastAsia="Candara" w:hAnsi="Calibri" w:cs="Times New Roman"/>
          <w:color w:val="073E87"/>
        </w:rPr>
        <w:t>Pietruczuk</w:t>
      </w:r>
      <w:proofErr w:type="spellEnd"/>
    </w:p>
    <w:p w:rsidR="00E320BC" w:rsidRPr="00E320BC" w:rsidRDefault="00E320BC" w:rsidP="00E320BC">
      <w:pPr>
        <w:spacing w:after="0"/>
        <w:ind w:firstLine="357"/>
        <w:jc w:val="right"/>
        <w:rPr>
          <w:rFonts w:ascii="Calibri" w:eastAsia="Candara" w:hAnsi="Calibri" w:cs="Times New Roman"/>
          <w:color w:val="073E87"/>
        </w:rPr>
      </w:pPr>
      <w:r w:rsidRPr="00E320BC">
        <w:rPr>
          <w:rFonts w:ascii="Calibri" w:eastAsia="Candara" w:hAnsi="Calibri" w:cs="Times New Roman"/>
          <w:color w:val="073E87"/>
        </w:rPr>
        <w:t>Beata Filipowicz</w:t>
      </w:r>
    </w:p>
    <w:p w:rsidR="00E320BC" w:rsidRPr="00E320BC" w:rsidRDefault="00E320BC" w:rsidP="00E320BC">
      <w:pPr>
        <w:spacing w:after="0"/>
        <w:ind w:firstLine="357"/>
        <w:rPr>
          <w:rFonts w:ascii="Calibri" w:eastAsia="Candara" w:hAnsi="Calibri" w:cs="Times New Roman"/>
        </w:rPr>
      </w:pP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br w:type="page"/>
      </w:r>
    </w:p>
    <w:sdt>
      <w:sdtPr>
        <w:rPr>
          <w:rFonts w:asciiTheme="minorHAnsi" w:eastAsiaTheme="minorHAnsi" w:hAnsiTheme="minorHAnsi" w:cstheme="minorBidi"/>
          <w:b w:val="0"/>
          <w:bCs w:val="0"/>
          <w:color w:val="auto"/>
          <w:sz w:val="22"/>
          <w:szCs w:val="22"/>
          <w:lang w:eastAsia="en-US"/>
        </w:rPr>
        <w:id w:val="2046939366"/>
        <w:docPartObj>
          <w:docPartGallery w:val="Table of Contents"/>
          <w:docPartUnique/>
        </w:docPartObj>
      </w:sdtPr>
      <w:sdtEndPr/>
      <w:sdtContent>
        <w:p w:rsidR="00256894" w:rsidRDefault="00256894">
          <w:pPr>
            <w:pStyle w:val="Nagwekspisutreci"/>
          </w:pPr>
          <w:r>
            <w:t>Spis treści</w:t>
          </w:r>
        </w:p>
        <w:p w:rsidR="00577C1C" w:rsidRPr="00A7348C" w:rsidRDefault="00256894" w:rsidP="00577C1C">
          <w:pPr>
            <w:pStyle w:val="Spistreci1"/>
            <w:tabs>
              <w:tab w:val="left" w:pos="1100"/>
            </w:tabs>
            <w:spacing w:before="0" w:after="0"/>
            <w:rPr>
              <w:rFonts w:eastAsiaTheme="minorEastAsia" w:cstheme="minorHAnsi"/>
              <w:noProof/>
              <w:lang w:eastAsia="pl-PL"/>
            </w:rPr>
          </w:pPr>
          <w:r w:rsidRPr="00A7348C">
            <w:rPr>
              <w:rFonts w:cstheme="minorHAnsi"/>
            </w:rPr>
            <w:fldChar w:fldCharType="begin"/>
          </w:r>
          <w:r w:rsidRPr="00A7348C">
            <w:rPr>
              <w:rFonts w:cstheme="minorHAnsi"/>
            </w:rPr>
            <w:instrText xml:space="preserve"> TOC \o "1-3" \h \z \u </w:instrText>
          </w:r>
          <w:r w:rsidRPr="00A7348C">
            <w:rPr>
              <w:rFonts w:cstheme="minorHAnsi"/>
            </w:rPr>
            <w:fldChar w:fldCharType="separate"/>
          </w:r>
          <w:hyperlink w:anchor="_Toc138068769" w:history="1">
            <w:r w:rsidR="00577C1C" w:rsidRPr="00A7348C">
              <w:rPr>
                <w:rStyle w:val="Hipercze"/>
                <w:rFonts w:eastAsia="Times New Roman" w:cstheme="minorHAnsi"/>
                <w:bCs/>
                <w:noProof/>
              </w:rPr>
              <w:t>1.</w:t>
            </w:r>
            <w:r w:rsidR="00577C1C" w:rsidRPr="00A7348C">
              <w:rPr>
                <w:rFonts w:eastAsiaTheme="minorEastAsia" w:cstheme="minorHAnsi"/>
                <w:noProof/>
                <w:lang w:eastAsia="pl-PL"/>
              </w:rPr>
              <w:tab/>
            </w:r>
            <w:r w:rsidR="00577C1C" w:rsidRPr="00A7348C">
              <w:rPr>
                <w:rStyle w:val="Hipercze"/>
                <w:rFonts w:eastAsia="Times New Roman" w:cstheme="minorHAnsi"/>
                <w:bCs/>
                <w:noProof/>
              </w:rPr>
              <w:t>Wstęp</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_Toc138068769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5</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70" w:history="1">
            <w:r w:rsidR="00577C1C" w:rsidRPr="00A7348C">
              <w:rPr>
                <w:rStyle w:val="Hipercze"/>
                <w:rFonts w:cstheme="minorHAnsi"/>
                <w:noProof/>
              </w:rPr>
              <w:t>1.1</w:t>
            </w:r>
            <w:r w:rsidR="00577C1C" w:rsidRPr="00A7348C">
              <w:rPr>
                <w:rFonts w:eastAsiaTheme="minorEastAsia" w:cstheme="minorHAnsi"/>
                <w:noProof/>
                <w:lang w:eastAsia="pl-PL"/>
              </w:rPr>
              <w:tab/>
            </w:r>
            <w:r w:rsidR="00577C1C" w:rsidRPr="00A7348C">
              <w:rPr>
                <w:rStyle w:val="Hipercze"/>
                <w:rFonts w:cstheme="minorHAnsi"/>
                <w:noProof/>
              </w:rPr>
              <w:t>Metodyka prac nad strategią</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_Toc138068770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8</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71" w:history="1">
            <w:r w:rsidR="00577C1C" w:rsidRPr="00A7348C">
              <w:rPr>
                <w:rStyle w:val="Hipercze"/>
                <w:rFonts w:eastAsia="Candara" w:cstheme="minorHAnsi"/>
                <w:noProof/>
              </w:rPr>
              <w:t>1.2</w:t>
            </w:r>
            <w:r w:rsidR="00577C1C" w:rsidRPr="00A7348C">
              <w:rPr>
                <w:rFonts w:eastAsiaTheme="minorEastAsia" w:cstheme="minorHAnsi"/>
                <w:noProof/>
                <w:lang w:eastAsia="pl-PL"/>
              </w:rPr>
              <w:tab/>
            </w:r>
            <w:r w:rsidR="00577C1C" w:rsidRPr="00A7348C">
              <w:rPr>
                <w:rStyle w:val="Hipercze"/>
                <w:rFonts w:eastAsia="Candara" w:cstheme="minorHAnsi"/>
                <w:noProof/>
              </w:rPr>
              <w:t>Związek ZIT</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_Toc138068771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10</w:t>
            </w:r>
            <w:r w:rsidR="00577C1C" w:rsidRPr="00A7348C">
              <w:rPr>
                <w:rFonts w:cstheme="minorHAnsi"/>
                <w:noProof/>
                <w:webHidden/>
              </w:rPr>
              <w:fldChar w:fldCharType="end"/>
            </w:r>
          </w:hyperlink>
        </w:p>
        <w:p w:rsidR="00577C1C" w:rsidRPr="00A7348C" w:rsidRDefault="00E20FF4" w:rsidP="00577C1C">
          <w:pPr>
            <w:pStyle w:val="Spistreci1"/>
            <w:tabs>
              <w:tab w:val="left" w:pos="1100"/>
            </w:tabs>
            <w:spacing w:before="0" w:after="0"/>
            <w:rPr>
              <w:rFonts w:eastAsiaTheme="minorEastAsia" w:cstheme="minorHAnsi"/>
              <w:noProof/>
              <w:lang w:eastAsia="pl-PL"/>
            </w:rPr>
          </w:pPr>
          <w:hyperlink w:anchor="_Toc138068772" w:history="1">
            <w:r w:rsidR="00577C1C" w:rsidRPr="00A7348C">
              <w:rPr>
                <w:rStyle w:val="Hipercze"/>
                <w:rFonts w:cstheme="minorHAnsi"/>
                <w:noProof/>
              </w:rPr>
              <w:t>2.</w:t>
            </w:r>
            <w:r w:rsidR="00577C1C" w:rsidRPr="00A7348C">
              <w:rPr>
                <w:rFonts w:eastAsiaTheme="minorEastAsia" w:cstheme="minorHAnsi"/>
                <w:noProof/>
                <w:lang w:eastAsia="pl-PL"/>
              </w:rPr>
              <w:tab/>
            </w:r>
            <w:r w:rsidR="00577C1C" w:rsidRPr="00A7348C">
              <w:rPr>
                <w:rStyle w:val="Hipercze"/>
                <w:rFonts w:cstheme="minorHAnsi"/>
                <w:noProof/>
              </w:rPr>
              <w:t>Podsumowanie diagnozy HOF</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_Toc138068772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12</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73" w:history="1">
            <w:r w:rsidR="00577C1C" w:rsidRPr="00A7348C">
              <w:rPr>
                <w:rStyle w:val="Hipercze"/>
                <w:rFonts w:eastAsia="Times New Roman" w:cstheme="minorHAnsi"/>
                <w:bCs/>
                <w:noProof/>
              </w:rPr>
              <w:t>2.1</w:t>
            </w:r>
            <w:r w:rsidR="00577C1C" w:rsidRPr="00A7348C">
              <w:rPr>
                <w:rFonts w:eastAsiaTheme="minorEastAsia" w:cstheme="minorHAnsi"/>
                <w:noProof/>
                <w:lang w:eastAsia="pl-PL"/>
              </w:rPr>
              <w:tab/>
            </w:r>
            <w:r w:rsidR="00577C1C" w:rsidRPr="00A7348C">
              <w:rPr>
                <w:rStyle w:val="Hipercze"/>
                <w:rFonts w:eastAsia="Times New Roman" w:cstheme="minorHAnsi"/>
                <w:bCs/>
                <w:noProof/>
              </w:rPr>
              <w:t>Analiza strategiczna (SWOT) Hrubieszowskiego Obszaru Funkcjonalnego</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_Toc138068773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55</w:t>
            </w:r>
            <w:r w:rsidR="00577C1C" w:rsidRPr="00A7348C">
              <w:rPr>
                <w:rFonts w:cstheme="minorHAnsi"/>
                <w:noProof/>
                <w:webHidden/>
              </w:rPr>
              <w:fldChar w:fldCharType="end"/>
            </w:r>
          </w:hyperlink>
        </w:p>
        <w:p w:rsidR="00577C1C" w:rsidRPr="00A7348C" w:rsidRDefault="00E20FF4" w:rsidP="00577C1C">
          <w:pPr>
            <w:pStyle w:val="Spistreci1"/>
            <w:tabs>
              <w:tab w:val="left" w:pos="1100"/>
            </w:tabs>
            <w:spacing w:before="0" w:after="0"/>
            <w:rPr>
              <w:rFonts w:eastAsiaTheme="minorEastAsia" w:cstheme="minorHAnsi"/>
              <w:noProof/>
              <w:lang w:eastAsia="pl-PL"/>
            </w:rPr>
          </w:pPr>
          <w:hyperlink w:anchor="_Toc138068774" w:history="1">
            <w:r w:rsidR="00577C1C" w:rsidRPr="00A7348C">
              <w:rPr>
                <w:rStyle w:val="Hipercze"/>
                <w:rFonts w:cstheme="minorHAnsi"/>
                <w:noProof/>
              </w:rPr>
              <w:t>3.</w:t>
            </w:r>
            <w:r w:rsidR="00577C1C" w:rsidRPr="00A7348C">
              <w:rPr>
                <w:rFonts w:eastAsiaTheme="minorEastAsia" w:cstheme="minorHAnsi"/>
                <w:noProof/>
                <w:lang w:eastAsia="pl-PL"/>
              </w:rPr>
              <w:tab/>
            </w:r>
            <w:r w:rsidR="00577C1C" w:rsidRPr="00A7348C">
              <w:rPr>
                <w:rStyle w:val="Hipercze"/>
                <w:rFonts w:cstheme="minorHAnsi"/>
                <w:noProof/>
              </w:rPr>
              <w:t>Wizja, misja i cele rozwoju</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_Toc138068774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63</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75" w:history="1">
            <w:r w:rsidR="00577C1C" w:rsidRPr="00A7348C">
              <w:rPr>
                <w:rStyle w:val="Hipercze"/>
                <w:rFonts w:eastAsia="Times New Roman" w:cstheme="minorHAnsi"/>
                <w:bCs/>
                <w:noProof/>
              </w:rPr>
              <w:t>3.1</w:t>
            </w:r>
            <w:r w:rsidR="00577C1C" w:rsidRPr="00A7348C">
              <w:rPr>
                <w:rFonts w:eastAsiaTheme="minorEastAsia" w:cstheme="minorHAnsi"/>
                <w:noProof/>
                <w:lang w:eastAsia="pl-PL"/>
              </w:rPr>
              <w:tab/>
            </w:r>
            <w:r w:rsidR="00577C1C" w:rsidRPr="00A7348C">
              <w:rPr>
                <w:rStyle w:val="Hipercze"/>
                <w:rFonts w:eastAsia="Times New Roman" w:cstheme="minorHAnsi"/>
                <w:bCs/>
                <w:noProof/>
              </w:rPr>
              <w:t>Wizja i misja</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_Toc138068775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63</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76" w:history="1">
            <w:r w:rsidR="00577C1C" w:rsidRPr="00A7348C">
              <w:rPr>
                <w:rStyle w:val="Hipercze"/>
                <w:rFonts w:eastAsia="Times New Roman" w:cstheme="minorHAnsi"/>
                <w:bCs/>
                <w:noProof/>
              </w:rPr>
              <w:t>3.2</w:t>
            </w:r>
            <w:r w:rsidR="00577C1C" w:rsidRPr="00A7348C">
              <w:rPr>
                <w:rFonts w:eastAsiaTheme="minorEastAsia" w:cstheme="minorHAnsi"/>
                <w:noProof/>
                <w:lang w:eastAsia="pl-PL"/>
              </w:rPr>
              <w:tab/>
            </w:r>
            <w:r w:rsidR="00577C1C" w:rsidRPr="00A7348C">
              <w:rPr>
                <w:rStyle w:val="Hipercze"/>
                <w:rFonts w:eastAsia="Times New Roman" w:cstheme="minorHAnsi"/>
                <w:bCs/>
                <w:noProof/>
              </w:rPr>
              <w:t>Cele strategiczne i operacyjne</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_Toc138068776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64</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77" w:history="1">
            <w:r w:rsidR="00577C1C" w:rsidRPr="00A7348C">
              <w:rPr>
                <w:rStyle w:val="Hipercze"/>
                <w:rFonts w:eastAsia="Times New Roman" w:cstheme="minorHAnsi"/>
                <w:bCs/>
                <w:noProof/>
              </w:rPr>
              <w:t>3.3</w:t>
            </w:r>
            <w:r w:rsidR="00577C1C" w:rsidRPr="00A7348C">
              <w:rPr>
                <w:rFonts w:eastAsiaTheme="minorEastAsia" w:cstheme="minorHAnsi"/>
                <w:noProof/>
                <w:lang w:eastAsia="pl-PL"/>
              </w:rPr>
              <w:tab/>
            </w:r>
            <w:r w:rsidR="00577C1C" w:rsidRPr="00A7348C">
              <w:rPr>
                <w:rStyle w:val="Hipercze"/>
                <w:rFonts w:eastAsia="Times New Roman" w:cstheme="minorHAnsi"/>
                <w:bCs/>
                <w:noProof/>
              </w:rPr>
              <w:t>Kierunki inwestycji (działań) Hrubieszowskiego Obszaru Funkcjonalnego wraz z harmonogramem planowanych przedsięwzięć</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_Toc138068777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69</w:t>
            </w:r>
            <w:r w:rsidR="00577C1C" w:rsidRPr="00A7348C">
              <w:rPr>
                <w:rFonts w:cstheme="minorHAnsi"/>
                <w:noProof/>
                <w:webHidden/>
              </w:rPr>
              <w:fldChar w:fldCharType="end"/>
            </w:r>
          </w:hyperlink>
        </w:p>
        <w:p w:rsidR="00577C1C" w:rsidRPr="00A7348C" w:rsidRDefault="00E20FF4" w:rsidP="00577C1C">
          <w:pPr>
            <w:pStyle w:val="Spistreci1"/>
            <w:spacing w:before="0" w:after="0"/>
            <w:rPr>
              <w:rFonts w:eastAsiaTheme="minorEastAsia" w:cstheme="minorHAnsi"/>
              <w:noProof/>
              <w:lang w:eastAsia="pl-PL"/>
            </w:rPr>
          </w:pPr>
          <w:hyperlink w:anchor="_Toc138068778" w:history="1">
            <w:r w:rsidR="00577C1C" w:rsidRPr="00A7348C">
              <w:rPr>
                <w:rStyle w:val="Hipercze"/>
                <w:rFonts w:cstheme="minorHAnsi"/>
                <w:noProof/>
              </w:rPr>
              <w:t>Cel strategiczny 1. LEPSZA JAKOŚĆ ŻYCIA I ZINTEGROWANA SPOŁECZNOŚĆ LOKALNA</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_Toc138068778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70</w:t>
            </w:r>
            <w:r w:rsidR="00577C1C" w:rsidRPr="00A7348C">
              <w:rPr>
                <w:rFonts w:cstheme="minorHAnsi"/>
                <w:noProof/>
                <w:webHidden/>
              </w:rPr>
              <w:fldChar w:fldCharType="end"/>
            </w:r>
          </w:hyperlink>
        </w:p>
        <w:p w:rsidR="00577C1C" w:rsidRPr="00A7348C" w:rsidRDefault="00E20FF4" w:rsidP="00577C1C">
          <w:pPr>
            <w:pStyle w:val="Spistreci1"/>
            <w:tabs>
              <w:tab w:val="left" w:pos="2348"/>
            </w:tabs>
            <w:spacing w:before="0" w:after="0"/>
            <w:rPr>
              <w:rFonts w:eastAsiaTheme="minorEastAsia" w:cstheme="minorHAnsi"/>
              <w:noProof/>
              <w:lang w:eastAsia="pl-PL"/>
            </w:rPr>
          </w:pPr>
          <w:hyperlink w:anchor="_Toc138068779" w:history="1">
            <w:r w:rsidR="00577C1C" w:rsidRPr="00A7348C">
              <w:rPr>
                <w:rStyle w:val="Hipercze"/>
                <w:rFonts w:cstheme="minorHAnsi"/>
                <w:noProof/>
              </w:rPr>
              <w:t>Cel strategiczny 2.</w:t>
            </w:r>
            <w:r w:rsidR="00577C1C" w:rsidRPr="00A7348C">
              <w:rPr>
                <w:rFonts w:eastAsiaTheme="minorEastAsia" w:cstheme="minorHAnsi"/>
                <w:noProof/>
                <w:lang w:eastAsia="pl-PL"/>
              </w:rPr>
              <w:tab/>
            </w:r>
            <w:r w:rsidR="00577C1C" w:rsidRPr="00A7348C">
              <w:rPr>
                <w:rStyle w:val="Hipercze"/>
                <w:rFonts w:cstheme="minorHAnsi"/>
                <w:noProof/>
              </w:rPr>
              <w:t>CZYSTE ŚRODOWISKO I ADAPTACJA DO ZMIAN KLIMATU</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_Toc138068779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94</w:t>
            </w:r>
            <w:r w:rsidR="00577C1C" w:rsidRPr="00A7348C">
              <w:rPr>
                <w:rFonts w:cstheme="minorHAnsi"/>
                <w:noProof/>
                <w:webHidden/>
              </w:rPr>
              <w:fldChar w:fldCharType="end"/>
            </w:r>
          </w:hyperlink>
        </w:p>
        <w:p w:rsidR="00577C1C" w:rsidRPr="00A7348C" w:rsidRDefault="00E20FF4" w:rsidP="00577C1C">
          <w:pPr>
            <w:pStyle w:val="Spistreci1"/>
            <w:tabs>
              <w:tab w:val="left" w:pos="2348"/>
            </w:tabs>
            <w:spacing w:before="0" w:after="0"/>
            <w:rPr>
              <w:rFonts w:eastAsiaTheme="minorEastAsia" w:cstheme="minorHAnsi"/>
              <w:noProof/>
              <w:lang w:eastAsia="pl-PL"/>
            </w:rPr>
          </w:pPr>
          <w:hyperlink w:anchor="_Toc138068780" w:history="1">
            <w:r w:rsidR="00577C1C" w:rsidRPr="00A7348C">
              <w:rPr>
                <w:rStyle w:val="Hipercze"/>
                <w:rFonts w:cstheme="minorHAnsi"/>
                <w:noProof/>
              </w:rPr>
              <w:t>Cel strategiczny 3.</w:t>
            </w:r>
            <w:r w:rsidR="00577C1C" w:rsidRPr="00A7348C">
              <w:rPr>
                <w:rFonts w:eastAsiaTheme="minorEastAsia" w:cstheme="minorHAnsi"/>
                <w:noProof/>
                <w:lang w:eastAsia="pl-PL"/>
              </w:rPr>
              <w:tab/>
            </w:r>
            <w:r w:rsidR="00577C1C" w:rsidRPr="00A7348C">
              <w:rPr>
                <w:rStyle w:val="Hipercze"/>
                <w:rFonts w:cstheme="minorHAnsi"/>
                <w:noProof/>
              </w:rPr>
              <w:t>ROZWIJAJĄCA SIĘ GOSPODARKA I LOKALNY RYNEK PRACY</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_Toc138068780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108</w:t>
            </w:r>
            <w:r w:rsidR="00577C1C" w:rsidRPr="00A7348C">
              <w:rPr>
                <w:rFonts w:cstheme="minorHAnsi"/>
                <w:noProof/>
                <w:webHidden/>
              </w:rPr>
              <w:fldChar w:fldCharType="end"/>
            </w:r>
          </w:hyperlink>
        </w:p>
        <w:p w:rsidR="00577C1C" w:rsidRPr="00A7348C" w:rsidRDefault="00E20FF4" w:rsidP="00577C1C">
          <w:pPr>
            <w:pStyle w:val="Spistreci1"/>
            <w:spacing w:before="0" w:after="0"/>
            <w:rPr>
              <w:rFonts w:eastAsiaTheme="minorEastAsia" w:cstheme="minorHAnsi"/>
              <w:noProof/>
              <w:lang w:eastAsia="pl-PL"/>
            </w:rPr>
          </w:pPr>
          <w:hyperlink w:anchor="_Toc138068781" w:history="1">
            <w:r w:rsidR="00577C1C" w:rsidRPr="00A7348C">
              <w:rPr>
                <w:rStyle w:val="Hipercze"/>
                <w:rFonts w:cstheme="minorHAnsi"/>
                <w:noProof/>
              </w:rPr>
              <w:t>Cel strategiczny 4. SPRAWNA ADMINISTRACJA I AKTYWNE SPOŁECZEŃSTWO OBYWATELSKIE</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_Toc138068781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123</w:t>
            </w:r>
            <w:r w:rsidR="00577C1C" w:rsidRPr="00A7348C">
              <w:rPr>
                <w:rFonts w:cstheme="minorHAnsi"/>
                <w:noProof/>
                <w:webHidden/>
              </w:rPr>
              <w:fldChar w:fldCharType="end"/>
            </w:r>
          </w:hyperlink>
        </w:p>
        <w:p w:rsidR="00577C1C" w:rsidRPr="00A7348C" w:rsidRDefault="00E20FF4" w:rsidP="00577C1C">
          <w:pPr>
            <w:pStyle w:val="Spistreci1"/>
            <w:tabs>
              <w:tab w:val="left" w:pos="1100"/>
            </w:tabs>
            <w:spacing w:before="0" w:after="0"/>
            <w:rPr>
              <w:rFonts w:eastAsiaTheme="minorEastAsia" w:cstheme="minorHAnsi"/>
              <w:noProof/>
              <w:lang w:eastAsia="pl-PL"/>
            </w:rPr>
          </w:pPr>
          <w:hyperlink w:anchor="_Toc138068782" w:history="1">
            <w:r w:rsidR="00577C1C" w:rsidRPr="00A7348C">
              <w:rPr>
                <w:rStyle w:val="Hipercze"/>
                <w:rFonts w:cstheme="minorHAnsi"/>
                <w:noProof/>
              </w:rPr>
              <w:t>4.</w:t>
            </w:r>
            <w:r w:rsidR="00577C1C" w:rsidRPr="00A7348C">
              <w:rPr>
                <w:rFonts w:eastAsiaTheme="minorEastAsia" w:cstheme="minorHAnsi"/>
                <w:noProof/>
                <w:lang w:eastAsia="pl-PL"/>
              </w:rPr>
              <w:tab/>
            </w:r>
            <w:r w:rsidR="00577C1C" w:rsidRPr="00A7348C">
              <w:rPr>
                <w:rStyle w:val="Hipercze"/>
                <w:rFonts w:cstheme="minorHAnsi"/>
                <w:noProof/>
              </w:rPr>
              <w:t>Wymiar przestrzenny polityki rozwoju Hrubieszowskiego Obszaru Funkcjonalnego</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_Toc138068782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136</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83" w:history="1">
            <w:r w:rsidR="00577C1C" w:rsidRPr="00A7348C">
              <w:rPr>
                <w:rStyle w:val="Hipercze"/>
                <w:rFonts w:eastAsia="Times New Roman" w:cstheme="minorHAnsi"/>
                <w:bCs/>
                <w:noProof/>
              </w:rPr>
              <w:t>4.1</w:t>
            </w:r>
            <w:r w:rsidR="00577C1C" w:rsidRPr="00A7348C">
              <w:rPr>
                <w:rFonts w:eastAsiaTheme="minorEastAsia" w:cstheme="minorHAnsi"/>
                <w:noProof/>
                <w:lang w:eastAsia="pl-PL"/>
              </w:rPr>
              <w:tab/>
            </w:r>
            <w:r w:rsidR="00577C1C" w:rsidRPr="00A7348C">
              <w:rPr>
                <w:rStyle w:val="Hipercze"/>
                <w:rFonts w:eastAsia="Times New Roman" w:cstheme="minorHAnsi"/>
                <w:bCs/>
                <w:noProof/>
              </w:rPr>
              <w:t>Model struktury funkcjonalno-przestrzennej oraz ustalenia i rekomendacje w zakresie kształtowania i prowadzenia polityki przestrzennej w Hrubieszowskim Obszarze Funkcjonalnym</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_Toc138068783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136</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84" w:history="1">
            <w:r w:rsidR="00577C1C" w:rsidRPr="00A7348C">
              <w:rPr>
                <w:rStyle w:val="Hipercze"/>
                <w:rFonts w:eastAsia="Times New Roman" w:cstheme="minorHAnsi"/>
                <w:bCs/>
                <w:noProof/>
              </w:rPr>
              <w:t>4.2</w:t>
            </w:r>
            <w:r w:rsidR="00577C1C" w:rsidRPr="00A7348C">
              <w:rPr>
                <w:rFonts w:eastAsiaTheme="minorEastAsia" w:cstheme="minorHAnsi"/>
                <w:noProof/>
                <w:lang w:eastAsia="pl-PL"/>
              </w:rPr>
              <w:tab/>
            </w:r>
            <w:r w:rsidR="00577C1C" w:rsidRPr="00A7348C">
              <w:rPr>
                <w:rStyle w:val="Hipercze"/>
                <w:rFonts w:eastAsia="Times New Roman" w:cstheme="minorHAnsi"/>
                <w:bCs/>
                <w:noProof/>
              </w:rPr>
              <w:t>Obszary strategicznej interwencji strategii rozwoju województwa lubelskiego</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_Toc138068784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173</w:t>
            </w:r>
            <w:r w:rsidR="00577C1C" w:rsidRPr="00A7348C">
              <w:rPr>
                <w:rFonts w:cstheme="minorHAnsi"/>
                <w:noProof/>
                <w:webHidden/>
              </w:rPr>
              <w:fldChar w:fldCharType="end"/>
            </w:r>
          </w:hyperlink>
        </w:p>
        <w:p w:rsidR="00577C1C" w:rsidRPr="00A7348C" w:rsidRDefault="00E20FF4" w:rsidP="00577C1C">
          <w:pPr>
            <w:pStyle w:val="Spistreci1"/>
            <w:tabs>
              <w:tab w:val="left" w:pos="1100"/>
            </w:tabs>
            <w:spacing w:before="0" w:after="0"/>
            <w:rPr>
              <w:rFonts w:eastAsiaTheme="minorEastAsia" w:cstheme="minorHAnsi"/>
              <w:noProof/>
              <w:lang w:eastAsia="pl-PL"/>
            </w:rPr>
          </w:pPr>
          <w:hyperlink w:anchor="_Toc138068785" w:history="1">
            <w:r w:rsidR="00577C1C" w:rsidRPr="00A7348C">
              <w:rPr>
                <w:rStyle w:val="Hipercze"/>
                <w:rFonts w:cstheme="minorHAnsi"/>
                <w:noProof/>
              </w:rPr>
              <w:t>5.</w:t>
            </w:r>
            <w:r w:rsidR="00577C1C" w:rsidRPr="00A7348C">
              <w:rPr>
                <w:rFonts w:eastAsiaTheme="minorEastAsia" w:cstheme="minorHAnsi"/>
                <w:noProof/>
                <w:lang w:eastAsia="pl-PL"/>
              </w:rPr>
              <w:tab/>
            </w:r>
            <w:r w:rsidR="00577C1C" w:rsidRPr="00A7348C">
              <w:rPr>
                <w:rStyle w:val="Hipercze"/>
                <w:rFonts w:cstheme="minorHAnsi"/>
                <w:noProof/>
              </w:rPr>
              <w:t>System realizacji i finansowanie strategii</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_Toc138068785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176</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86" w:history="1">
            <w:r w:rsidR="00577C1C" w:rsidRPr="00A7348C">
              <w:rPr>
                <w:rStyle w:val="Hipercze"/>
                <w:rFonts w:eastAsia="Times New Roman" w:cstheme="minorHAnsi"/>
                <w:bCs/>
                <w:noProof/>
              </w:rPr>
              <w:t>5.1</w:t>
            </w:r>
            <w:r w:rsidR="00577C1C" w:rsidRPr="00A7348C">
              <w:rPr>
                <w:rFonts w:eastAsiaTheme="minorEastAsia" w:cstheme="minorHAnsi"/>
                <w:noProof/>
                <w:lang w:eastAsia="pl-PL"/>
              </w:rPr>
              <w:tab/>
            </w:r>
            <w:r w:rsidR="00577C1C" w:rsidRPr="00A7348C">
              <w:rPr>
                <w:rStyle w:val="Hipercze"/>
                <w:rFonts w:eastAsia="Times New Roman" w:cstheme="minorHAnsi"/>
                <w:bCs/>
                <w:noProof/>
              </w:rPr>
              <w:t>Proces wdrażania Strategii wraz z wytycznymi do sporządzania dokumentów wykonawczych</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_Toc138068786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176</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87" w:history="1">
            <w:r w:rsidR="00577C1C" w:rsidRPr="00A7348C">
              <w:rPr>
                <w:rStyle w:val="Hipercze"/>
                <w:rFonts w:eastAsia="Times New Roman" w:cstheme="minorHAnsi"/>
                <w:bCs/>
                <w:noProof/>
              </w:rPr>
              <w:t>5.2</w:t>
            </w:r>
            <w:r w:rsidR="00577C1C" w:rsidRPr="00A7348C">
              <w:rPr>
                <w:rFonts w:eastAsiaTheme="minorEastAsia" w:cstheme="minorHAnsi"/>
                <w:noProof/>
                <w:lang w:eastAsia="pl-PL"/>
              </w:rPr>
              <w:tab/>
            </w:r>
            <w:r w:rsidR="00577C1C" w:rsidRPr="00A7348C">
              <w:rPr>
                <w:rStyle w:val="Hipercze"/>
                <w:rFonts w:eastAsia="Times New Roman" w:cstheme="minorHAnsi"/>
                <w:bCs/>
                <w:noProof/>
              </w:rPr>
              <w:t>Ramy finansowe Strategii</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_Toc138068787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184</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88" w:history="1">
            <w:r w:rsidR="00577C1C" w:rsidRPr="00A7348C">
              <w:rPr>
                <w:rStyle w:val="Hipercze"/>
                <w:rFonts w:eastAsia="Times New Roman" w:cstheme="minorHAnsi"/>
                <w:bCs/>
                <w:noProof/>
              </w:rPr>
              <w:t>5.3</w:t>
            </w:r>
            <w:r w:rsidR="00577C1C" w:rsidRPr="00A7348C">
              <w:rPr>
                <w:rFonts w:eastAsiaTheme="minorEastAsia" w:cstheme="minorHAnsi"/>
                <w:noProof/>
                <w:lang w:eastAsia="pl-PL"/>
              </w:rPr>
              <w:tab/>
            </w:r>
            <w:r w:rsidR="00577C1C" w:rsidRPr="00A7348C">
              <w:rPr>
                <w:rStyle w:val="Hipercze"/>
                <w:rFonts w:eastAsia="Times New Roman" w:cstheme="minorHAnsi"/>
                <w:bCs/>
                <w:noProof/>
              </w:rPr>
              <w:t>Proces monitoringu, ewaluacja i aktualizacja Strategii</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_Toc138068788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190</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89" w:history="1">
            <w:r w:rsidR="00577C1C" w:rsidRPr="00A7348C">
              <w:rPr>
                <w:rStyle w:val="Hipercze"/>
                <w:rFonts w:eastAsia="Times New Roman" w:cstheme="minorHAnsi"/>
                <w:bCs/>
                <w:noProof/>
              </w:rPr>
              <w:t>5.4</w:t>
            </w:r>
            <w:r w:rsidR="00577C1C" w:rsidRPr="00A7348C">
              <w:rPr>
                <w:rFonts w:eastAsiaTheme="minorEastAsia" w:cstheme="minorHAnsi"/>
                <w:noProof/>
                <w:lang w:eastAsia="pl-PL"/>
              </w:rPr>
              <w:tab/>
            </w:r>
            <w:r w:rsidR="00577C1C" w:rsidRPr="00A7348C">
              <w:rPr>
                <w:rStyle w:val="Hipercze"/>
                <w:rFonts w:eastAsia="Times New Roman" w:cstheme="minorHAnsi"/>
                <w:bCs/>
                <w:noProof/>
              </w:rPr>
              <w:t>Wytyczne do sporządzania dokumentów wykonawczych</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_Toc138068789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206</w:t>
            </w:r>
            <w:r w:rsidR="00577C1C" w:rsidRPr="00A7348C">
              <w:rPr>
                <w:rFonts w:cstheme="minorHAnsi"/>
                <w:noProof/>
                <w:webHidden/>
              </w:rPr>
              <w:fldChar w:fldCharType="end"/>
            </w:r>
          </w:hyperlink>
        </w:p>
        <w:p w:rsidR="00577C1C" w:rsidRPr="00A7348C" w:rsidRDefault="00E20FF4" w:rsidP="00577C1C">
          <w:pPr>
            <w:pStyle w:val="Spistreci1"/>
            <w:tabs>
              <w:tab w:val="left" w:pos="1100"/>
            </w:tabs>
            <w:spacing w:before="0" w:after="0"/>
            <w:rPr>
              <w:rFonts w:eastAsiaTheme="minorEastAsia" w:cstheme="minorHAnsi"/>
              <w:noProof/>
              <w:lang w:eastAsia="pl-PL"/>
            </w:rPr>
          </w:pPr>
          <w:hyperlink w:anchor="_Toc138068790" w:history="1">
            <w:r w:rsidR="00577C1C" w:rsidRPr="00A7348C">
              <w:rPr>
                <w:rStyle w:val="Hipercze"/>
                <w:rFonts w:cstheme="minorHAnsi"/>
                <w:noProof/>
              </w:rPr>
              <w:t>6.</w:t>
            </w:r>
            <w:r w:rsidR="00577C1C" w:rsidRPr="00A7348C">
              <w:rPr>
                <w:rFonts w:eastAsiaTheme="minorEastAsia" w:cstheme="minorHAnsi"/>
                <w:noProof/>
                <w:lang w:eastAsia="pl-PL"/>
              </w:rPr>
              <w:tab/>
            </w:r>
            <w:r w:rsidR="00577C1C" w:rsidRPr="00A7348C">
              <w:rPr>
                <w:rStyle w:val="Hipercze"/>
                <w:rFonts w:cstheme="minorHAnsi"/>
                <w:noProof/>
              </w:rPr>
              <w:t>Zgodność Strategii z innymi dokumentami strategicznymi i planistycznymi</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_Toc138068790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211</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91" w:history="1">
            <w:r w:rsidR="00577C1C" w:rsidRPr="00A7348C">
              <w:rPr>
                <w:rStyle w:val="Hipercze"/>
                <w:rFonts w:eastAsia="Times New Roman" w:cstheme="minorHAnsi"/>
                <w:bCs/>
                <w:noProof/>
              </w:rPr>
              <w:t>6.1</w:t>
            </w:r>
            <w:r w:rsidR="00577C1C" w:rsidRPr="00A7348C">
              <w:rPr>
                <w:rFonts w:eastAsiaTheme="minorEastAsia" w:cstheme="minorHAnsi"/>
                <w:noProof/>
                <w:lang w:eastAsia="pl-PL"/>
              </w:rPr>
              <w:tab/>
            </w:r>
            <w:r w:rsidR="00577C1C" w:rsidRPr="00A7348C">
              <w:rPr>
                <w:rStyle w:val="Hipercze"/>
                <w:rFonts w:eastAsia="Times New Roman" w:cstheme="minorHAnsi"/>
                <w:bCs/>
                <w:noProof/>
              </w:rPr>
              <w:t>Zgodność z dokumentami wyższego rzędu</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_Toc138068791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212</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92" w:history="1">
            <w:r w:rsidR="00577C1C" w:rsidRPr="00A7348C">
              <w:rPr>
                <w:rStyle w:val="Hipercze"/>
                <w:rFonts w:eastAsia="Times New Roman" w:cstheme="minorHAnsi"/>
                <w:bCs/>
                <w:noProof/>
              </w:rPr>
              <w:t>6.2</w:t>
            </w:r>
            <w:r w:rsidR="00577C1C" w:rsidRPr="00A7348C">
              <w:rPr>
                <w:rFonts w:eastAsiaTheme="minorEastAsia" w:cstheme="minorHAnsi"/>
                <w:noProof/>
                <w:lang w:eastAsia="pl-PL"/>
              </w:rPr>
              <w:tab/>
            </w:r>
            <w:r w:rsidR="00577C1C" w:rsidRPr="00A7348C">
              <w:rPr>
                <w:rStyle w:val="Hipercze"/>
                <w:rFonts w:eastAsia="Times New Roman" w:cstheme="minorHAnsi"/>
                <w:bCs/>
                <w:noProof/>
              </w:rPr>
              <w:t>Zgodność ze Strategią Rozwoju Województwa Lubelskiego do 2030 roku i wyznaczonymi obszarami strategicznej interwencji</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_Toc138068792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213</w:t>
            </w:r>
            <w:r w:rsidR="00577C1C" w:rsidRPr="00A7348C">
              <w:rPr>
                <w:rFonts w:cstheme="minorHAnsi"/>
                <w:noProof/>
                <w:webHidden/>
              </w:rPr>
              <w:fldChar w:fldCharType="end"/>
            </w:r>
          </w:hyperlink>
        </w:p>
        <w:p w:rsidR="00577C1C" w:rsidRPr="00A7348C" w:rsidRDefault="00E20FF4" w:rsidP="00577C1C">
          <w:pPr>
            <w:pStyle w:val="Spistreci2"/>
            <w:tabs>
              <w:tab w:val="left" w:pos="1320"/>
            </w:tabs>
            <w:spacing w:before="0" w:after="0"/>
            <w:rPr>
              <w:rFonts w:eastAsiaTheme="minorEastAsia" w:cstheme="minorHAnsi"/>
              <w:noProof/>
              <w:lang w:eastAsia="pl-PL"/>
            </w:rPr>
          </w:pPr>
          <w:hyperlink w:anchor="_Toc138068793" w:history="1">
            <w:r w:rsidR="00577C1C" w:rsidRPr="00A7348C">
              <w:rPr>
                <w:rStyle w:val="Hipercze"/>
                <w:rFonts w:eastAsia="Times New Roman" w:cstheme="minorHAnsi"/>
                <w:bCs/>
                <w:noProof/>
              </w:rPr>
              <w:t>6.3</w:t>
            </w:r>
            <w:r w:rsidR="00577C1C" w:rsidRPr="00A7348C">
              <w:rPr>
                <w:rFonts w:eastAsiaTheme="minorEastAsia" w:cstheme="minorHAnsi"/>
                <w:noProof/>
                <w:lang w:eastAsia="pl-PL"/>
              </w:rPr>
              <w:tab/>
            </w:r>
            <w:r w:rsidR="00577C1C" w:rsidRPr="00A7348C">
              <w:rPr>
                <w:rStyle w:val="Hipercze"/>
                <w:rFonts w:eastAsia="Times New Roman" w:cstheme="minorHAnsi"/>
                <w:bCs/>
                <w:noProof/>
              </w:rPr>
              <w:t>Zgodność z dokumentami Gminy i Miasta Hrubieszów</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_Toc138068793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217</w:t>
            </w:r>
            <w:r w:rsidR="00577C1C" w:rsidRPr="00A7348C">
              <w:rPr>
                <w:rFonts w:cstheme="minorHAnsi"/>
                <w:noProof/>
                <w:webHidden/>
              </w:rPr>
              <w:fldChar w:fldCharType="end"/>
            </w:r>
          </w:hyperlink>
        </w:p>
        <w:p w:rsidR="00577C1C" w:rsidRPr="00A7348C" w:rsidRDefault="00E20FF4" w:rsidP="00577C1C">
          <w:pPr>
            <w:pStyle w:val="Spistreci1"/>
            <w:tabs>
              <w:tab w:val="left" w:pos="1100"/>
            </w:tabs>
            <w:spacing w:before="0" w:after="0"/>
            <w:rPr>
              <w:rFonts w:eastAsiaTheme="minorEastAsia" w:cstheme="minorHAnsi"/>
              <w:noProof/>
              <w:lang w:eastAsia="pl-PL"/>
            </w:rPr>
          </w:pPr>
          <w:hyperlink w:anchor="_Toc138068794" w:history="1">
            <w:r w:rsidR="00577C1C" w:rsidRPr="00A7348C">
              <w:rPr>
                <w:rStyle w:val="Hipercze"/>
                <w:rFonts w:cstheme="minorHAnsi"/>
                <w:noProof/>
              </w:rPr>
              <w:t>7.</w:t>
            </w:r>
            <w:r w:rsidR="00577C1C" w:rsidRPr="00A7348C">
              <w:rPr>
                <w:rFonts w:eastAsiaTheme="minorEastAsia" w:cstheme="minorHAnsi"/>
                <w:noProof/>
                <w:lang w:eastAsia="pl-PL"/>
              </w:rPr>
              <w:tab/>
            </w:r>
            <w:r w:rsidR="00577C1C" w:rsidRPr="00A7348C">
              <w:rPr>
                <w:rStyle w:val="Hipercze"/>
                <w:rFonts w:cstheme="minorHAnsi"/>
                <w:noProof/>
              </w:rPr>
              <w:t>Uspołecznienie dokumentu Strategii</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_Toc138068794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221</w:t>
            </w:r>
            <w:r w:rsidR="00577C1C" w:rsidRPr="00A7348C">
              <w:rPr>
                <w:rFonts w:cstheme="minorHAnsi"/>
                <w:noProof/>
                <w:webHidden/>
              </w:rPr>
              <w:fldChar w:fldCharType="end"/>
            </w:r>
          </w:hyperlink>
        </w:p>
        <w:p w:rsidR="00577C1C" w:rsidRPr="00A7348C" w:rsidRDefault="00E20FF4" w:rsidP="00577C1C">
          <w:pPr>
            <w:pStyle w:val="Spistreci1"/>
            <w:tabs>
              <w:tab w:val="left" w:pos="1100"/>
            </w:tabs>
            <w:spacing w:before="0" w:after="0"/>
            <w:rPr>
              <w:rFonts w:eastAsiaTheme="minorEastAsia" w:cstheme="minorHAnsi"/>
              <w:noProof/>
              <w:lang w:eastAsia="pl-PL"/>
            </w:rPr>
          </w:pPr>
          <w:hyperlink w:anchor="_Toc138068795" w:history="1">
            <w:r w:rsidR="00577C1C" w:rsidRPr="00A7348C">
              <w:rPr>
                <w:rStyle w:val="Hipercze"/>
                <w:rFonts w:cstheme="minorHAnsi"/>
                <w:noProof/>
              </w:rPr>
              <w:t>8.</w:t>
            </w:r>
            <w:r w:rsidR="00577C1C" w:rsidRPr="00A7348C">
              <w:rPr>
                <w:rFonts w:eastAsiaTheme="minorEastAsia" w:cstheme="minorHAnsi"/>
                <w:noProof/>
                <w:lang w:eastAsia="pl-PL"/>
              </w:rPr>
              <w:tab/>
            </w:r>
            <w:r w:rsidR="00577C1C" w:rsidRPr="00A7348C">
              <w:rPr>
                <w:rStyle w:val="Hipercze"/>
                <w:rFonts w:cstheme="minorHAnsi"/>
                <w:noProof/>
              </w:rPr>
              <w:t>Spis rycin, tabel i wykresów</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_Toc138068795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223</w:t>
            </w:r>
            <w:r w:rsidR="00577C1C" w:rsidRPr="00A7348C">
              <w:rPr>
                <w:rFonts w:cstheme="minorHAnsi"/>
                <w:noProof/>
                <w:webHidden/>
              </w:rPr>
              <w:fldChar w:fldCharType="end"/>
            </w:r>
          </w:hyperlink>
        </w:p>
        <w:p w:rsidR="00577C1C" w:rsidRPr="00A7348C" w:rsidRDefault="00E20FF4" w:rsidP="00577C1C">
          <w:pPr>
            <w:pStyle w:val="Spistreci2"/>
            <w:spacing w:before="0" w:after="0"/>
            <w:rPr>
              <w:rFonts w:eastAsiaTheme="minorEastAsia" w:cstheme="minorHAnsi"/>
              <w:noProof/>
              <w:lang w:eastAsia="pl-PL"/>
            </w:rPr>
          </w:pPr>
          <w:hyperlink w:anchor="_Toc138068796" w:history="1">
            <w:r w:rsidR="00577C1C" w:rsidRPr="00A7348C">
              <w:rPr>
                <w:rStyle w:val="Hipercze"/>
                <w:rFonts w:cstheme="minorHAnsi"/>
                <w:noProof/>
              </w:rPr>
              <w:t>Załączniki:</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_Toc138068796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225</w:t>
            </w:r>
            <w:r w:rsidR="00577C1C" w:rsidRPr="00A7348C">
              <w:rPr>
                <w:rFonts w:cstheme="minorHAnsi"/>
                <w:noProof/>
                <w:webHidden/>
              </w:rPr>
              <w:fldChar w:fldCharType="end"/>
            </w:r>
          </w:hyperlink>
        </w:p>
        <w:p w:rsidR="00577C1C" w:rsidRPr="00A7348C" w:rsidRDefault="00E20FF4" w:rsidP="00577C1C">
          <w:pPr>
            <w:pStyle w:val="Spistreci2"/>
            <w:spacing w:before="0" w:after="0"/>
            <w:rPr>
              <w:rFonts w:eastAsiaTheme="minorEastAsia" w:cstheme="minorHAnsi"/>
              <w:noProof/>
              <w:lang w:eastAsia="pl-PL"/>
            </w:rPr>
          </w:pPr>
          <w:hyperlink w:anchor="_Toc138068797" w:history="1">
            <w:r w:rsidR="00577C1C" w:rsidRPr="00A7348C">
              <w:rPr>
                <w:rStyle w:val="Hipercze"/>
                <w:rFonts w:cstheme="minorHAnsi"/>
                <w:noProof/>
              </w:rPr>
              <w:t>Odniesienie do zagadnień w kartach sprawdzających</w:t>
            </w:r>
            <w:r w:rsidR="00577C1C" w:rsidRPr="00A7348C">
              <w:rPr>
                <w:rFonts w:cstheme="minorHAnsi"/>
                <w:noProof/>
                <w:webHidden/>
              </w:rPr>
              <w:tab/>
            </w:r>
            <w:r w:rsidR="00577C1C" w:rsidRPr="00A7348C">
              <w:rPr>
                <w:rFonts w:cstheme="minorHAnsi"/>
                <w:noProof/>
                <w:webHidden/>
              </w:rPr>
              <w:fldChar w:fldCharType="begin"/>
            </w:r>
            <w:r w:rsidR="00577C1C" w:rsidRPr="00A7348C">
              <w:rPr>
                <w:rFonts w:cstheme="minorHAnsi"/>
                <w:noProof/>
                <w:webHidden/>
              </w:rPr>
              <w:instrText xml:space="preserve"> PAGEREF _Toc138068797 \h </w:instrText>
            </w:r>
            <w:r w:rsidR="00577C1C" w:rsidRPr="00A7348C">
              <w:rPr>
                <w:rFonts w:cstheme="minorHAnsi"/>
                <w:noProof/>
                <w:webHidden/>
              </w:rPr>
            </w:r>
            <w:r w:rsidR="00577C1C" w:rsidRPr="00A7348C">
              <w:rPr>
                <w:rFonts w:cstheme="minorHAnsi"/>
                <w:noProof/>
                <w:webHidden/>
              </w:rPr>
              <w:fldChar w:fldCharType="separate"/>
            </w:r>
            <w:r w:rsidR="0022657A">
              <w:rPr>
                <w:rFonts w:cstheme="minorHAnsi"/>
                <w:noProof/>
                <w:webHidden/>
              </w:rPr>
              <w:t>226</w:t>
            </w:r>
            <w:r w:rsidR="00577C1C" w:rsidRPr="00A7348C">
              <w:rPr>
                <w:rFonts w:cstheme="minorHAnsi"/>
                <w:noProof/>
                <w:webHidden/>
              </w:rPr>
              <w:fldChar w:fldCharType="end"/>
            </w:r>
          </w:hyperlink>
        </w:p>
        <w:p w:rsidR="00256894" w:rsidRPr="00577C1C" w:rsidRDefault="00256894" w:rsidP="00577C1C">
          <w:pPr>
            <w:pStyle w:val="Spistreci2"/>
            <w:spacing w:before="0" w:after="0" w:line="240" w:lineRule="auto"/>
          </w:pPr>
          <w:r w:rsidRPr="00A7348C">
            <w:rPr>
              <w:rFonts w:cstheme="minorHAnsi"/>
              <w:bCs/>
            </w:rPr>
            <w:fldChar w:fldCharType="end"/>
          </w:r>
        </w:p>
      </w:sdtContent>
    </w:sdt>
    <w:p w:rsidR="00E320BC" w:rsidRPr="00E320BC" w:rsidRDefault="00256894" w:rsidP="001B6CCB">
      <w:pPr>
        <w:spacing w:before="0"/>
        <w:ind w:firstLine="0"/>
        <w:jc w:val="left"/>
        <w:rPr>
          <w:rFonts w:ascii="Candara" w:eastAsia="Times New Roman" w:hAnsi="Candara" w:cs="Times New Roman"/>
          <w:b/>
          <w:bCs/>
          <w:color w:val="31B6FD"/>
          <w:sz w:val="26"/>
          <w:szCs w:val="26"/>
        </w:rPr>
      </w:pPr>
      <w:r>
        <w:rPr>
          <w:rFonts w:ascii="Candara" w:eastAsia="Times New Roman" w:hAnsi="Candara" w:cs="Times New Roman"/>
          <w:b/>
          <w:bCs/>
          <w:color w:val="31B6FD"/>
          <w:sz w:val="26"/>
          <w:szCs w:val="26"/>
        </w:rPr>
        <w:br w:type="page"/>
      </w:r>
      <w:r w:rsidR="00E320BC" w:rsidRPr="00E320BC">
        <w:rPr>
          <w:rFonts w:ascii="Candara" w:eastAsia="Times New Roman" w:hAnsi="Candara" w:cs="Times New Roman"/>
          <w:b/>
          <w:bCs/>
          <w:color w:val="31B6FD"/>
          <w:sz w:val="26"/>
          <w:szCs w:val="26"/>
        </w:rPr>
        <w:lastRenderedPageBreak/>
        <w:t>Słownik</w:t>
      </w:r>
    </w:p>
    <w:p w:rsidR="00E320BC" w:rsidRPr="00E320BC" w:rsidRDefault="00E320BC" w:rsidP="00E320BC">
      <w:pPr>
        <w:spacing w:after="0"/>
        <w:rPr>
          <w:rFonts w:ascii="Calibri" w:eastAsia="Candara" w:hAnsi="Calibri" w:cs="Times New Roman"/>
        </w:rPr>
      </w:pPr>
      <w:r w:rsidRPr="00E320BC">
        <w:rPr>
          <w:rFonts w:ascii="Calibri" w:eastAsia="Candara" w:hAnsi="Calibri" w:cs="Times New Roman"/>
        </w:rPr>
        <w:t>CPK – Centralny Port Komunikacyjny</w:t>
      </w:r>
    </w:p>
    <w:p w:rsidR="00E320BC" w:rsidRPr="00E320BC" w:rsidRDefault="00E320BC" w:rsidP="00E320BC">
      <w:pPr>
        <w:spacing w:after="0"/>
        <w:rPr>
          <w:rFonts w:ascii="Calibri" w:eastAsia="Candara" w:hAnsi="Calibri" w:cs="Times New Roman"/>
        </w:rPr>
      </w:pPr>
      <w:r w:rsidRPr="00E320BC">
        <w:rPr>
          <w:rFonts w:ascii="Calibri" w:eastAsia="Candara" w:hAnsi="Calibri" w:cs="Times New Roman"/>
        </w:rPr>
        <w:t>EFRR – Europejski Fundusz Rozwoju Regionalnego</w:t>
      </w:r>
    </w:p>
    <w:p w:rsidR="00E320BC" w:rsidRPr="00E320BC" w:rsidRDefault="00E320BC" w:rsidP="00E320BC">
      <w:pPr>
        <w:spacing w:after="0"/>
        <w:rPr>
          <w:rFonts w:ascii="Calibri" w:eastAsia="Candara" w:hAnsi="Calibri" w:cs="Times New Roman"/>
        </w:rPr>
      </w:pPr>
      <w:r w:rsidRPr="00E320BC">
        <w:rPr>
          <w:rFonts w:ascii="Calibri" w:eastAsia="Candara" w:hAnsi="Calibri" w:cs="Times New Roman"/>
        </w:rPr>
        <w:t>EFS – Europejski Fundusz Społeczny</w:t>
      </w:r>
    </w:p>
    <w:p w:rsidR="00E320BC" w:rsidRPr="00E320BC" w:rsidRDefault="00E320BC" w:rsidP="00E320BC">
      <w:pPr>
        <w:spacing w:after="0"/>
        <w:rPr>
          <w:rFonts w:ascii="Calibri" w:eastAsia="Candara" w:hAnsi="Calibri" w:cs="Times New Roman"/>
        </w:rPr>
      </w:pPr>
      <w:r w:rsidRPr="00E320BC">
        <w:rPr>
          <w:rFonts w:ascii="Calibri" w:eastAsia="Candara" w:hAnsi="Calibri" w:cs="Times New Roman"/>
        </w:rPr>
        <w:t>HOF – Hrubieszowski Obszar Funkcjonalny</w:t>
      </w:r>
    </w:p>
    <w:p w:rsidR="00E320BC" w:rsidRPr="00E320BC" w:rsidRDefault="00E320BC" w:rsidP="00E320BC">
      <w:pPr>
        <w:spacing w:after="0"/>
        <w:rPr>
          <w:rFonts w:ascii="Calibri" w:eastAsia="Candara" w:hAnsi="Calibri" w:cs="Times New Roman"/>
        </w:rPr>
      </w:pPr>
      <w:proofErr w:type="spellStart"/>
      <w:r w:rsidRPr="00E320BC">
        <w:rPr>
          <w:rFonts w:ascii="Calibri" w:eastAsia="Candara" w:hAnsi="Calibri" w:cs="Times New Roman"/>
        </w:rPr>
        <w:t>IBnGR</w:t>
      </w:r>
      <w:proofErr w:type="spellEnd"/>
      <w:r w:rsidRPr="00E320BC">
        <w:rPr>
          <w:rFonts w:ascii="Calibri" w:eastAsia="Candara" w:hAnsi="Calibri" w:cs="Times New Roman"/>
        </w:rPr>
        <w:t xml:space="preserve"> - Instytut Badań nad Gospodarką Rynkową</w:t>
      </w:r>
    </w:p>
    <w:p w:rsidR="00E320BC" w:rsidRPr="00E320BC" w:rsidRDefault="00E320BC" w:rsidP="00E320BC">
      <w:pPr>
        <w:spacing w:after="0"/>
        <w:rPr>
          <w:rFonts w:ascii="Calibri" w:eastAsia="Candara" w:hAnsi="Calibri" w:cs="Calibri"/>
        </w:rPr>
      </w:pPr>
      <w:r w:rsidRPr="00E320BC">
        <w:rPr>
          <w:rFonts w:ascii="Calibri" w:eastAsia="Candara" w:hAnsi="Calibri" w:cs="Times New Roman"/>
        </w:rPr>
        <w:t xml:space="preserve">KPZK 2030 - </w:t>
      </w:r>
      <w:r w:rsidRPr="00E320BC">
        <w:rPr>
          <w:rFonts w:ascii="Calibri" w:eastAsia="Candara" w:hAnsi="Calibri" w:cs="Calibri"/>
        </w:rPr>
        <w:t>Koncepcja Przestrzennego Zagospodarowania Kraju 2030</w:t>
      </w:r>
    </w:p>
    <w:p w:rsidR="00E320BC" w:rsidRPr="00E320BC" w:rsidRDefault="00E320BC" w:rsidP="00E320BC">
      <w:pPr>
        <w:spacing w:after="0"/>
        <w:rPr>
          <w:rFonts w:ascii="Calibri" w:eastAsia="Candara" w:hAnsi="Calibri" w:cs="Times New Roman"/>
        </w:rPr>
      </w:pPr>
      <w:r w:rsidRPr="00E320BC">
        <w:rPr>
          <w:rFonts w:ascii="Calibri" w:eastAsia="Candara" w:hAnsi="Calibri" w:cs="Calibri"/>
        </w:rPr>
        <w:t xml:space="preserve">KSRR - </w:t>
      </w:r>
      <w:r w:rsidRPr="00E320BC">
        <w:rPr>
          <w:rFonts w:ascii="Calibri" w:eastAsia="Calibri" w:hAnsi="Calibri" w:cs="Times New Roman"/>
        </w:rPr>
        <w:t>Krajowa Strategia Rozwoju Regionalnego</w:t>
      </w:r>
    </w:p>
    <w:p w:rsidR="00E320BC" w:rsidRPr="00E320BC" w:rsidRDefault="00E320BC" w:rsidP="00E320BC">
      <w:pPr>
        <w:spacing w:after="0"/>
        <w:rPr>
          <w:rFonts w:ascii="Calibri" w:eastAsia="Candara" w:hAnsi="Calibri" w:cs="Times New Roman"/>
        </w:rPr>
      </w:pPr>
      <w:r w:rsidRPr="00E320BC">
        <w:rPr>
          <w:rFonts w:ascii="Calibri" w:eastAsia="Candara" w:hAnsi="Calibri" w:cs="Times New Roman"/>
        </w:rPr>
        <w:t>MOF – Miejski Obszar Funkcjonalny</w:t>
      </w:r>
    </w:p>
    <w:p w:rsidR="00E320BC" w:rsidRPr="00E320BC" w:rsidRDefault="00E320BC" w:rsidP="00E320BC">
      <w:pPr>
        <w:spacing w:after="0"/>
        <w:rPr>
          <w:rFonts w:ascii="Calibri" w:eastAsia="Candara" w:hAnsi="Calibri" w:cs="Times New Roman"/>
        </w:rPr>
      </w:pPr>
      <w:r w:rsidRPr="00E320BC">
        <w:rPr>
          <w:rFonts w:ascii="Calibri" w:eastAsia="Candara" w:hAnsi="Calibri" w:cs="Times New Roman"/>
        </w:rPr>
        <w:t>OF – Obszar Funkcjonalny</w:t>
      </w:r>
    </w:p>
    <w:p w:rsidR="00E320BC" w:rsidRPr="00E320BC" w:rsidRDefault="00E320BC" w:rsidP="00E320BC">
      <w:pPr>
        <w:spacing w:after="0"/>
        <w:rPr>
          <w:rFonts w:ascii="Calibri" w:eastAsia="Candara" w:hAnsi="Calibri" w:cs="Times New Roman"/>
        </w:rPr>
      </w:pPr>
      <w:r w:rsidRPr="00E320BC">
        <w:rPr>
          <w:rFonts w:ascii="Calibri" w:eastAsia="Candara" w:hAnsi="Calibri" w:cs="Times New Roman"/>
        </w:rPr>
        <w:t>OSI - Obszar Strategicznej Interwencji</w:t>
      </w:r>
    </w:p>
    <w:p w:rsidR="00E320BC" w:rsidRPr="00E320BC" w:rsidRDefault="00E320BC" w:rsidP="00E320BC">
      <w:pPr>
        <w:spacing w:after="0"/>
        <w:rPr>
          <w:rFonts w:ascii="Calibri" w:eastAsia="Candara" w:hAnsi="Calibri" w:cs="Times New Roman"/>
        </w:rPr>
      </w:pPr>
      <w:r w:rsidRPr="00E320BC">
        <w:rPr>
          <w:rFonts w:ascii="Calibri" w:eastAsia="Candara" w:hAnsi="Calibri" w:cs="Times New Roman"/>
        </w:rPr>
        <w:t>SGH – Szkoła Główna Handlowa</w:t>
      </w:r>
    </w:p>
    <w:p w:rsidR="00E320BC" w:rsidRPr="00E320BC" w:rsidRDefault="00E320BC" w:rsidP="00572A39">
      <w:pPr>
        <w:spacing w:after="0"/>
        <w:ind w:left="510" w:firstLine="0"/>
        <w:rPr>
          <w:rFonts w:ascii="Calibri" w:eastAsia="Candara" w:hAnsi="Calibri" w:cs="Times New Roman"/>
        </w:rPr>
      </w:pPr>
      <w:r w:rsidRPr="00E320BC">
        <w:rPr>
          <w:rFonts w:ascii="Calibri" w:eastAsia="Candara" w:hAnsi="Calibri" w:cs="Times New Roman"/>
        </w:rPr>
        <w:t>SRWL – Strategia Rozwoju Województwa Lubelskiego na lata 2013-2020 z perspektywą do 2030 roku</w:t>
      </w:r>
    </w:p>
    <w:p w:rsidR="00E320BC" w:rsidRPr="00E320BC" w:rsidRDefault="00E320BC" w:rsidP="00E320BC">
      <w:pPr>
        <w:spacing w:after="0"/>
        <w:rPr>
          <w:rFonts w:ascii="Calibri" w:eastAsia="Candara" w:hAnsi="Calibri" w:cs="Calibri"/>
        </w:rPr>
      </w:pPr>
      <w:r w:rsidRPr="00E320BC">
        <w:rPr>
          <w:rFonts w:ascii="Calibri" w:eastAsia="Candara" w:hAnsi="Calibri" w:cs="Candara"/>
        </w:rPr>
        <w:t xml:space="preserve">ZIT - </w:t>
      </w:r>
      <w:r w:rsidRPr="00E320BC">
        <w:rPr>
          <w:rFonts w:ascii="Calibri" w:eastAsia="Candara" w:hAnsi="Calibri" w:cs="Calibri"/>
        </w:rPr>
        <w:t>Zintegrowane Inwestycje Terytorialne</w:t>
      </w:r>
    </w:p>
    <w:p w:rsidR="00E320BC" w:rsidRPr="00E320BC" w:rsidRDefault="00E320BC" w:rsidP="00E320BC">
      <w:pPr>
        <w:keepNext/>
        <w:keepLines/>
        <w:spacing w:before="600" w:after="0"/>
        <w:ind w:left="714" w:hanging="357"/>
        <w:outlineLvl w:val="0"/>
        <w:rPr>
          <w:rFonts w:ascii="Candara" w:eastAsia="Times New Roman" w:hAnsi="Candara" w:cs="Times New Roman"/>
          <w:b/>
          <w:bCs/>
          <w:color w:val="0292DF"/>
          <w:sz w:val="32"/>
          <w:szCs w:val="28"/>
        </w:rPr>
      </w:pPr>
      <w:r w:rsidRPr="00E320BC">
        <w:rPr>
          <w:rFonts w:ascii="Candara" w:eastAsia="Times New Roman" w:hAnsi="Candara" w:cs="Times New Roman"/>
          <w:b/>
          <w:bCs/>
          <w:color w:val="0292DF"/>
          <w:sz w:val="32"/>
          <w:szCs w:val="28"/>
        </w:rPr>
        <w:br w:type="page"/>
      </w:r>
    </w:p>
    <w:p w:rsidR="00E320BC" w:rsidRPr="00E320BC" w:rsidRDefault="00E320BC" w:rsidP="00E320BC">
      <w:pPr>
        <w:keepNext/>
        <w:keepLines/>
        <w:numPr>
          <w:ilvl w:val="0"/>
          <w:numId w:val="3"/>
        </w:numPr>
        <w:spacing w:before="600" w:after="0"/>
        <w:outlineLvl w:val="0"/>
        <w:rPr>
          <w:rFonts w:ascii="Cambria" w:eastAsia="Times New Roman" w:hAnsi="Cambria" w:cs="Times New Roman"/>
          <w:b/>
          <w:bCs/>
          <w:color w:val="0292DF"/>
          <w:sz w:val="32"/>
          <w:szCs w:val="28"/>
        </w:rPr>
      </w:pPr>
      <w:bookmarkStart w:id="0" w:name="_Toc138068769"/>
      <w:r w:rsidRPr="00E320BC">
        <w:rPr>
          <w:rFonts w:ascii="Cambria" w:eastAsia="Times New Roman" w:hAnsi="Cambria" w:cs="Times New Roman"/>
          <w:b/>
          <w:bCs/>
          <w:color w:val="0292DF"/>
          <w:sz w:val="32"/>
          <w:szCs w:val="28"/>
        </w:rPr>
        <w:lastRenderedPageBreak/>
        <w:t>Wstęp</w:t>
      </w:r>
      <w:bookmarkEnd w:id="0"/>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667456" behindDoc="1" locked="0" layoutInCell="1" allowOverlap="1" wp14:anchorId="0AF9BDE1" wp14:editId="29F62539">
                <wp:simplePos x="0" y="0"/>
                <wp:positionH relativeFrom="column">
                  <wp:posOffset>-117013</wp:posOffset>
                </wp:positionH>
                <wp:positionV relativeFrom="paragraph">
                  <wp:posOffset>-2771</wp:posOffset>
                </wp:positionV>
                <wp:extent cx="6005945" cy="748146"/>
                <wp:effectExtent l="0" t="0" r="13970" b="13970"/>
                <wp:wrapNone/>
                <wp:docPr id="4" name="Prostokąt zaokrąglony 4"/>
                <wp:cNvGraphicFramePr/>
                <a:graphic xmlns:a="http://schemas.openxmlformats.org/drawingml/2006/main">
                  <a:graphicData uri="http://schemas.microsoft.com/office/word/2010/wordprocessingShape">
                    <wps:wsp>
                      <wps:cNvSpPr/>
                      <wps:spPr>
                        <a:xfrm>
                          <a:off x="0" y="0"/>
                          <a:ext cx="6005945" cy="748146"/>
                        </a:xfrm>
                        <a:prstGeom prst="roundRect">
                          <a:avLst/>
                        </a:prstGeom>
                        <a:solidFill>
                          <a:srgbClr val="31B6FD">
                            <a:lumMod val="60000"/>
                            <a:lumOff val="40000"/>
                          </a:srgbClr>
                        </a:solidFill>
                        <a:ln w="15875" cap="flat" cmpd="sng" algn="ctr">
                          <a:solidFill>
                            <a:srgbClr val="31B6FD">
                              <a:shade val="50000"/>
                              <a:shade val="75000"/>
                              <a:lumMod val="80000"/>
                            </a:srgbClr>
                          </a:solidFill>
                          <a:prstDash val="solid"/>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Prostokąt zaokrąglony 4" o:spid="_x0000_s1026" style="position:absolute;margin-left:-9.2pt;margin-top:-.2pt;width:472.9pt;height:58.9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" fillcolor="#83d3fe" strokecolor="#165d83" strokeweight="1.25pt"/>
            </w:pict>
          </mc:Fallback>
        </mc:AlternateContent>
      </w:r>
      <w:r w:rsidRPr="00E320BC">
        <w:rPr>
          <w:rFonts w:ascii="Calibri" w:eastAsia="Candara" w:hAnsi="Calibri" w:cs="Times New Roman"/>
        </w:rPr>
        <w:t>Strategia rozwoju ponadlokalnego Hrubieszowskiego Obszaru Funkcjonalnego na lata 2021 – 2030 jest zgodna z zapisami art. 10e ust. 3 ustawy z dnia 8 marca 1990 r. o s</w:t>
      </w:r>
      <w:r w:rsidR="00CD18AF">
        <w:rPr>
          <w:rFonts w:ascii="Calibri" w:eastAsia="Candara" w:hAnsi="Calibri" w:cs="Times New Roman"/>
        </w:rPr>
        <w:t xml:space="preserve">amorządzie gminnym (Dz.U. </w:t>
      </w:r>
      <w:proofErr w:type="gramStart"/>
      <w:r w:rsidR="00CD18AF">
        <w:rPr>
          <w:rFonts w:ascii="Calibri" w:eastAsia="Candara" w:hAnsi="Calibri" w:cs="Times New Roman"/>
        </w:rPr>
        <w:t>z</w:t>
      </w:r>
      <w:proofErr w:type="gramEnd"/>
      <w:r w:rsidR="00CD18AF">
        <w:rPr>
          <w:rFonts w:ascii="Calibri" w:eastAsia="Candara" w:hAnsi="Calibri" w:cs="Times New Roman"/>
        </w:rPr>
        <w:t xml:space="preserve"> 2021</w:t>
      </w:r>
      <w:r w:rsidRPr="00E320BC">
        <w:rPr>
          <w:rFonts w:ascii="Calibri" w:eastAsia="Candara" w:hAnsi="Calibri" w:cs="Times New Roman"/>
        </w:rPr>
        <w:t xml:space="preserve"> poz. </w:t>
      </w:r>
      <w:r w:rsidR="00CD18AF">
        <w:rPr>
          <w:rFonts w:ascii="Calibri" w:eastAsia="Candara" w:hAnsi="Calibri" w:cs="Times New Roman"/>
        </w:rPr>
        <w:t>1372).</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Podstawą zapewnienia rozwoju społeczno-gospodarczego jednostek terytorialnych jest prowadzenie właściwej polityki lokalnej, która uwzględnia zarówno walory i silne strony analizowanego obszaru jak również zdefiniowane problemy i hierarchię działań pod względem ich efektywności. Niezwykle istotny jest także stopień akceptacji społecznej dla planowanych kierunków działań. Sprostanie temu wyzwaniu wiąże się z podejmowaniem szeregu decyzji ważnych dla lokalnej społeczności.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Aby zarządzanie było efektywne potrzebny jest wieloletni plan działań (strategia), który formułuje wizję rozwoju obszaru poprzez przyjęcie założeń strategicznych, wskazuje cele i perspektywiczne kierunki rozwoju społeczno-gospodarczego, jak również prezentuje działania (projekty inwestycyjne i społeczne) zmierzające do optymalnego wykorzystania potencjałów oraz przeciwdziałania zjawiskom problemowym.</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Strategia ma ułatwić lokalnym władzom podejmowanie decyzji oraz rozwiązywanie problemów natury uwarunkowań przestrzennych, infrastrukturalnych, gospodarczych, społecznych i środowiskowych, jak również racjonalne organizowanie przyszłych działań. Ponadto strategia spełnia również funkcję informacyjną prezentując zamierzenia władz lokalnych oraz możliwości udziału i współpracy w realizacji wspólnych zadań. Oferta skierowana jest zarówno do partnerów społecznych, samorządowych i gospodarczych jak i do mieszkańców. Jednocześnie docenić trzeba walor edukacyjny strategii, która wskazuje uwarunkowania rozwoju obszaru i dąży do integracji społeczeństwa wokół rozwiązywania kluczowych problemów oraz realizacji przyjętych celów.</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W systemie zarządzania rozwojem Polski, podobnie jak w wielu innych krajach Europy, wśród koncepcji polityki rozwoju i polityki regionalnej wyróżnia się podejście ukierunkowane terytorialne – stanowiące jeden z filarów nowego paradygmatu polityki rozwoju, wprowadzanego przez ostatnio przyjęte krajowe dokumenty strategiczne: Koncepcję Przestrzennego Zagospodarowania Kraju 2030 (KPZK 2030) oraz Krajową Strategię Rozwoju Regionalnego (KSRR). Skupia się ono na wykorzystaniu endogenicznych potencjałów terytoriów określonych funkcjonalnie.</w:t>
      </w:r>
    </w:p>
    <w:p w:rsidR="00E320BC" w:rsidRDefault="00E320BC" w:rsidP="00E320BC">
      <w:pPr>
        <w:spacing w:before="240" w:after="0"/>
        <w:ind w:firstLine="357"/>
        <w:rPr>
          <w:rFonts w:ascii="Calibri" w:eastAsia="Candara" w:hAnsi="Calibri" w:cs="Calibri"/>
          <w:sz w:val="20"/>
          <w:szCs w:val="20"/>
        </w:rPr>
      </w:pPr>
      <w:r w:rsidRPr="00E320BC">
        <w:rPr>
          <w:rFonts w:ascii="Calibri" w:eastAsia="Candara" w:hAnsi="Calibri" w:cs="Calibri"/>
        </w:rPr>
        <w:t>Tworzenie Miejskich Obszarów Funkcjonalnych (MOF) ma służyć integrowaniu działań przestrzennych, jak również ułatwić prowadzenie efektywnej polityki rozwoju w dłuższej perspektywie, w tym m.in. wydatkowania środków publicznych w okresie objętym Strategią. Sposób delimitacji miejskich obszarów funkcjonalnych (MOF) wynika przed</w:t>
      </w:r>
      <w:r w:rsidR="00793C90">
        <w:rPr>
          <w:rFonts w:ascii="Calibri" w:eastAsia="Candara" w:hAnsi="Calibri" w:cs="Calibri"/>
        </w:rPr>
        <w:t>e wszystkim z przepisów prawa i </w:t>
      </w:r>
      <w:r w:rsidRPr="00E320BC">
        <w:rPr>
          <w:rFonts w:ascii="Calibri" w:eastAsia="Candara" w:hAnsi="Calibri" w:cs="Calibri"/>
        </w:rPr>
        <w:t>regulacji zawartych w dokumentach europejskich, krajowych oraz wojewódzkich. Zostały w nich nakreślone kierunki działań, sposób oraz zakres ich realizacji oraz instrumenty wsparcia regionalnej polityki rozwoju. Podmiotem odpowiedzialnym za proces delimitacji MOF jest samorząd województwa. Punkt wyjścia do dyskusji z zainteresowanymi współpracą stronami i wyznaczenia MOF, jako obszaru strategicznej interwencji stanowią wyniki a</w:t>
      </w:r>
      <w:r w:rsidR="00793C90">
        <w:rPr>
          <w:rFonts w:ascii="Calibri" w:eastAsia="Candara" w:hAnsi="Calibri" w:cs="Calibri"/>
        </w:rPr>
        <w:t>nalizy kryterialnej (opartej na </w:t>
      </w:r>
      <w:r w:rsidRPr="00E320BC">
        <w:rPr>
          <w:rFonts w:ascii="Calibri" w:eastAsia="Candara" w:hAnsi="Calibri" w:cs="Calibri"/>
        </w:rPr>
        <w:t>wskaźnikach statystycznych).</w:t>
      </w:r>
      <w:r w:rsidRPr="00E320BC">
        <w:rPr>
          <w:rFonts w:ascii="Calibri" w:eastAsia="Candara" w:hAnsi="Calibri" w:cs="Calibri"/>
          <w:sz w:val="20"/>
          <w:szCs w:val="20"/>
        </w:rPr>
        <w:t xml:space="preserve"> </w:t>
      </w:r>
    </w:p>
    <w:p w:rsidR="00E320BC" w:rsidRPr="00E320BC" w:rsidRDefault="00E320BC" w:rsidP="00E320BC">
      <w:pPr>
        <w:spacing w:before="240" w:after="0"/>
        <w:ind w:firstLine="357"/>
        <w:rPr>
          <w:rFonts w:ascii="Calibri" w:eastAsia="Candara" w:hAnsi="Calibri" w:cs="Calibri"/>
          <w:sz w:val="20"/>
          <w:szCs w:val="20"/>
        </w:rPr>
      </w:pPr>
    </w:p>
    <w:p w:rsidR="00E320BC" w:rsidRPr="00E320BC" w:rsidRDefault="00E320BC" w:rsidP="00E320BC">
      <w:pPr>
        <w:spacing w:before="240" w:after="0"/>
        <w:ind w:firstLine="357"/>
        <w:rPr>
          <w:rFonts w:ascii="Calibri" w:eastAsia="Candara" w:hAnsi="Calibri" w:cs="Calibri"/>
          <w:sz w:val="20"/>
          <w:szCs w:val="20"/>
        </w:rPr>
      </w:pPr>
    </w:p>
    <w:p w:rsidR="00E320BC" w:rsidRPr="00E320BC" w:rsidRDefault="00E320BC" w:rsidP="00E320BC">
      <w:pPr>
        <w:spacing w:after="0"/>
        <w:ind w:firstLine="357"/>
        <w:rPr>
          <w:rFonts w:ascii="Calibri" w:eastAsia="Candara" w:hAnsi="Calibri" w:cs="Calibri"/>
        </w:rPr>
      </w:pPr>
      <w:r w:rsidRPr="00E320BC">
        <w:rPr>
          <w:rFonts w:ascii="Calibri" w:eastAsia="Candara" w:hAnsi="Calibri" w:cs="Calibri"/>
        </w:rPr>
        <w:t>Statystyczne kryteria delimitacji MOF:</w:t>
      </w:r>
    </w:p>
    <w:p w:rsidR="00E320BC" w:rsidRPr="00E320BC" w:rsidRDefault="00E320BC" w:rsidP="00E320BC">
      <w:pPr>
        <w:numPr>
          <w:ilvl w:val="0"/>
          <w:numId w:val="1"/>
        </w:numPr>
        <w:autoSpaceDE w:val="0"/>
        <w:autoSpaceDN w:val="0"/>
        <w:adjustRightInd w:val="0"/>
        <w:spacing w:after="3" w:line="240" w:lineRule="auto"/>
        <w:rPr>
          <w:rFonts w:ascii="Calibri" w:eastAsia="Candara" w:hAnsi="Calibri" w:cs="Calibri"/>
          <w:color w:val="000000"/>
        </w:rPr>
      </w:pPr>
      <w:proofErr w:type="gramStart"/>
      <w:r w:rsidRPr="00E320BC">
        <w:rPr>
          <w:rFonts w:ascii="Calibri" w:eastAsia="Candara" w:hAnsi="Calibri" w:cs="Calibri"/>
          <w:color w:val="000000"/>
        </w:rPr>
        <w:t>liczba</w:t>
      </w:r>
      <w:proofErr w:type="gramEnd"/>
      <w:r w:rsidRPr="00E320BC">
        <w:rPr>
          <w:rFonts w:ascii="Calibri" w:eastAsia="Candara" w:hAnsi="Calibri" w:cs="Calibri"/>
          <w:color w:val="000000"/>
        </w:rPr>
        <w:t xml:space="preserve"> wyjeżdżających z danych gmin do pracy najemnej do rdzenia MOF na 1000 mieszkańców w wieku produkcyjnym;</w:t>
      </w:r>
    </w:p>
    <w:p w:rsidR="00E320BC" w:rsidRPr="00E320BC" w:rsidRDefault="00E320BC" w:rsidP="00E320BC">
      <w:pPr>
        <w:numPr>
          <w:ilvl w:val="0"/>
          <w:numId w:val="1"/>
        </w:numPr>
        <w:autoSpaceDE w:val="0"/>
        <w:autoSpaceDN w:val="0"/>
        <w:adjustRightInd w:val="0"/>
        <w:spacing w:after="0" w:line="240" w:lineRule="auto"/>
        <w:rPr>
          <w:rFonts w:ascii="Calibri" w:eastAsia="Candara" w:hAnsi="Calibri" w:cs="Calibri"/>
          <w:color w:val="000000"/>
        </w:rPr>
      </w:pPr>
      <w:proofErr w:type="gramStart"/>
      <w:r w:rsidRPr="00E320BC">
        <w:rPr>
          <w:rFonts w:ascii="Calibri" w:eastAsia="Candara" w:hAnsi="Calibri" w:cs="Calibri"/>
          <w:color w:val="000000"/>
        </w:rPr>
        <w:t>liczba</w:t>
      </w:r>
      <w:proofErr w:type="gramEnd"/>
      <w:r w:rsidRPr="00E320BC">
        <w:rPr>
          <w:rFonts w:ascii="Calibri" w:eastAsia="Candara" w:hAnsi="Calibri" w:cs="Calibri"/>
          <w:color w:val="000000"/>
        </w:rPr>
        <w:t xml:space="preserve"> zameldowań na pobyt stały mieszkańców z położonych w tym samym województwie gmin;</w:t>
      </w:r>
    </w:p>
    <w:p w:rsidR="00E320BC" w:rsidRPr="00E320BC" w:rsidRDefault="00E320BC" w:rsidP="00E320BC">
      <w:pPr>
        <w:numPr>
          <w:ilvl w:val="0"/>
          <w:numId w:val="1"/>
        </w:numPr>
        <w:autoSpaceDE w:val="0"/>
        <w:autoSpaceDN w:val="0"/>
        <w:adjustRightInd w:val="0"/>
        <w:spacing w:after="3" w:line="240" w:lineRule="auto"/>
        <w:rPr>
          <w:rFonts w:ascii="Calibri" w:eastAsia="Candara" w:hAnsi="Calibri" w:cs="Calibri"/>
          <w:color w:val="000000"/>
        </w:rPr>
      </w:pPr>
      <w:r w:rsidRPr="00E320BC">
        <w:rPr>
          <w:rFonts w:ascii="Calibri" w:eastAsia="Candara" w:hAnsi="Calibri" w:cs="Calibri"/>
          <w:color w:val="000000"/>
        </w:rPr>
        <w:t xml:space="preserve">udział pracujących w zawodach </w:t>
      </w:r>
      <w:proofErr w:type="gramStart"/>
      <w:r w:rsidRPr="00E320BC">
        <w:rPr>
          <w:rFonts w:ascii="Calibri" w:eastAsia="Candara" w:hAnsi="Calibri" w:cs="Calibri"/>
          <w:color w:val="000000"/>
        </w:rPr>
        <w:t>pozarolniczych jako</w:t>
      </w:r>
      <w:proofErr w:type="gramEnd"/>
      <w:r w:rsidRPr="00E320BC">
        <w:rPr>
          <w:rFonts w:ascii="Calibri" w:eastAsia="Candara" w:hAnsi="Calibri" w:cs="Calibri"/>
          <w:color w:val="000000"/>
        </w:rPr>
        <w:t xml:space="preserve"> stosunek do średniej wojewódzkiej;</w:t>
      </w:r>
    </w:p>
    <w:p w:rsidR="00E320BC" w:rsidRPr="00E320BC" w:rsidRDefault="00E320BC" w:rsidP="00E320BC">
      <w:pPr>
        <w:numPr>
          <w:ilvl w:val="0"/>
          <w:numId w:val="1"/>
        </w:numPr>
        <w:autoSpaceDE w:val="0"/>
        <w:autoSpaceDN w:val="0"/>
        <w:adjustRightInd w:val="0"/>
        <w:spacing w:after="3" w:line="240" w:lineRule="auto"/>
        <w:rPr>
          <w:rFonts w:ascii="Calibri" w:eastAsia="Candara" w:hAnsi="Calibri" w:cs="Calibri"/>
          <w:color w:val="000000"/>
        </w:rPr>
      </w:pPr>
      <w:proofErr w:type="gramStart"/>
      <w:r w:rsidRPr="00E320BC">
        <w:rPr>
          <w:rFonts w:ascii="Calibri" w:eastAsia="Candara" w:hAnsi="Calibri" w:cs="Calibri"/>
          <w:color w:val="000000"/>
        </w:rPr>
        <w:t>liczba</w:t>
      </w:r>
      <w:proofErr w:type="gramEnd"/>
      <w:r w:rsidRPr="00E320BC">
        <w:rPr>
          <w:rFonts w:ascii="Calibri" w:eastAsia="Candara" w:hAnsi="Calibri" w:cs="Calibri"/>
          <w:color w:val="000000"/>
        </w:rPr>
        <w:t xml:space="preserve"> podmiotów gospodarczych na 1000 mieszkańców, jako stosunek do średniej wojewódzkiej;</w:t>
      </w:r>
    </w:p>
    <w:p w:rsidR="00E320BC" w:rsidRPr="00E320BC" w:rsidRDefault="00E320BC" w:rsidP="00E320BC">
      <w:pPr>
        <w:numPr>
          <w:ilvl w:val="0"/>
          <w:numId w:val="1"/>
        </w:numPr>
        <w:autoSpaceDE w:val="0"/>
        <w:autoSpaceDN w:val="0"/>
        <w:adjustRightInd w:val="0"/>
        <w:spacing w:after="3" w:line="240" w:lineRule="auto"/>
        <w:rPr>
          <w:rFonts w:ascii="Calibri" w:eastAsia="Candara" w:hAnsi="Calibri" w:cs="Calibri"/>
          <w:color w:val="000000"/>
        </w:rPr>
      </w:pPr>
      <w:proofErr w:type="gramStart"/>
      <w:r w:rsidRPr="00E320BC">
        <w:rPr>
          <w:rFonts w:ascii="Calibri" w:eastAsia="Candara" w:hAnsi="Calibri" w:cs="Calibri"/>
          <w:color w:val="000000"/>
        </w:rPr>
        <w:t>gęstość</w:t>
      </w:r>
      <w:proofErr w:type="gramEnd"/>
      <w:r w:rsidRPr="00E320BC">
        <w:rPr>
          <w:rFonts w:ascii="Calibri" w:eastAsia="Candara" w:hAnsi="Calibri" w:cs="Calibri"/>
          <w:color w:val="000000"/>
        </w:rPr>
        <w:t xml:space="preserve"> zaludnienia;</w:t>
      </w:r>
    </w:p>
    <w:p w:rsidR="00E320BC" w:rsidRPr="00E320BC" w:rsidRDefault="00E320BC" w:rsidP="00E320BC">
      <w:pPr>
        <w:numPr>
          <w:ilvl w:val="0"/>
          <w:numId w:val="1"/>
        </w:numPr>
        <w:autoSpaceDE w:val="0"/>
        <w:autoSpaceDN w:val="0"/>
        <w:adjustRightInd w:val="0"/>
        <w:spacing w:after="0" w:line="240" w:lineRule="auto"/>
        <w:rPr>
          <w:rFonts w:ascii="Calibri" w:eastAsia="Candara" w:hAnsi="Calibri" w:cs="Calibri"/>
          <w:color w:val="000000"/>
        </w:rPr>
      </w:pPr>
      <w:proofErr w:type="gramStart"/>
      <w:r w:rsidRPr="00E320BC">
        <w:rPr>
          <w:rFonts w:ascii="Calibri" w:eastAsia="Candara" w:hAnsi="Calibri" w:cs="Calibri"/>
          <w:color w:val="000000"/>
        </w:rPr>
        <w:t>liczba</w:t>
      </w:r>
      <w:proofErr w:type="gramEnd"/>
      <w:r w:rsidRPr="00E320BC">
        <w:rPr>
          <w:rFonts w:ascii="Calibri" w:eastAsia="Candara" w:hAnsi="Calibri" w:cs="Calibri"/>
          <w:color w:val="000000"/>
        </w:rPr>
        <w:t xml:space="preserve"> mieszkań oddanych do użytku na 1000 mieszkańców. </w:t>
      </w:r>
    </w:p>
    <w:p w:rsidR="00E320BC" w:rsidRPr="00E320BC" w:rsidRDefault="00E320BC" w:rsidP="00E320BC">
      <w:pPr>
        <w:spacing w:after="0"/>
        <w:ind w:firstLine="357"/>
        <w:rPr>
          <w:rFonts w:ascii="Calibri" w:eastAsia="Calibri" w:hAnsi="Calibri" w:cs="Times New Roman"/>
        </w:rPr>
      </w:pPr>
      <w:r w:rsidRPr="00E320BC">
        <w:rPr>
          <w:rFonts w:ascii="Calibri" w:eastAsia="Calibri" w:hAnsi="Calibri" w:cs="Calibri"/>
        </w:rPr>
        <w:t xml:space="preserve">Zgodnie z KPZK 2030 miejski obszar funkcjonalny to układ </w:t>
      </w:r>
      <w:r w:rsidRPr="00E320BC">
        <w:rPr>
          <w:rFonts w:ascii="Calibri" w:eastAsia="Calibri" w:hAnsi="Calibri" w:cs="Times New Roman"/>
        </w:rPr>
        <w:t>osadniczy ciągły przestrzennie, złożony z odrębnych administracyjnie jednostek (gmin miejskich, wiejskich i miejsko-wiejskich) i składający się ze zwartego obszaru miejskiego oraz powiązanej z nim funkcjonalnie strefy zurbanizowanej. KPZK 2030 zakłada odejście od podejścia do miasta w jego granicach administracyjnych, a w zamian traktowanie miasta i jego zewnętrznej strefy, jako jeden system połączony gęstą siecią powiązań.</w:t>
      </w:r>
    </w:p>
    <w:p w:rsidR="00E320BC" w:rsidRPr="00E320BC" w:rsidRDefault="00E320BC" w:rsidP="00E320BC">
      <w:pPr>
        <w:spacing w:after="0"/>
        <w:ind w:firstLine="357"/>
        <w:rPr>
          <w:rFonts w:ascii="Calibri" w:eastAsia="Calibri" w:hAnsi="Calibri" w:cs="Calibri"/>
        </w:rPr>
      </w:pPr>
      <w:r w:rsidRPr="00E320BC">
        <w:rPr>
          <w:rFonts w:ascii="Calibri" w:eastAsia="Calibri" w:hAnsi="Calibri" w:cs="Times New Roman"/>
        </w:rPr>
        <w:t xml:space="preserve">KPZK 2030 wyróżnia cztery podtypy MOF: obszary funkcjonalne ośrodków wojewódzkich, regionalnych, </w:t>
      </w:r>
      <w:proofErr w:type="spellStart"/>
      <w:r w:rsidRPr="00E320BC">
        <w:rPr>
          <w:rFonts w:ascii="Calibri" w:eastAsia="Calibri" w:hAnsi="Calibri" w:cs="Times New Roman"/>
        </w:rPr>
        <w:t>subregionalnych</w:t>
      </w:r>
      <w:proofErr w:type="spellEnd"/>
      <w:r w:rsidRPr="00E320BC">
        <w:rPr>
          <w:rFonts w:ascii="Calibri" w:eastAsia="Calibri" w:hAnsi="Calibri" w:cs="Times New Roman"/>
        </w:rPr>
        <w:t xml:space="preserve"> i lokalnych (ryc</w:t>
      </w:r>
      <w:proofErr w:type="gramStart"/>
      <w:r w:rsidRPr="00E320BC">
        <w:rPr>
          <w:rFonts w:ascii="Calibri" w:eastAsia="Calibri" w:hAnsi="Calibri" w:cs="Times New Roman"/>
        </w:rPr>
        <w:t>. 1). Typologia</w:t>
      </w:r>
      <w:proofErr w:type="gramEnd"/>
      <w:r w:rsidRPr="00E320BC">
        <w:rPr>
          <w:rFonts w:ascii="Calibri" w:eastAsia="Calibri" w:hAnsi="Calibri" w:cs="Times New Roman"/>
        </w:rPr>
        <w:t xml:space="preserve"> ta odnosi się do funkcji ośrodków miejskich w systemie osadniczym kraju i została oparta głównie o ich wielkość.</w:t>
      </w:r>
    </w:p>
    <w:p w:rsidR="00E320BC" w:rsidRPr="00E320BC" w:rsidRDefault="00E320BC" w:rsidP="00E320BC">
      <w:pPr>
        <w:spacing w:after="0"/>
        <w:ind w:firstLine="357"/>
        <w:rPr>
          <w:rFonts w:ascii="Calibri" w:eastAsia="Times New Roman" w:hAnsi="Calibri" w:cs="Calibri"/>
          <w:lang w:eastAsia="pl-PL"/>
        </w:rPr>
      </w:pPr>
      <w:r w:rsidRPr="00E320BC">
        <w:rPr>
          <w:rFonts w:ascii="Calibri" w:eastAsia="Times New Roman" w:hAnsi="Calibri" w:cs="Calibri"/>
          <w:lang w:eastAsia="pl-PL"/>
        </w:rPr>
        <w:t>Hrubieszowski Obszar Funkcjonalny ma znaczenie lokalne</w:t>
      </w:r>
      <w:r w:rsidRPr="00E320BC">
        <w:rPr>
          <w:rFonts w:ascii="Calibri" w:eastAsia="Times New Roman" w:hAnsi="Calibri" w:cs="Calibri"/>
          <w:vertAlign w:val="superscript"/>
          <w:lang w:eastAsia="pl-PL"/>
        </w:rPr>
        <w:footnoteReference w:id="1"/>
      </w:r>
      <w:r w:rsidRPr="00E320BC">
        <w:rPr>
          <w:rFonts w:ascii="Calibri" w:eastAsia="Times New Roman" w:hAnsi="Calibri" w:cs="Calibri"/>
          <w:lang w:eastAsia="pl-PL"/>
        </w:rPr>
        <w:t xml:space="preserve"> i jest jednym z 12 MOF ośrodków lokalnych wyznaczonych na terenie województwa lubelskiego (w sumie 31 gmin w województwie). Jako ośrodek lokalny ma duże znaczenie w rozwoju obszarów wiejskich, ponieważ jest centrum tworzenia funkcji pozarolniczych, oferuje usługi podstawowe i średniego </w:t>
      </w:r>
      <w:proofErr w:type="gramStart"/>
      <w:r w:rsidRPr="00E320BC">
        <w:rPr>
          <w:rFonts w:ascii="Calibri" w:eastAsia="Times New Roman" w:hAnsi="Calibri" w:cs="Calibri"/>
          <w:lang w:eastAsia="pl-PL"/>
        </w:rPr>
        <w:t xml:space="preserve">rzędu. </w:t>
      </w:r>
      <w:proofErr w:type="gramEnd"/>
      <w:r w:rsidR="00611CCD" w:rsidRPr="00E320BC">
        <w:rPr>
          <w:rFonts w:ascii="Calibri" w:eastAsia="Times New Roman" w:hAnsi="Calibri" w:cs="Calibri"/>
          <w:lang w:eastAsia="pl-PL"/>
        </w:rPr>
        <w:t xml:space="preserve">Wewnętrzne powiązania pomiędzy miastem rdzeniowym a obszarem funkcjonalnym czytelne są głównie </w:t>
      </w:r>
      <w:r w:rsidRPr="00E320BC">
        <w:rPr>
          <w:rFonts w:ascii="Calibri" w:eastAsia="Times New Roman" w:hAnsi="Calibri" w:cs="Calibri"/>
          <w:lang w:eastAsia="pl-PL"/>
        </w:rPr>
        <w:t>w takich płaszczyznach jak dojazd do pracy, intensywne zagospodarowanie, duży przepływ towarów i usług o zróżnicowanym charakterze, wzajemnym powiązaniem rynku pracy i mieszkaniowego, infrastruktury technicznej</w:t>
      </w:r>
      <w:r w:rsidR="00283D55">
        <w:rPr>
          <w:rFonts w:ascii="Calibri" w:eastAsia="Times New Roman" w:hAnsi="Calibri" w:cs="Calibri"/>
          <w:lang w:eastAsia="pl-PL"/>
        </w:rPr>
        <w:t xml:space="preserve">, </w:t>
      </w:r>
      <w:r w:rsidRPr="00E320BC">
        <w:rPr>
          <w:rFonts w:ascii="Calibri" w:eastAsia="Times New Roman" w:hAnsi="Calibri" w:cs="Calibri"/>
          <w:lang w:eastAsia="pl-PL"/>
        </w:rPr>
        <w:t>struktur przyrodniczych</w:t>
      </w:r>
      <w:r w:rsidRPr="00E320BC">
        <w:rPr>
          <w:rFonts w:ascii="Calibri" w:eastAsia="Times New Roman" w:hAnsi="Calibri" w:cs="Calibri"/>
          <w:vertAlign w:val="superscript"/>
          <w:lang w:eastAsia="pl-PL"/>
        </w:rPr>
        <w:footnoteReference w:id="2"/>
      </w:r>
      <w:r w:rsidR="00283D55">
        <w:rPr>
          <w:rFonts w:ascii="Calibri" w:eastAsia="Times New Roman" w:hAnsi="Calibri" w:cs="Calibri"/>
          <w:lang w:eastAsia="pl-PL"/>
        </w:rPr>
        <w:t xml:space="preserve"> </w:t>
      </w:r>
      <w:r w:rsidR="00611CCD">
        <w:rPr>
          <w:rFonts w:ascii="Calibri" w:eastAsia="Times New Roman" w:hAnsi="Calibri" w:cs="Calibri"/>
          <w:lang w:eastAsia="pl-PL"/>
        </w:rPr>
        <w:t>oraz szkolnictwo i wychowanie przedszkolne</w:t>
      </w:r>
      <w:r w:rsidRPr="00E320BC">
        <w:rPr>
          <w:rFonts w:ascii="Calibri" w:eastAsia="Times New Roman" w:hAnsi="Calibri" w:cs="Calibri"/>
          <w:lang w:eastAsia="pl-PL"/>
        </w:rPr>
        <w:t>.</w:t>
      </w:r>
    </w:p>
    <w:p w:rsidR="00E320BC" w:rsidRPr="00E320BC" w:rsidRDefault="00E320BC" w:rsidP="00E320BC">
      <w:pPr>
        <w:keepNext/>
        <w:spacing w:before="240" w:after="0" w:line="240" w:lineRule="auto"/>
        <w:ind w:firstLine="357"/>
        <w:rPr>
          <w:rFonts w:ascii="Calibri" w:eastAsia="Calibri" w:hAnsi="Calibri" w:cs="Times New Roman"/>
          <w:b/>
          <w:bCs/>
          <w:color w:val="31B6FD"/>
          <w:sz w:val="18"/>
          <w:szCs w:val="18"/>
        </w:rPr>
      </w:pPr>
      <w:bookmarkStart w:id="1" w:name="_Toc138068497"/>
      <w:r w:rsidRPr="00E320BC">
        <w:rPr>
          <w:rFonts w:ascii="Calibri" w:eastAsia="Calibri" w:hAnsi="Calibri" w:cs="Times New Roman"/>
          <w:b/>
          <w:bCs/>
          <w:color w:val="31B6FD"/>
          <w:sz w:val="18"/>
          <w:szCs w:val="18"/>
        </w:rPr>
        <w:t xml:space="preserve">Ryc. </w:t>
      </w:r>
      <w:r w:rsidRPr="00E320BC">
        <w:rPr>
          <w:rFonts w:ascii="Calibri" w:eastAsia="Calibri" w:hAnsi="Calibri" w:cs="Times New Roman"/>
          <w:b/>
          <w:bCs/>
          <w:color w:val="31B6FD"/>
          <w:sz w:val="18"/>
          <w:szCs w:val="18"/>
        </w:rPr>
        <w:fldChar w:fldCharType="begin"/>
      </w:r>
      <w:r w:rsidRPr="00E320BC">
        <w:rPr>
          <w:rFonts w:ascii="Calibri" w:eastAsia="Calibri" w:hAnsi="Calibri" w:cs="Times New Roman"/>
          <w:b/>
          <w:bCs/>
          <w:color w:val="31B6FD"/>
          <w:sz w:val="18"/>
          <w:szCs w:val="18"/>
        </w:rPr>
        <w:instrText xml:space="preserve"> SEQ Ryc. \* ARABIC </w:instrText>
      </w:r>
      <w:r w:rsidRPr="00E320BC">
        <w:rPr>
          <w:rFonts w:ascii="Calibri" w:eastAsia="Calibri" w:hAnsi="Calibri" w:cs="Times New Roman"/>
          <w:b/>
          <w:bCs/>
          <w:color w:val="31B6FD"/>
          <w:sz w:val="18"/>
          <w:szCs w:val="18"/>
        </w:rPr>
        <w:fldChar w:fldCharType="separate"/>
      </w:r>
      <w:r w:rsidR="0022657A">
        <w:rPr>
          <w:rFonts w:ascii="Calibri" w:eastAsia="Calibri" w:hAnsi="Calibri" w:cs="Times New Roman"/>
          <w:b/>
          <w:bCs/>
          <w:noProof/>
          <w:color w:val="31B6FD"/>
          <w:sz w:val="18"/>
          <w:szCs w:val="18"/>
        </w:rPr>
        <w:t>1</w:t>
      </w:r>
      <w:r w:rsidRPr="00E320BC">
        <w:rPr>
          <w:rFonts w:ascii="Calibri" w:eastAsia="Calibri" w:hAnsi="Calibri" w:cs="Times New Roman"/>
          <w:b/>
          <w:bCs/>
          <w:color w:val="31B6FD"/>
          <w:sz w:val="18"/>
          <w:szCs w:val="18"/>
        </w:rPr>
        <w:fldChar w:fldCharType="end"/>
      </w:r>
      <w:r w:rsidRPr="00E320BC">
        <w:rPr>
          <w:rFonts w:ascii="Calibri" w:eastAsia="Calibri" w:hAnsi="Calibri" w:cs="Times New Roman"/>
          <w:b/>
          <w:bCs/>
          <w:color w:val="31B6FD"/>
          <w:sz w:val="18"/>
          <w:szCs w:val="18"/>
        </w:rPr>
        <w:t xml:space="preserve"> Klasyfikacja Miejskich Obszarów Funkcjonalnych wg KPZK 2030</w:t>
      </w:r>
      <w:bookmarkEnd w:id="1"/>
    </w:p>
    <w:p w:rsidR="00E320BC" w:rsidRPr="00E320BC" w:rsidRDefault="00E320BC" w:rsidP="00E320BC">
      <w:pPr>
        <w:spacing w:after="0"/>
        <w:ind w:firstLine="357"/>
        <w:rPr>
          <w:rFonts w:ascii="Calibri" w:eastAsia="Times New Roman" w:hAnsi="Calibri" w:cs="Calibri"/>
          <w:i/>
          <w:sz w:val="18"/>
          <w:szCs w:val="18"/>
          <w:lang w:eastAsia="pl-PL"/>
        </w:rPr>
      </w:pPr>
      <w:r w:rsidRPr="00E320BC">
        <w:rPr>
          <w:rFonts w:ascii="Calibri" w:eastAsia="Times New Roman" w:hAnsi="Calibri" w:cs="Calibri"/>
          <w:noProof/>
          <w:lang w:eastAsia="pl-PL"/>
        </w:rPr>
        <w:drawing>
          <wp:inline distT="0" distB="0" distL="0" distR="0" wp14:anchorId="62FED64B" wp14:editId="656FEC3C">
            <wp:extent cx="5288280" cy="1447800"/>
            <wp:effectExtent l="38100" t="0" r="7620" b="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r w:rsidRPr="00E320BC">
        <w:rPr>
          <w:rFonts w:ascii="Calibri" w:eastAsia="Times New Roman" w:hAnsi="Calibri" w:cs="Calibri"/>
          <w:i/>
          <w:sz w:val="18"/>
          <w:szCs w:val="18"/>
          <w:lang w:eastAsia="pl-PL"/>
        </w:rPr>
        <w:t>Źródło: Opracowanie własne na podstawie Koncepcji przestrzennego zagospodarowania kraju 2030</w:t>
      </w:r>
    </w:p>
    <w:p w:rsidR="00E320BC" w:rsidRPr="00E320BC" w:rsidRDefault="00E320BC" w:rsidP="00E320BC">
      <w:pPr>
        <w:spacing w:after="0"/>
        <w:ind w:firstLine="357"/>
        <w:rPr>
          <w:rFonts w:ascii="Calibri" w:eastAsia="Times New Roman" w:hAnsi="Calibri" w:cs="Calibri"/>
          <w:lang w:eastAsia="pl-PL"/>
        </w:rPr>
      </w:pPr>
      <w:r w:rsidRPr="00E320BC">
        <w:rPr>
          <w:rFonts w:ascii="Calibri" w:eastAsia="Times New Roman" w:hAnsi="Calibri" w:cs="Calibri"/>
          <w:lang w:eastAsia="pl-PL"/>
        </w:rPr>
        <w:lastRenderedPageBreak/>
        <w:t xml:space="preserve">Celem delimitacji Hrubieszowskiego OF było wyodrębnienie możliwie jednorodnego i spójnego obszaru o wyraźnych powiązaniach funkcjonalnych i przestrzennych. Na tej podstawie wydzielono Hrubieszowski Obszar Funkcjonalny składający się z: miasta Hrubieszowa będącego ośrodkiem rdzeniowym MOF oraz gminy wiejskiej Hrubieszów stanowiącej strefę zewnętrzną OF. </w:t>
      </w:r>
    </w:p>
    <w:p w:rsidR="00E320BC" w:rsidRPr="00E320BC" w:rsidRDefault="00E320BC" w:rsidP="00E320BC">
      <w:pPr>
        <w:spacing w:after="0"/>
        <w:ind w:firstLine="357"/>
        <w:rPr>
          <w:rFonts w:ascii="Calibri" w:eastAsia="Candara" w:hAnsi="Calibri" w:cs="Calibri"/>
        </w:rPr>
      </w:pPr>
      <w:r w:rsidRPr="00E320BC">
        <w:rPr>
          <w:rFonts w:ascii="Calibri" w:eastAsia="Candara" w:hAnsi="Calibri" w:cs="Calibri"/>
        </w:rPr>
        <w:t>Miasto Hrubieszów stanowi siedzibę obu Gmin i stolicę po</w:t>
      </w:r>
      <w:r w:rsidR="00ED7675">
        <w:rPr>
          <w:rFonts w:ascii="Calibri" w:eastAsia="Candara" w:hAnsi="Calibri" w:cs="Calibri"/>
        </w:rPr>
        <w:t>wiatu hrubieszowskiego. Jest to </w:t>
      </w:r>
      <w:r w:rsidRPr="00E320BC">
        <w:rPr>
          <w:rFonts w:ascii="Calibri" w:eastAsia="Candara" w:hAnsi="Calibri" w:cs="Calibri"/>
        </w:rPr>
        <w:t>ośrodek skupiający najważniejsze funkcje administracyjne i usługowe, zarówno samego HOF jak i całego powiatu, i jest obszarem wpływającym na rozwój terenów otaczających. Zależność ta działa również w drugą stronę uzależniając funkcjonowanie i rozwój miasta od gmin otaczających.</w:t>
      </w:r>
    </w:p>
    <w:p w:rsidR="00E320BC" w:rsidRPr="00E320BC" w:rsidRDefault="00ED7675" w:rsidP="00E320BC">
      <w:pPr>
        <w:spacing w:after="0"/>
        <w:ind w:firstLine="357"/>
        <w:rPr>
          <w:rFonts w:ascii="Calibri" w:eastAsia="Candara" w:hAnsi="Calibri" w:cs="Calibri"/>
        </w:rPr>
      </w:pPr>
      <w:r w:rsidRPr="00E320BC">
        <w:rPr>
          <w:rFonts w:ascii="Calibri" w:eastAsia="Candara" w:hAnsi="Calibri" w:cs="Calibri"/>
          <w:noProof/>
          <w:lang w:eastAsia="pl-PL"/>
        </w:rPr>
        <w:drawing>
          <wp:anchor distT="0" distB="0" distL="114300" distR="114300" simplePos="0" relativeHeight="251664384" behindDoc="0" locked="0" layoutInCell="1" allowOverlap="1" wp14:anchorId="11C6B6B5" wp14:editId="0F5BE95E">
            <wp:simplePos x="0" y="0"/>
            <wp:positionH relativeFrom="column">
              <wp:posOffset>1812925</wp:posOffset>
            </wp:positionH>
            <wp:positionV relativeFrom="paragraph">
              <wp:posOffset>373380</wp:posOffset>
            </wp:positionV>
            <wp:extent cx="3962400" cy="3388995"/>
            <wp:effectExtent l="0" t="0" r="0" b="1905"/>
            <wp:wrapSquare wrapText="bothSides"/>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62400" cy="3388995"/>
                    </a:xfrm>
                    <a:prstGeom prst="rect">
                      <a:avLst/>
                    </a:prstGeom>
                    <a:noFill/>
                  </pic:spPr>
                </pic:pic>
              </a:graphicData>
            </a:graphic>
            <wp14:sizeRelH relativeFrom="page">
              <wp14:pctWidth>0</wp14:pctWidth>
            </wp14:sizeRelH>
            <wp14:sizeRelV relativeFrom="page">
              <wp14:pctHeight>0</wp14:pctHeight>
            </wp14:sizeRelV>
          </wp:anchor>
        </w:drawing>
      </w:r>
      <w:r w:rsidR="00E320BC" w:rsidRPr="00E320BC">
        <w:rPr>
          <w:rFonts w:ascii="Calibri" w:eastAsia="Candara" w:hAnsi="Calibri" w:cs="Calibri"/>
          <w:noProof/>
          <w:lang w:eastAsia="pl-PL"/>
        </w:rPr>
        <mc:AlternateContent>
          <mc:Choice Requires="wps">
            <w:drawing>
              <wp:anchor distT="0" distB="0" distL="114300" distR="114300" simplePos="0" relativeHeight="251666432" behindDoc="0" locked="0" layoutInCell="1" allowOverlap="1" wp14:anchorId="541463AF" wp14:editId="2D4114AE">
                <wp:simplePos x="0" y="0"/>
                <wp:positionH relativeFrom="column">
                  <wp:posOffset>4243705</wp:posOffset>
                </wp:positionH>
                <wp:positionV relativeFrom="paragraph">
                  <wp:posOffset>3756660</wp:posOffset>
                </wp:positionV>
                <wp:extent cx="1530350" cy="388620"/>
                <wp:effectExtent l="0" t="0" r="0" b="0"/>
                <wp:wrapSquare wrapText="bothSides"/>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388620"/>
                        </a:xfrm>
                        <a:prstGeom prst="rect">
                          <a:avLst/>
                        </a:prstGeom>
                        <a:solidFill>
                          <a:srgbClr val="FFFFFF"/>
                        </a:solidFill>
                        <a:ln w="9525">
                          <a:noFill/>
                          <a:miter lim="800000"/>
                          <a:headEnd/>
                          <a:tailEnd/>
                        </a:ln>
                      </wps:spPr>
                      <wps:txbx>
                        <w:txbxContent>
                          <w:p w:rsidR="002441D5" w:rsidRPr="002965B6" w:rsidRDefault="002441D5" w:rsidP="00ED7675">
                            <w:pPr>
                              <w:ind w:firstLine="0"/>
                              <w:rPr>
                                <w:i/>
                                <w:sz w:val="18"/>
                                <w:szCs w:val="18"/>
                                <w:lang w:eastAsia="ar-SA"/>
                              </w:rPr>
                            </w:pPr>
                            <w:r w:rsidRPr="002965B6">
                              <w:rPr>
                                <w:i/>
                                <w:sz w:val="18"/>
                                <w:szCs w:val="18"/>
                                <w:lang w:eastAsia="ar-SA"/>
                              </w:rPr>
                              <w:t>Źródło: opracowanie własne</w:t>
                            </w:r>
                          </w:p>
                          <w:p w:rsidR="002441D5" w:rsidRDefault="002441D5" w:rsidP="00E320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Pole tekstowe 2" o:spid="_x0000_s1026" type="#_x0000_t202" style="position:absolute;left:0;text-align:left;margin-left:334.15pt;margin-top:295.8pt;width:120.5pt;height:30.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" stroked="f">
                <v:textbox>
                  <w:txbxContent>
                    <w:p w:rsidR="002441D5" w:rsidRPr="002965B6" w:rsidRDefault="002441D5" w:rsidP="00ED7675">
                      <w:pPr>
                        <w:ind w:firstLine="0"/>
                        <w:rPr>
                          <w:i/>
                          <w:sz w:val="18"/>
                          <w:szCs w:val="18"/>
                          <w:lang w:eastAsia="ar-SA"/>
                        </w:rPr>
                      </w:pPr>
                      <w:r w:rsidRPr="002965B6">
                        <w:rPr>
                          <w:i/>
                          <w:sz w:val="18"/>
                          <w:szCs w:val="18"/>
                          <w:lang w:eastAsia="ar-SA"/>
                        </w:rPr>
                        <w:t>Źródło: opracowanie własne</w:t>
                      </w:r>
                    </w:p>
                    <w:p w:rsidR="002441D5" w:rsidRDefault="002441D5" w:rsidP="00E320BC"/>
                  </w:txbxContent>
                </v:textbox>
                <w10:wrap type="square"/>
              </v:shape>
            </w:pict>
          </mc:Fallback>
        </mc:AlternateContent>
      </w:r>
      <w:r w:rsidR="00E320BC" w:rsidRPr="00E320BC">
        <w:rPr>
          <w:rFonts w:ascii="Calibri" w:eastAsia="Candara" w:hAnsi="Calibri" w:cs="Times New Roman"/>
          <w:noProof/>
          <w:lang w:eastAsia="pl-PL"/>
        </w:rPr>
        <mc:AlternateContent>
          <mc:Choice Requires="wps">
            <w:drawing>
              <wp:anchor distT="0" distB="0" distL="114300" distR="114300" simplePos="0" relativeHeight="251665408" behindDoc="0" locked="0" layoutInCell="1" allowOverlap="1" wp14:anchorId="34C32477" wp14:editId="3D5AA71F">
                <wp:simplePos x="0" y="0"/>
                <wp:positionH relativeFrom="column">
                  <wp:posOffset>1814830</wp:posOffset>
                </wp:positionH>
                <wp:positionV relativeFrom="paragraph">
                  <wp:posOffset>19685</wp:posOffset>
                </wp:positionV>
                <wp:extent cx="3961765" cy="457200"/>
                <wp:effectExtent l="0" t="0" r="635" b="0"/>
                <wp:wrapSquare wrapText="bothSides"/>
                <wp:docPr id="3" name="Pole tekstowe 3"/>
                <wp:cNvGraphicFramePr/>
                <a:graphic xmlns:a="http://schemas.openxmlformats.org/drawingml/2006/main">
                  <a:graphicData uri="http://schemas.microsoft.com/office/word/2010/wordprocessingShape">
                    <wps:wsp>
                      <wps:cNvSpPr txBox="1"/>
                      <wps:spPr>
                        <a:xfrm>
                          <a:off x="0" y="0"/>
                          <a:ext cx="3961765" cy="457200"/>
                        </a:xfrm>
                        <a:prstGeom prst="rect">
                          <a:avLst/>
                        </a:prstGeom>
                        <a:solidFill>
                          <a:prstClr val="white"/>
                        </a:solidFill>
                        <a:ln>
                          <a:noFill/>
                        </a:ln>
                        <a:effectLst/>
                      </wps:spPr>
                      <wps:txbx>
                        <w:txbxContent>
                          <w:p w:rsidR="002441D5" w:rsidRPr="0088703F" w:rsidRDefault="002441D5" w:rsidP="00E320BC">
                            <w:pPr>
                              <w:pStyle w:val="Legenda"/>
                              <w:rPr>
                                <w:rFonts w:cs="Calibri"/>
                                <w:noProof/>
                              </w:rPr>
                            </w:pPr>
                            <w:bookmarkStart w:id="2" w:name="_Toc138068498"/>
                            <w:r>
                              <w:t xml:space="preserve">Ryc. </w:t>
                            </w:r>
                            <w:r w:rsidR="00E20FF4">
                              <w:fldChar w:fldCharType="begin"/>
                            </w:r>
                            <w:r w:rsidR="00E20FF4">
                              <w:instrText xml:space="preserve"> SEQ Ryc. \* ARABIC </w:instrText>
                            </w:r>
                            <w:r w:rsidR="00E20FF4">
                              <w:fldChar w:fldCharType="separate"/>
                            </w:r>
                            <w:r w:rsidR="0022657A">
                              <w:rPr>
                                <w:noProof/>
                              </w:rPr>
                              <w:t>2</w:t>
                            </w:r>
                            <w:r w:rsidR="00E20FF4">
                              <w:rPr>
                                <w:noProof/>
                              </w:rPr>
                              <w:fldChar w:fldCharType="end"/>
                            </w:r>
                            <w:r>
                              <w:t xml:space="preserve">. </w:t>
                            </w:r>
                            <w:r w:rsidRPr="005E13CF">
                              <w:t>Położenie HOF</w:t>
                            </w:r>
                            <w:bookmarkEnd w:id="2"/>
                            <w:r w:rsidRPr="005E13CF">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Pole tekstowe 3" o:spid="_x0000_s1027" type="#_x0000_t202" style="position:absolute;left:0;text-align:left;margin-left:142.9pt;margin-top:1.55pt;width:311.95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" stroked="f">
                <v:textbox inset="0,0,0,0">
                  <w:txbxContent>
                    <w:p w:rsidR="002441D5" w:rsidRPr="0088703F" w:rsidRDefault="002441D5" w:rsidP="00E320BC">
                      <w:pPr>
                        <w:pStyle w:val="Legenda"/>
                        <w:rPr>
                          <w:rFonts w:cs="Calibri"/>
                          <w:noProof/>
                        </w:rPr>
                      </w:pPr>
                      <w:bookmarkStart w:id="3" w:name="_Toc138068498"/>
                      <w:r>
                        <w:t xml:space="preserve">Ryc. </w:t>
                      </w:r>
                      <w:r w:rsidR="00E20FF4">
                        <w:fldChar w:fldCharType="begin"/>
                      </w:r>
                      <w:r w:rsidR="00E20FF4">
                        <w:instrText xml:space="preserve"> SEQ Ryc. \* ARABIC </w:instrText>
                      </w:r>
                      <w:r w:rsidR="00E20FF4">
                        <w:fldChar w:fldCharType="separate"/>
                      </w:r>
                      <w:r w:rsidR="0022657A">
                        <w:rPr>
                          <w:noProof/>
                        </w:rPr>
                        <w:t>2</w:t>
                      </w:r>
                      <w:r w:rsidR="00E20FF4">
                        <w:rPr>
                          <w:noProof/>
                        </w:rPr>
                        <w:fldChar w:fldCharType="end"/>
                      </w:r>
                      <w:r>
                        <w:t xml:space="preserve">. </w:t>
                      </w:r>
                      <w:r w:rsidRPr="005E13CF">
                        <w:t>Położenie HOF</w:t>
                      </w:r>
                      <w:bookmarkEnd w:id="3"/>
                      <w:r w:rsidRPr="005E13CF">
                        <w:t xml:space="preserve"> </w:t>
                      </w:r>
                    </w:p>
                  </w:txbxContent>
                </v:textbox>
                <w10:wrap type="square"/>
              </v:shape>
            </w:pict>
          </mc:Fallback>
        </mc:AlternateContent>
      </w:r>
      <w:r>
        <w:rPr>
          <w:rFonts w:ascii="Calibri" w:eastAsia="Candara" w:hAnsi="Calibri" w:cs="Calibri"/>
        </w:rPr>
        <w:t>HOF znajduje się w </w:t>
      </w:r>
      <w:r w:rsidR="00E320BC" w:rsidRPr="00E320BC">
        <w:rPr>
          <w:rFonts w:ascii="Calibri" w:eastAsia="Candara" w:hAnsi="Calibri" w:cs="Calibri"/>
        </w:rPr>
        <w:t>pobliżu najbardziej wysuniętego na wschód punktu w Polsce - zakole Bugu w miejscowości Zosi</w:t>
      </w:r>
      <w:r>
        <w:rPr>
          <w:rFonts w:ascii="Calibri" w:eastAsia="Candara" w:hAnsi="Calibri" w:cs="Calibri"/>
        </w:rPr>
        <w:t>n, 24°08' E (gmina Horodło). Od </w:t>
      </w:r>
      <w:r w:rsidR="00E320BC" w:rsidRPr="00E320BC">
        <w:rPr>
          <w:rFonts w:ascii="Calibri" w:eastAsia="Candara" w:hAnsi="Calibri" w:cs="Calibri"/>
        </w:rPr>
        <w:t>wschodu HOF graniczy przez rzekę Bug z Ukrainą, na obszarze powi</w:t>
      </w:r>
      <w:r>
        <w:rPr>
          <w:rFonts w:ascii="Calibri" w:eastAsia="Candara" w:hAnsi="Calibri" w:cs="Calibri"/>
        </w:rPr>
        <w:t>atu hrubieszowskiego graniczy z </w:t>
      </w:r>
      <w:r w:rsidR="00E320BC" w:rsidRPr="00E320BC">
        <w:rPr>
          <w:rFonts w:ascii="Calibri" w:eastAsia="Candara" w:hAnsi="Calibri" w:cs="Calibri"/>
        </w:rPr>
        <w:t>gminami: Horodło, Uch</w:t>
      </w:r>
      <w:r>
        <w:rPr>
          <w:rFonts w:ascii="Calibri" w:eastAsia="Candara" w:hAnsi="Calibri" w:cs="Calibri"/>
        </w:rPr>
        <w:t>anie, Trzeszczany, Werbkowice i </w:t>
      </w:r>
      <w:r w:rsidR="00E320BC" w:rsidRPr="00E320BC">
        <w:rPr>
          <w:rFonts w:ascii="Calibri" w:eastAsia="Candara" w:hAnsi="Calibri" w:cs="Calibri"/>
        </w:rPr>
        <w:t>Mircze oraz gminą Białopole położoną w powiecie chełmskim. HOF położo</w:t>
      </w:r>
      <w:r>
        <w:rPr>
          <w:rFonts w:ascii="Calibri" w:eastAsia="Candara" w:hAnsi="Calibri" w:cs="Calibri"/>
        </w:rPr>
        <w:t>ny jest ok. 50 km od Zamościa i Chełma, ok. 60 km od Krasnegostawu i </w:t>
      </w:r>
      <w:r w:rsidR="00E320BC" w:rsidRPr="00E320BC">
        <w:rPr>
          <w:rFonts w:ascii="Calibri" w:eastAsia="Candara" w:hAnsi="Calibri" w:cs="Calibri"/>
        </w:rPr>
        <w:t>Tomaszowa Lubelskiego oraz ok. 120 km od stolicy województwa – miasta Lublin</w:t>
      </w:r>
      <w:r w:rsidR="00E320BC" w:rsidRPr="00E320BC">
        <w:rPr>
          <w:rFonts w:ascii="Calibri" w:eastAsia="Candara" w:hAnsi="Calibri" w:cs="Calibri"/>
          <w:b/>
        </w:rPr>
        <w:t>. Ze względu na peryferyjne położenie dostępność komunikacyjna Hrubieszowskiego Obszaru Funkcjonalnego jest dość ograniczona, co ma negatywny wpływ na jego atrakcyjność inwestycyjną i turystyczną.</w:t>
      </w:r>
      <w:r w:rsidR="00E320BC" w:rsidRPr="00E320BC">
        <w:rPr>
          <w:rFonts w:ascii="Calibri" w:eastAsia="Candara" w:hAnsi="Calibri" w:cs="Calibri"/>
        </w:rPr>
        <w:t xml:space="preserve"> Jednocześnie peryferyjne położenie może zostać wykorzystane, </w:t>
      </w:r>
      <w:r w:rsidR="00E320BC" w:rsidRPr="00E320BC">
        <w:rPr>
          <w:rFonts w:ascii="Calibri" w:eastAsia="Candara" w:hAnsi="Calibri" w:cs="Calibri"/>
          <w:b/>
        </w:rPr>
        <w:t>jako</w:t>
      </w:r>
      <w:r w:rsidR="00E320BC" w:rsidRPr="00E320BC">
        <w:rPr>
          <w:rFonts w:ascii="Calibri" w:eastAsia="Candara" w:hAnsi="Calibri" w:cs="Calibri"/>
        </w:rPr>
        <w:t xml:space="preserve"> </w:t>
      </w:r>
      <w:r w:rsidR="00E320BC" w:rsidRPr="00E320BC">
        <w:rPr>
          <w:rFonts w:ascii="Calibri" w:eastAsia="Candara" w:hAnsi="Calibri" w:cs="Calibri"/>
          <w:b/>
        </w:rPr>
        <w:t>walor. Od momentu wstąpienia Polski do Unii Europejskiej, dzięki któremu obszar funkcjonalny stał się jednym z najdalej wysuniętych na wschód ośrodków Wspólnoty Europejskiej, Hrubieszów stał się istotnym ośrodkiem współpracy transgranicznej, stanowi to ważny kierunek rozwoju miasta.</w:t>
      </w:r>
    </w:p>
    <w:p w:rsidR="00DC5AA0"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Strategia </w:t>
      </w:r>
      <w:r w:rsidRPr="00E320BC">
        <w:rPr>
          <w:rFonts w:ascii="Calibri" w:eastAsia="Times New Roman" w:hAnsi="Calibri" w:cs="Times New Roman"/>
          <w:lang w:eastAsia="pl-PL"/>
        </w:rPr>
        <w:t>rozwoju ponadlokalnego Hrubieszowskiego Obszaru Funkcjonalnego</w:t>
      </w:r>
      <w:r w:rsidRPr="00E320BC">
        <w:rPr>
          <w:rFonts w:ascii="Calibri" w:eastAsia="Candara" w:hAnsi="Calibri" w:cs="Times New Roman"/>
        </w:rPr>
        <w:t xml:space="preserve"> jest głównym i najważniejszym dokumentem przedmiotowego obszaru funkcjonalnego, który wyznacza kluczowe długoterminowe cele i kierunki rozwoju. Z założenia dokument obejmuje lata 2021 - 2030. Przyjęcie takiego horyzontu czasowego jest zgodne z zaleceniami planistycznymi oraz pozwala na dostosowanie strategii do wymogów wynikających z obowiązującej perspektywy finansowej Unii Europejskiej. Nowy budżet nastawia się na transformację ekologiczną i cyfrową jednocześnie spore środki nadal przeznaczane będą na politykę spójnoś</w:t>
      </w:r>
      <w:r w:rsidR="00DC5AA0">
        <w:rPr>
          <w:rFonts w:ascii="Calibri" w:eastAsia="Candara" w:hAnsi="Calibri" w:cs="Times New Roman"/>
        </w:rPr>
        <w:t>ci i wspólną politykę rolną.</w:t>
      </w:r>
      <w:r w:rsidR="00DC5AA0" w:rsidRPr="00DC5AA0">
        <w:rPr>
          <w:rFonts w:ascii="Calibri" w:eastAsia="Candara" w:hAnsi="Calibri" w:cs="Times New Roman"/>
        </w:rPr>
        <w:t xml:space="preserve">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lastRenderedPageBreak/>
        <w:t xml:space="preserve">Nowa perspektywa finansowa Unii Europejskiej zakłada kontynuację programów Polska Wschodnia, Inteligentny Rozwój oraz Wiedza, Edukacja i Rozwój. Nowe programy obejmą takie dziedziny, jak innowacje, badania i rozwój, kwestie infrastrukturalne, środowiskowe oraz transformację cyfrową. Dodatkowo środki przewidziane w nowym długoterminowym budżecie mają posłużyć również odbudowie po pandemii Covid-19.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W nowej perspektywie finansowej UE na lata 2021-2027 uwzględniono przeznaczenie min. 6% alokacji krajowej w ramach EFRR na wsparcie zrównoważonego rozwoju obszarów miejskich, które będą wdrażane poprzez Zintegrowane Inwestycje Terytorialne (ZIT). Głównym celem przedsięwzięcia ZIT będzie zwiększenie efektywności podejmowanych interwencji. Działania te przyczynią się do zaspokojenia potrzeb i rozwiązywania w sposób kompleksowy problemów miejskich obszarów funkcjonalnych, w tym dotyczących harmonijnego rozwoju przestrzennego oraz optymalizacji oddziaływania procesów rozwojowych.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Zintegrowane Inwestycje Terytorialne (ZIT) stanowią nową formę współpracy samorządów współfinansowaną ze środków Funduszy Europejskich. Gminy budujące HOF mają za zadanie wspólnie </w:t>
      </w:r>
      <w:r w:rsidRPr="00E320BC">
        <w:rPr>
          <w:rFonts w:ascii="Calibri" w:eastAsia="Candara" w:hAnsi="Calibri" w:cs="Times New Roman"/>
          <w:shd w:val="clear" w:color="auto" w:fill="FFFFFF"/>
        </w:rPr>
        <w:t>ustalić cele i wskazać inwestycje niezbędne do ich osiągnięcia. Środki na ich realizację pochodzą z programu Fundusze Europejskie dla Lubelskiego 2021-2027. Formuła ta umożliwia wyjście poza sztywne granice administracyjne samorządów, co przełoży się na większe oddziaływanie realizowanych wspólnie przedsięwzięć. Celem ZIT jest sprzyjanie rozwojowi współpracy i integracji, promowanie partnerskiego modelu współpracy, realizacja zintegrowanych projektów oraz zwiększanie wpływu obszarów funkcjonalnych na kształt i sposób realizacji działań na ich obszarze w ramach polityki spójności.</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Podstawą realizacji Strategii </w:t>
      </w:r>
      <w:r w:rsidRPr="00E320BC">
        <w:rPr>
          <w:rFonts w:ascii="Calibri" w:eastAsia="Times New Roman" w:hAnsi="Calibri" w:cs="Times New Roman"/>
          <w:lang w:eastAsia="pl-PL"/>
        </w:rPr>
        <w:t>rozwoju ponadlokalnego Hrubieszowskiego Obszaru Funkcjonalnego</w:t>
      </w:r>
      <w:r w:rsidRPr="00E320BC">
        <w:rPr>
          <w:rFonts w:ascii="Calibri" w:eastAsia="Candara" w:hAnsi="Calibri" w:cs="Times New Roman"/>
        </w:rPr>
        <w:t xml:space="preserve"> jest założenie maksymalnego wykorzystania szeroko rozumianych wewnętrznych zasobów przestrzennych, infrastrukturalnych, gospodarczych, społecznych i środowiskowych, w tym potencjału miejscowych podmiotów gospodarczych. Dokument oparty jest o dokładną inwentaryzację istniejących zasobów HOF oraz walorów jego lokalizacji.</w:t>
      </w:r>
    </w:p>
    <w:p w:rsidR="00E320BC" w:rsidRPr="00E320BC" w:rsidRDefault="00E320BC" w:rsidP="004E12E1">
      <w:pPr>
        <w:pStyle w:val="Nagwek21"/>
      </w:pPr>
      <w:bookmarkStart w:id="4" w:name="_Toc138068770"/>
      <w:r w:rsidRPr="00E320BC">
        <w:t>Metodyka prac nad strategią</w:t>
      </w:r>
      <w:bookmarkEnd w:id="4"/>
    </w:p>
    <w:p w:rsidR="00E320BC" w:rsidRPr="00E320BC" w:rsidRDefault="00E320BC" w:rsidP="00E320BC">
      <w:pPr>
        <w:spacing w:after="0"/>
        <w:ind w:firstLine="357"/>
        <w:rPr>
          <w:rFonts w:ascii="Calibri" w:eastAsia="Calibri" w:hAnsi="Calibri" w:cs="Times New Roman"/>
        </w:rPr>
      </w:pPr>
      <w:r w:rsidRPr="00E320BC">
        <w:rPr>
          <w:rFonts w:ascii="Calibri" w:eastAsia="Calibri" w:hAnsi="Calibri" w:cs="Times New Roman"/>
        </w:rPr>
        <w:t xml:space="preserve">Prace nad dokumentem opierały się na wykorzystaniu szeregu wzajemnie uzupełniających się metod i modeli partycypacyjno-eksperckich oraz prac analitycznych. Model ten </w:t>
      </w:r>
      <w:r w:rsidRPr="00E320BC">
        <w:rPr>
          <w:rFonts w:ascii="Calibri" w:eastAsia="Calibri" w:hAnsi="Calibri" w:cs="Calibri"/>
        </w:rPr>
        <w:t>pozwala na szeroki udział władz, a także zapewnia aktywny udział społeczności lokalnej w weryfikowaniu celów strategii i określaniu sposobu ich realizacji poprzez konsultacje społeczne dokumentu. Dzięki takiemu opracowaniu Strategii możliwe jest połączenie potencjału mieszkańców biorących czynny udział w życiu społecznym z wiedzą oraz doświadczeniem ekspertów.</w:t>
      </w:r>
    </w:p>
    <w:p w:rsidR="00E320BC" w:rsidRPr="00E320BC" w:rsidRDefault="00E320BC" w:rsidP="00E320BC">
      <w:pPr>
        <w:spacing w:after="0"/>
        <w:ind w:firstLine="357"/>
        <w:rPr>
          <w:rFonts w:ascii="Calibri" w:eastAsia="Calibri" w:hAnsi="Calibri" w:cs="Times New Roman"/>
        </w:rPr>
      </w:pPr>
      <w:r w:rsidRPr="00E320BC">
        <w:rPr>
          <w:rFonts w:ascii="Calibri" w:eastAsia="Calibri" w:hAnsi="Calibri" w:cs="Times New Roman"/>
        </w:rPr>
        <w:t>Prace analityczne to głównie:</w:t>
      </w:r>
    </w:p>
    <w:p w:rsidR="00E320BC" w:rsidRPr="00E320BC" w:rsidRDefault="00E320BC" w:rsidP="0038421C">
      <w:pPr>
        <w:numPr>
          <w:ilvl w:val="0"/>
          <w:numId w:val="4"/>
        </w:numPr>
        <w:spacing w:after="0"/>
        <w:contextualSpacing/>
        <w:rPr>
          <w:rFonts w:ascii="Calibri" w:eastAsia="Calibri" w:hAnsi="Calibri" w:cs="Times New Roman"/>
        </w:rPr>
      </w:pPr>
      <w:proofErr w:type="gramStart"/>
      <w:r w:rsidRPr="00E320BC">
        <w:rPr>
          <w:rFonts w:ascii="Calibri" w:eastAsia="Calibri" w:hAnsi="Calibri" w:cs="Times New Roman"/>
        </w:rPr>
        <w:t>analiza</w:t>
      </w:r>
      <w:proofErr w:type="gramEnd"/>
      <w:r w:rsidRPr="00E320BC">
        <w:rPr>
          <w:rFonts w:ascii="Calibri" w:eastAsia="Calibri" w:hAnsi="Calibri" w:cs="Times New Roman"/>
        </w:rPr>
        <w:t xml:space="preserve"> danych zastanych,</w:t>
      </w:r>
    </w:p>
    <w:p w:rsidR="00E320BC" w:rsidRPr="00E320BC" w:rsidRDefault="00E320BC" w:rsidP="0038421C">
      <w:pPr>
        <w:numPr>
          <w:ilvl w:val="0"/>
          <w:numId w:val="4"/>
        </w:numPr>
        <w:spacing w:after="0"/>
        <w:contextualSpacing/>
        <w:rPr>
          <w:rFonts w:ascii="Calibri" w:eastAsia="Calibri" w:hAnsi="Calibri" w:cs="Times New Roman"/>
        </w:rPr>
      </w:pPr>
      <w:proofErr w:type="gramStart"/>
      <w:r w:rsidRPr="00E320BC">
        <w:rPr>
          <w:rFonts w:ascii="Calibri" w:eastAsia="Calibri" w:hAnsi="Calibri" w:cs="Times New Roman"/>
        </w:rPr>
        <w:t>badania</w:t>
      </w:r>
      <w:proofErr w:type="gramEnd"/>
      <w:r w:rsidRPr="00E320BC">
        <w:rPr>
          <w:rFonts w:ascii="Calibri" w:eastAsia="Calibri" w:hAnsi="Calibri" w:cs="Times New Roman"/>
        </w:rPr>
        <w:t xml:space="preserve"> społeczne mieszkańców,</w:t>
      </w:r>
    </w:p>
    <w:p w:rsidR="00E320BC" w:rsidRPr="00E320BC" w:rsidRDefault="00E320BC" w:rsidP="0038421C">
      <w:pPr>
        <w:numPr>
          <w:ilvl w:val="0"/>
          <w:numId w:val="4"/>
        </w:numPr>
        <w:spacing w:after="0"/>
        <w:contextualSpacing/>
        <w:rPr>
          <w:rFonts w:ascii="Calibri" w:eastAsia="Calibri" w:hAnsi="Calibri" w:cs="Times New Roman"/>
        </w:rPr>
      </w:pPr>
      <w:proofErr w:type="gramStart"/>
      <w:r w:rsidRPr="00E320BC">
        <w:rPr>
          <w:rFonts w:ascii="Calibri" w:eastAsia="Calibri" w:hAnsi="Calibri" w:cs="Times New Roman"/>
        </w:rPr>
        <w:t>analizy</w:t>
      </w:r>
      <w:proofErr w:type="gramEnd"/>
      <w:r w:rsidRPr="00E320BC">
        <w:rPr>
          <w:rFonts w:ascii="Calibri" w:eastAsia="Calibri" w:hAnsi="Calibri" w:cs="Times New Roman"/>
        </w:rPr>
        <w:t xml:space="preserve"> strategiczne,</w:t>
      </w:r>
    </w:p>
    <w:p w:rsidR="00E320BC" w:rsidRPr="00E320BC" w:rsidRDefault="00E320BC" w:rsidP="0038421C">
      <w:pPr>
        <w:numPr>
          <w:ilvl w:val="0"/>
          <w:numId w:val="4"/>
        </w:numPr>
        <w:spacing w:after="0"/>
        <w:contextualSpacing/>
        <w:rPr>
          <w:rFonts w:ascii="Calibri" w:eastAsia="Calibri" w:hAnsi="Calibri" w:cs="Times New Roman"/>
        </w:rPr>
      </w:pPr>
      <w:proofErr w:type="gramStart"/>
      <w:r w:rsidRPr="00E320BC">
        <w:rPr>
          <w:rFonts w:ascii="Calibri" w:eastAsia="Calibri" w:hAnsi="Calibri" w:cs="Times New Roman"/>
        </w:rPr>
        <w:t>spotkania</w:t>
      </w:r>
      <w:proofErr w:type="gramEnd"/>
      <w:r w:rsidRPr="00E320BC">
        <w:rPr>
          <w:rFonts w:ascii="Calibri" w:eastAsia="Calibri" w:hAnsi="Calibri" w:cs="Times New Roman"/>
        </w:rPr>
        <w:t xml:space="preserve"> warsztatowe z przedstawicielami instytucji oraz przedsiębiorstwami i organizacjami pozarządowymi.</w:t>
      </w:r>
    </w:p>
    <w:p w:rsidR="00E320BC" w:rsidRPr="00E320BC" w:rsidRDefault="00E320BC" w:rsidP="00DC5AA0">
      <w:pPr>
        <w:spacing w:after="0"/>
        <w:ind w:firstLine="323"/>
        <w:rPr>
          <w:rFonts w:ascii="Calibri" w:eastAsia="Calibri" w:hAnsi="Calibri" w:cs="Calibri"/>
        </w:rPr>
      </w:pPr>
      <w:r w:rsidRPr="00E320BC">
        <w:rPr>
          <w:rFonts w:ascii="Calibri" w:eastAsia="Calibri" w:hAnsi="Calibri" w:cs="Times New Roman"/>
        </w:rPr>
        <w:t xml:space="preserve">Struktura dokumentu obejmuje logiczną całość, składającą się z części analityczno-diagnostycznej, części strategicznej oraz części wdrożeniowej. </w:t>
      </w:r>
    </w:p>
    <w:p w:rsidR="00E320BC" w:rsidRPr="00E42628" w:rsidRDefault="00683363" w:rsidP="00E320BC">
      <w:pPr>
        <w:spacing w:after="0"/>
        <w:ind w:firstLine="360"/>
        <w:rPr>
          <w:rFonts w:ascii="Calibri" w:eastAsia="Candara" w:hAnsi="Calibri" w:cs="Candara"/>
        </w:rPr>
      </w:pPr>
      <w:r>
        <w:rPr>
          <w:rFonts w:ascii="Calibri" w:eastAsia="Candara" w:hAnsi="Calibri" w:cs="Candara"/>
        </w:rPr>
        <w:lastRenderedPageBreak/>
        <w:t>„</w:t>
      </w:r>
      <w:r w:rsidR="00E320BC" w:rsidRPr="00E42628">
        <w:rPr>
          <w:rFonts w:ascii="Calibri" w:eastAsia="Candara" w:hAnsi="Calibri" w:cs="Candara"/>
        </w:rPr>
        <w:t>Diagnoza</w:t>
      </w:r>
      <w:r w:rsidRPr="00683363">
        <w:t xml:space="preserve"> </w:t>
      </w:r>
      <w:r w:rsidRPr="00683363">
        <w:rPr>
          <w:rFonts w:ascii="Calibri" w:eastAsia="Candara" w:hAnsi="Calibri" w:cs="Candara"/>
        </w:rPr>
        <w:t>sytuacji społecznej, gospodarczej i przestrzennej Hrubieszowskiego Obszaru Funkcjonalnego</w:t>
      </w:r>
      <w:r>
        <w:rPr>
          <w:rFonts w:ascii="Calibri" w:eastAsia="Candara" w:hAnsi="Calibri" w:cs="Candara"/>
        </w:rPr>
        <w:t xml:space="preserve">” </w:t>
      </w:r>
      <w:r w:rsidR="00E320BC" w:rsidRPr="00E42628">
        <w:rPr>
          <w:rFonts w:ascii="Calibri" w:eastAsia="Candara" w:hAnsi="Calibri" w:cs="Candara"/>
        </w:rPr>
        <w:t>zawiera analizę najważniejszych potencjałów i mocnych stron Hrubieszowskiego Obszaru Funkcjonalnego, które powinny stanowić podstawę do dalszego rozwoju i mogą posłużyć do budowania przewag konkurencyjnych OF, dzięki którym możliwe będzie konkurowanie o nowych mieszkańców, pracowników, inwestorów i turystów. Diagnoza identyfikuje również szereg słabości, problemów i deficytów obszaru, które należy we właściwy sposób rozpoznać i dążyć do ich ograniczenia lub rozwiązania. W analizie skupiono się na sześciu głównych aspektach rozwoju społeczno-gospodarczego HOF z uwzględnieniem uwarunkowań wewnętrznych i zewnętrznych:</w:t>
      </w:r>
    </w:p>
    <w:p w:rsidR="00E320BC" w:rsidRPr="00E42628" w:rsidRDefault="00E320BC" w:rsidP="0038421C">
      <w:pPr>
        <w:numPr>
          <w:ilvl w:val="0"/>
          <w:numId w:val="5"/>
        </w:numPr>
        <w:spacing w:after="0"/>
        <w:ind w:left="709"/>
        <w:contextualSpacing/>
        <w:rPr>
          <w:rFonts w:ascii="Calibri" w:eastAsia="Candara" w:hAnsi="Calibri" w:cs="Candara"/>
        </w:rPr>
      </w:pPr>
      <w:proofErr w:type="gramStart"/>
      <w:r w:rsidRPr="00E42628">
        <w:rPr>
          <w:rFonts w:ascii="Calibri" w:eastAsia="Candara" w:hAnsi="Calibri" w:cs="Candara"/>
        </w:rPr>
        <w:t>uwarunkowania</w:t>
      </w:r>
      <w:proofErr w:type="gramEnd"/>
      <w:r w:rsidRPr="00E42628">
        <w:rPr>
          <w:rFonts w:ascii="Calibri" w:eastAsia="Candara" w:hAnsi="Calibri" w:cs="Candara"/>
        </w:rPr>
        <w:t xml:space="preserve"> wynikające z administracyjnego położenia HOF,</w:t>
      </w:r>
    </w:p>
    <w:p w:rsidR="00E320BC" w:rsidRPr="00E42628" w:rsidRDefault="00E320BC" w:rsidP="0038421C">
      <w:pPr>
        <w:numPr>
          <w:ilvl w:val="0"/>
          <w:numId w:val="5"/>
        </w:numPr>
        <w:spacing w:after="0"/>
        <w:ind w:left="709"/>
        <w:contextualSpacing/>
        <w:rPr>
          <w:rFonts w:ascii="Calibri" w:eastAsia="Candara" w:hAnsi="Calibri" w:cs="Candara"/>
        </w:rPr>
      </w:pPr>
      <w:proofErr w:type="gramStart"/>
      <w:r w:rsidRPr="00E42628">
        <w:rPr>
          <w:rFonts w:ascii="Calibri" w:eastAsia="Candara" w:hAnsi="Calibri" w:cs="Candara"/>
        </w:rPr>
        <w:t>środowisko</w:t>
      </w:r>
      <w:proofErr w:type="gramEnd"/>
      <w:r w:rsidRPr="00E42628">
        <w:rPr>
          <w:rFonts w:ascii="Calibri" w:eastAsia="Candara" w:hAnsi="Calibri" w:cs="Candara"/>
        </w:rPr>
        <w:t xml:space="preserve"> przyrodnicze i walory kulturowe,</w:t>
      </w:r>
    </w:p>
    <w:p w:rsidR="00E320BC" w:rsidRPr="00E42628" w:rsidRDefault="00E320BC" w:rsidP="0038421C">
      <w:pPr>
        <w:numPr>
          <w:ilvl w:val="0"/>
          <w:numId w:val="5"/>
        </w:numPr>
        <w:spacing w:after="0"/>
        <w:ind w:left="709"/>
        <w:contextualSpacing/>
        <w:rPr>
          <w:rFonts w:ascii="Calibri" w:eastAsia="Candara" w:hAnsi="Calibri" w:cs="Candara"/>
        </w:rPr>
      </w:pPr>
      <w:proofErr w:type="gramStart"/>
      <w:r w:rsidRPr="00E42628">
        <w:rPr>
          <w:rFonts w:ascii="Calibri" w:eastAsia="Candara" w:hAnsi="Calibri" w:cs="Candara"/>
        </w:rPr>
        <w:t>potencjał</w:t>
      </w:r>
      <w:proofErr w:type="gramEnd"/>
      <w:r w:rsidRPr="00E42628">
        <w:rPr>
          <w:rFonts w:ascii="Calibri" w:eastAsia="Candara" w:hAnsi="Calibri" w:cs="Candara"/>
        </w:rPr>
        <w:t xml:space="preserve"> społeczny i jakość życia mieszkańców (obecne trendy demograficzne oraz dostępność infrastruktury społecznej),</w:t>
      </w:r>
    </w:p>
    <w:p w:rsidR="00E320BC" w:rsidRPr="00E42628" w:rsidRDefault="00E320BC" w:rsidP="0038421C">
      <w:pPr>
        <w:numPr>
          <w:ilvl w:val="0"/>
          <w:numId w:val="5"/>
        </w:numPr>
        <w:spacing w:after="0"/>
        <w:ind w:left="709"/>
        <w:contextualSpacing/>
        <w:rPr>
          <w:rFonts w:ascii="Calibri" w:eastAsia="Candara" w:hAnsi="Calibri" w:cs="Candara"/>
        </w:rPr>
      </w:pPr>
      <w:proofErr w:type="gramStart"/>
      <w:r w:rsidRPr="00E42628">
        <w:rPr>
          <w:rFonts w:ascii="Calibri" w:eastAsia="Candara" w:hAnsi="Calibri" w:cs="Candara"/>
        </w:rPr>
        <w:t>uwarunkowania</w:t>
      </w:r>
      <w:proofErr w:type="gramEnd"/>
      <w:r w:rsidRPr="00E42628">
        <w:rPr>
          <w:rFonts w:ascii="Calibri" w:eastAsia="Candara" w:hAnsi="Calibri" w:cs="Candara"/>
        </w:rPr>
        <w:t xml:space="preserve"> gospodarcze (rolnictwo, przedsiębiorczość i potencjał do rozwoju turystyki),</w:t>
      </w:r>
    </w:p>
    <w:p w:rsidR="00E320BC" w:rsidRPr="00E42628" w:rsidRDefault="00E320BC" w:rsidP="0038421C">
      <w:pPr>
        <w:numPr>
          <w:ilvl w:val="0"/>
          <w:numId w:val="5"/>
        </w:numPr>
        <w:spacing w:after="0"/>
        <w:ind w:left="709"/>
        <w:contextualSpacing/>
        <w:rPr>
          <w:rFonts w:ascii="Calibri" w:eastAsia="Candara" w:hAnsi="Calibri" w:cs="Candara"/>
        </w:rPr>
      </w:pPr>
      <w:proofErr w:type="gramStart"/>
      <w:r w:rsidRPr="00E42628">
        <w:rPr>
          <w:rFonts w:ascii="Calibri" w:eastAsia="Candara" w:hAnsi="Calibri" w:cs="Candara"/>
        </w:rPr>
        <w:t>infrastruktura</w:t>
      </w:r>
      <w:proofErr w:type="gramEnd"/>
      <w:r w:rsidRPr="00E42628">
        <w:rPr>
          <w:rFonts w:ascii="Calibri" w:eastAsia="Candara" w:hAnsi="Calibri" w:cs="Candara"/>
        </w:rPr>
        <w:t xml:space="preserve"> komunikacyjna i techniczna (wodno-kanalizacyjna, gazowa, elektroenergetyczna),</w:t>
      </w:r>
    </w:p>
    <w:p w:rsidR="00E320BC" w:rsidRPr="00E42628" w:rsidRDefault="00E320BC" w:rsidP="0038421C">
      <w:pPr>
        <w:numPr>
          <w:ilvl w:val="0"/>
          <w:numId w:val="5"/>
        </w:numPr>
        <w:spacing w:after="0"/>
        <w:ind w:left="709"/>
        <w:contextualSpacing/>
        <w:rPr>
          <w:rFonts w:ascii="Calibri" w:eastAsia="Candara" w:hAnsi="Calibri" w:cs="Candara"/>
        </w:rPr>
      </w:pPr>
      <w:proofErr w:type="gramStart"/>
      <w:r w:rsidRPr="00E42628">
        <w:rPr>
          <w:rFonts w:ascii="Calibri" w:eastAsia="Candara" w:hAnsi="Calibri" w:cs="Candara"/>
        </w:rPr>
        <w:t>jakość</w:t>
      </w:r>
      <w:proofErr w:type="gramEnd"/>
      <w:r w:rsidRPr="00E42628">
        <w:rPr>
          <w:rFonts w:ascii="Calibri" w:eastAsia="Candara" w:hAnsi="Calibri" w:cs="Candara"/>
        </w:rPr>
        <w:t xml:space="preserve"> rządzenia w HOF.</w:t>
      </w:r>
    </w:p>
    <w:p w:rsidR="00E320BC" w:rsidRPr="00E320BC" w:rsidRDefault="00E320BC" w:rsidP="00E320BC">
      <w:pPr>
        <w:spacing w:before="240" w:after="0"/>
        <w:ind w:firstLine="349"/>
        <w:rPr>
          <w:rFonts w:ascii="Calibri" w:eastAsia="Candara" w:hAnsi="Calibri" w:cs="Candara"/>
        </w:rPr>
      </w:pPr>
      <w:r w:rsidRPr="00E320BC">
        <w:rPr>
          <w:rFonts w:ascii="Calibri" w:eastAsia="Candara" w:hAnsi="Calibri" w:cs="Calibri"/>
        </w:rPr>
        <w:t xml:space="preserve">Podstawowe źródła informacji stanowiły dane Głównego Urzędu Statystycznego, dane z Urzędu Miasta Hrubieszów i Gminy Hrubieszów oraz informacje dostępne na stronach internetowych obu gmin. Wykorzystywane były również inne dokumenty planistyczne dotyczące omawianego obszaru. Analizę przedstawiono w ujęciu statycznym, polegającym na pokazaniu wartości danego wskaźnika w roku 2019 oraz dynamicznym, polegającym na ukazaniu zmiany w stosunku do roku bazowego (2014). W celu zapewnienia spójności analizy przyjęto, że podstawowym okresem odniesienia będzie rok 2019 (lub 2018 w przypadku braku danych za rok 2019). </w:t>
      </w:r>
      <w:r w:rsidRPr="00E320BC">
        <w:rPr>
          <w:rFonts w:ascii="Calibri" w:eastAsia="Candara" w:hAnsi="Calibri" w:cs="Candara"/>
        </w:rPr>
        <w:t xml:space="preserve">Przedstawiono również dane za rok 2020, które w głównej mierze pochodziły z bazy Urzędów Gmin.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Prezentując dane, posłużono się perspektywą porównawczą – sytuacja w Hrubieszowskim Obszarze Funkcjonalnym została przedstawiona na tle powiatu hrubieszowskiego. W niektórych wypadkach prezentowana była w szerszej perspektywie (województwa lubelskiego, całego kraju). Dodatkowo w dokumencie dokonano porównania Hrubieszowskiego Obszaru Funkcjonalnego do 2 innych obszarów funkcjonalnych z terenu województwa lubelskiego. Wybrano MOF Krasnegostawu oraz MOF Włodawy.</w:t>
      </w:r>
    </w:p>
    <w:p w:rsidR="00E320BC" w:rsidRPr="00E320BC" w:rsidRDefault="00E320BC" w:rsidP="00E320BC">
      <w:pPr>
        <w:spacing w:before="240" w:after="0"/>
        <w:ind w:firstLine="349"/>
        <w:rPr>
          <w:rFonts w:ascii="Calibri" w:eastAsia="Candara" w:hAnsi="Calibri" w:cs="Calibri"/>
        </w:rPr>
      </w:pPr>
      <w:r w:rsidRPr="00E320BC">
        <w:rPr>
          <w:rFonts w:ascii="Calibri" w:eastAsia="Candara" w:hAnsi="Calibri" w:cs="Calibri"/>
        </w:rPr>
        <w:t>Drugim etapem tworzenia niniejszej Strategii było określenie i wyznaczenie wizji i misji rozwoju HOF na lata 2021 – 2030 oraz celów strategicznych i operacyjnych, które prowadzą do spełnienia założeń przyjętej wizji rozwoju Obszaru Funkcjonalnego. Wyznaczone zostały najważniejsze kierunki działań, które umożliwią rozwiązywanie zdiagnozowanych problemów oraz wzmacnianie potencjałów HOF.</w:t>
      </w:r>
    </w:p>
    <w:p w:rsidR="00E320BC" w:rsidRPr="00E320BC" w:rsidRDefault="00E320BC" w:rsidP="00E320BC">
      <w:pPr>
        <w:spacing w:after="0"/>
        <w:ind w:firstLine="357"/>
        <w:rPr>
          <w:rFonts w:ascii="Calibri" w:eastAsia="Candara" w:hAnsi="Calibri" w:cs="Candara"/>
        </w:rPr>
      </w:pPr>
      <w:r w:rsidRPr="00E320BC">
        <w:rPr>
          <w:rFonts w:ascii="Calibri" w:eastAsia="Candara" w:hAnsi="Calibri" w:cs="Candara"/>
        </w:rPr>
        <w:t xml:space="preserve">Zaprezentowano również docelowy model struktury funkcjonalno-przestrzennej </w:t>
      </w:r>
      <w:r w:rsidRPr="00E320BC">
        <w:rPr>
          <w:rFonts w:ascii="Calibri" w:eastAsia="Candara" w:hAnsi="Calibri" w:cs="Times New Roman"/>
        </w:rPr>
        <w:t>HOF, który jest zobrazowaniem spodziewanych i zaplanowanych w Strategii procesów rozwoju i ich wpływu na kształtowanie się struktur przestrzennych.</w:t>
      </w:r>
    </w:p>
    <w:p w:rsidR="00E320BC" w:rsidRPr="00E320BC" w:rsidRDefault="00E320BC" w:rsidP="00E320BC">
      <w:pPr>
        <w:spacing w:after="0"/>
        <w:ind w:firstLine="349"/>
        <w:rPr>
          <w:rFonts w:ascii="Calibri" w:eastAsia="Candara" w:hAnsi="Calibri" w:cs="Calibri"/>
        </w:rPr>
      </w:pPr>
      <w:r w:rsidRPr="00E320BC">
        <w:rPr>
          <w:rFonts w:ascii="Calibri" w:eastAsia="Candara" w:hAnsi="Calibri" w:cs="Calibri"/>
        </w:rPr>
        <w:t>W części realizacyjnej Strategii opracowano system wdrażania strategii oraz jej monitoringu i ewaluacji. Określono jednostki odpowiedzialne za proces wdrożenia dokumentu oraz wskaźniki monitorujące służące ocenie realizacji założonych zadań.</w:t>
      </w:r>
      <w:r w:rsidR="00DC5AA0">
        <w:rPr>
          <w:rFonts w:ascii="Calibri" w:eastAsia="Candara" w:hAnsi="Calibri" w:cs="Calibri"/>
        </w:rPr>
        <w:t xml:space="preserve"> W części realizacyjnej zawarte zostały elementy Planu działań ZIT.</w:t>
      </w:r>
      <w:r w:rsidR="00A91823">
        <w:rPr>
          <w:rFonts w:ascii="Calibri" w:eastAsia="Candara" w:hAnsi="Calibri" w:cs="Calibri"/>
        </w:rPr>
        <w:t xml:space="preserve"> </w:t>
      </w:r>
      <w:r w:rsidR="00A91823" w:rsidRPr="005B2590">
        <w:rPr>
          <w:rFonts w:ascii="Calibri" w:eastAsia="Candara" w:hAnsi="Calibri" w:cs="Calibri"/>
        </w:rPr>
        <w:t xml:space="preserve">Lista projektów zintegrowanych stanowi załącznik, który zostanie przyjęty </w:t>
      </w:r>
      <w:r w:rsidR="00A91823" w:rsidRPr="005B2590">
        <w:rPr>
          <w:rFonts w:ascii="Calibri" w:eastAsia="Candara" w:hAnsi="Calibri" w:cs="Calibri"/>
        </w:rPr>
        <w:lastRenderedPageBreak/>
        <w:t xml:space="preserve">do realizacji odrębną Uchwałą </w:t>
      </w:r>
      <w:r w:rsidR="00122CC3" w:rsidRPr="005B2590">
        <w:rPr>
          <w:rFonts w:ascii="Calibri" w:eastAsia="Candara" w:hAnsi="Calibri" w:cs="Calibri"/>
        </w:rPr>
        <w:t>z</w:t>
      </w:r>
      <w:r w:rsidR="00A91823" w:rsidRPr="005B2590">
        <w:rPr>
          <w:rFonts w:ascii="Calibri" w:eastAsia="Candara" w:hAnsi="Calibri" w:cs="Calibri"/>
        </w:rPr>
        <w:t>wiązku ZIT.</w:t>
      </w:r>
      <w:r w:rsidR="00122CC3" w:rsidRPr="005B2590">
        <w:rPr>
          <w:rFonts w:ascii="Calibri" w:eastAsia="Candara" w:hAnsi="Calibri" w:cs="Calibri"/>
        </w:rPr>
        <w:t xml:space="preserve"> Związek ZIT utworzony w jednej z form współpracy jednostek samorządu terytorialnego, o których mowa w art. 64, art. 74 i art. 84 ustawy z dnia 8 marca 1990 r. o samorządzie gminnym (Dz. U. </w:t>
      </w:r>
      <w:proofErr w:type="gramStart"/>
      <w:r w:rsidR="00122CC3" w:rsidRPr="005B2590">
        <w:rPr>
          <w:rFonts w:ascii="Calibri" w:eastAsia="Candara" w:hAnsi="Calibri" w:cs="Calibri"/>
        </w:rPr>
        <w:t>z</w:t>
      </w:r>
      <w:proofErr w:type="gramEnd"/>
      <w:r w:rsidR="00122CC3" w:rsidRPr="005B2590">
        <w:rPr>
          <w:rFonts w:ascii="Calibri" w:eastAsia="Candara" w:hAnsi="Calibri" w:cs="Calibri"/>
        </w:rPr>
        <w:t xml:space="preserve"> 2022 r. poz. 559 i 583). </w:t>
      </w:r>
      <w:r w:rsidR="00122CC3" w:rsidRPr="005B2590">
        <w:t xml:space="preserve">Formą partnerskiej współpracy samorządów HOF w procesie wdrażania Strategii ponadlokalnej jest </w:t>
      </w:r>
      <w:r w:rsidR="00122CC3" w:rsidRPr="005B2590">
        <w:rPr>
          <w:b/>
        </w:rPr>
        <w:t>porozumienie międzygminne</w:t>
      </w:r>
      <w:r w:rsidR="00122CC3" w:rsidRPr="005B2590">
        <w:t xml:space="preserve"> pomiędzy Gminą Miejską Hrubieszów będącą Liderem oraz Gminą Hrubieszów będącą Partnerem.</w:t>
      </w:r>
    </w:p>
    <w:p w:rsidR="00E320BC" w:rsidRPr="00E320BC" w:rsidRDefault="00A91823" w:rsidP="00E320BC">
      <w:pPr>
        <w:spacing w:after="0"/>
        <w:ind w:firstLine="349"/>
        <w:rPr>
          <w:rFonts w:ascii="Calibri" w:eastAsia="Candara" w:hAnsi="Calibri" w:cs="Calibri"/>
        </w:rPr>
      </w:pPr>
      <w:r>
        <w:rPr>
          <w:rFonts w:ascii="Calibri" w:eastAsia="Candara" w:hAnsi="Calibri" w:cs="Calibri"/>
        </w:rPr>
        <w:t xml:space="preserve">W rozdziale 7 </w:t>
      </w:r>
      <w:r w:rsidR="00E320BC" w:rsidRPr="00E320BC">
        <w:rPr>
          <w:rFonts w:ascii="Calibri" w:eastAsia="Candara" w:hAnsi="Calibri" w:cs="Calibri"/>
        </w:rPr>
        <w:t>przedstawiono opis procesu partycypacji społecznej, czyli aktywności mieszkańców we współtworzeniu koncepcji rozwoju HOF. Zostały tu przedstawione wnioski z uwag zgłoszonych przez mieszkańców Hrubieszowskiego Obszaru Funkcjonalnego.</w:t>
      </w:r>
    </w:p>
    <w:p w:rsidR="00E320BC" w:rsidRPr="00E320BC" w:rsidRDefault="00E320BC" w:rsidP="00E320BC">
      <w:pPr>
        <w:spacing w:after="0"/>
        <w:ind w:firstLine="349"/>
        <w:rPr>
          <w:rFonts w:ascii="Calibri" w:eastAsia="Candara" w:hAnsi="Calibri" w:cs="Calibri"/>
        </w:rPr>
      </w:pPr>
      <w:r w:rsidRPr="00E320BC">
        <w:rPr>
          <w:rFonts w:ascii="Calibri" w:eastAsia="Candara" w:hAnsi="Calibri" w:cs="Calibri"/>
        </w:rPr>
        <w:t xml:space="preserve">Przy opracowaniu </w:t>
      </w:r>
      <w:r w:rsidR="00DC5AA0">
        <w:rPr>
          <w:rFonts w:ascii="Calibri" w:eastAsia="Candara" w:hAnsi="Calibri" w:cs="Calibri"/>
        </w:rPr>
        <w:t>celów do Strategii założono, że powinny być one</w:t>
      </w:r>
      <w:r w:rsidR="00A22EA3">
        <w:rPr>
          <w:rFonts w:ascii="Calibri" w:eastAsia="Candara" w:hAnsi="Calibri" w:cs="Calibri"/>
        </w:rPr>
        <w:t xml:space="preserve"> zgodne</w:t>
      </w:r>
      <w:r w:rsidRPr="00E320BC">
        <w:rPr>
          <w:rFonts w:ascii="Calibri" w:eastAsia="Candara" w:hAnsi="Calibri" w:cs="Calibri"/>
        </w:rPr>
        <w:t xml:space="preserve"> ze schematem „SMART”. Oznacza to, że wyznaczone cele muszą być specyficzne (</w:t>
      </w:r>
      <w:proofErr w:type="spellStart"/>
      <w:r w:rsidRPr="00E320BC">
        <w:rPr>
          <w:rFonts w:ascii="Calibri" w:eastAsia="Candara" w:hAnsi="Calibri" w:cs="Calibri"/>
        </w:rPr>
        <w:t>Specific</w:t>
      </w:r>
      <w:proofErr w:type="spellEnd"/>
      <w:r w:rsidRPr="00E320BC">
        <w:rPr>
          <w:rFonts w:ascii="Calibri" w:eastAsia="Candara" w:hAnsi="Calibri" w:cs="Calibri"/>
        </w:rPr>
        <w:t>), mierzalne (</w:t>
      </w:r>
      <w:proofErr w:type="spellStart"/>
      <w:r w:rsidRPr="00E320BC">
        <w:rPr>
          <w:rFonts w:ascii="Calibri" w:eastAsia="Candara" w:hAnsi="Calibri" w:cs="Calibri"/>
        </w:rPr>
        <w:t>Measurable</w:t>
      </w:r>
      <w:proofErr w:type="spellEnd"/>
      <w:r w:rsidRPr="00E320BC">
        <w:rPr>
          <w:rFonts w:ascii="Calibri" w:eastAsia="Candara" w:hAnsi="Calibri" w:cs="Calibri"/>
        </w:rPr>
        <w:t>), uzgodnione (</w:t>
      </w:r>
      <w:proofErr w:type="spellStart"/>
      <w:r w:rsidRPr="00E320BC">
        <w:rPr>
          <w:rFonts w:ascii="Calibri" w:eastAsia="Candara" w:hAnsi="Calibri" w:cs="Calibri"/>
        </w:rPr>
        <w:t>Agreed</w:t>
      </w:r>
      <w:proofErr w:type="spellEnd"/>
      <w:r w:rsidRPr="00E320BC">
        <w:rPr>
          <w:rFonts w:ascii="Calibri" w:eastAsia="Candara" w:hAnsi="Calibri" w:cs="Calibri"/>
        </w:rPr>
        <w:t>), wykonalne (Real) i określone w czasie (</w:t>
      </w:r>
      <w:proofErr w:type="spellStart"/>
      <w:r w:rsidRPr="00E320BC">
        <w:rPr>
          <w:rFonts w:ascii="Calibri" w:eastAsia="Candara" w:hAnsi="Calibri" w:cs="Calibri"/>
        </w:rPr>
        <w:t>Timed</w:t>
      </w:r>
      <w:proofErr w:type="spellEnd"/>
      <w:r w:rsidRPr="00E320BC">
        <w:rPr>
          <w:rFonts w:ascii="Calibri" w:eastAsia="Candara" w:hAnsi="Calibri" w:cs="Calibri"/>
        </w:rPr>
        <w:t>).</w:t>
      </w:r>
    </w:p>
    <w:p w:rsidR="00A91823" w:rsidRDefault="00A91823" w:rsidP="00A91823">
      <w:pPr>
        <w:pStyle w:val="Nagwek21"/>
        <w:rPr>
          <w:rFonts w:eastAsia="Candara"/>
        </w:rPr>
      </w:pPr>
      <w:r>
        <w:rPr>
          <w:rFonts w:eastAsia="Candara"/>
        </w:rPr>
        <w:t xml:space="preserve"> </w:t>
      </w:r>
      <w:bookmarkStart w:id="5" w:name="_Toc138068771"/>
      <w:r>
        <w:rPr>
          <w:rFonts w:eastAsia="Candara"/>
        </w:rPr>
        <w:t>Związek ZIT</w:t>
      </w:r>
      <w:bookmarkEnd w:id="5"/>
    </w:p>
    <w:p w:rsidR="00A91823" w:rsidRPr="005B2590" w:rsidRDefault="004C7F03" w:rsidP="004C7F03">
      <w:r w:rsidRPr="005B2590">
        <w:t xml:space="preserve">Hrubieszowski Obszar Funkcjonalny został formalnie utworzony zgodnie z formą przewidzianą w umowie partnerstwa oraz art. 34 ust. 5 ustawy z dnia </w:t>
      </w:r>
      <w:proofErr w:type="spellStart"/>
      <w:r w:rsidRPr="005B2590">
        <w:t>dnia</w:t>
      </w:r>
      <w:proofErr w:type="spellEnd"/>
      <w:r w:rsidRPr="005B2590">
        <w:t xml:space="preserve"> 28 kwietnia 2022 r. </w:t>
      </w:r>
      <w:r w:rsidRPr="005B2590">
        <w:br/>
        <w:t>o zasadach realizacji zadań finansowanych ze środków europejskich w perspektywie finansowej 2021–2027.</w:t>
      </w:r>
    </w:p>
    <w:p w:rsidR="004C7F03" w:rsidRPr="005B2590" w:rsidRDefault="004C7F03" w:rsidP="004C7F03">
      <w:pPr>
        <w:rPr>
          <w:rFonts w:cstheme="minorHAnsi"/>
        </w:rPr>
      </w:pPr>
      <w:r w:rsidRPr="005B2590">
        <w:t xml:space="preserve">Formą partnerskiej współpracy samorządów HOF w procesie wdrażania Strategii ponadlokalnej jest </w:t>
      </w:r>
      <w:r w:rsidRPr="005B2590">
        <w:rPr>
          <w:b/>
        </w:rPr>
        <w:t>porozumienie międzygminne</w:t>
      </w:r>
      <w:r w:rsidRPr="005B2590">
        <w:t xml:space="preserve"> pomiędzy Gminą Miejską Hrubieszów będącą Liderem oraz Gminą Hrubieszów będącą Partnerem. Porozumienie międzygminne zostało zawarte 16 kwietnia 2021 roku (D.U. Województwa Lubelskiego z 20 kwietnia 2021 roku pozycja 1923). </w:t>
      </w:r>
      <w:proofErr w:type="gramStart"/>
      <w:r w:rsidRPr="005B2590">
        <w:rPr>
          <w:rFonts w:cstheme="minorHAnsi"/>
        </w:rPr>
        <w:t>w</w:t>
      </w:r>
      <w:proofErr w:type="gramEnd"/>
      <w:r w:rsidRPr="005B2590">
        <w:rPr>
          <w:rFonts w:cstheme="minorHAnsi"/>
        </w:rPr>
        <w:t xml:space="preserve"> sprawie wspólnego opracowania i sfinansowania dokumentacji obejmującej diagnozę terytorialną na potrzeby „Strategii rozwoju ponadlokalnego Hrubieszowskiego Obszaru Funkcjonalnego na lata 2021 – 2030” oraz dokumentu pt. „Strategia rozwoju ponadlokalnego Hrubieszowskiego Obszaru Funkcjonalnego na lata 2021 – 2030”. </w:t>
      </w:r>
    </w:p>
    <w:p w:rsidR="004C7F03" w:rsidRPr="005B2590" w:rsidRDefault="004C7F03" w:rsidP="004C7F03">
      <w:r w:rsidRPr="005B2590">
        <w:rPr>
          <w:rFonts w:cstheme="minorHAnsi"/>
        </w:rPr>
        <w:t xml:space="preserve">Porozumienie zostało zawarte na podstawie </w:t>
      </w:r>
      <w:r w:rsidRPr="005B2590">
        <w:t xml:space="preserve">art. 10 ust. 1, art. 10g ust. 4 i art. 18 ust. 2 pkt 12, art. 74 ustawy z dnia 8 marca 1990 r. o samorządzie gminnym (t. j. Dz. U. </w:t>
      </w:r>
      <w:proofErr w:type="gramStart"/>
      <w:r w:rsidRPr="005B2590">
        <w:t>z</w:t>
      </w:r>
      <w:proofErr w:type="gramEnd"/>
      <w:r w:rsidRPr="005B2590">
        <w:t xml:space="preserve"> 2020 r. poz. 713 z </w:t>
      </w:r>
      <w:proofErr w:type="spellStart"/>
      <w:r w:rsidRPr="005B2590">
        <w:t>późn</w:t>
      </w:r>
      <w:proofErr w:type="spellEnd"/>
      <w:r w:rsidRPr="005B2590">
        <w:t xml:space="preserve">. </w:t>
      </w:r>
      <w:proofErr w:type="gramStart"/>
      <w:r w:rsidRPr="005B2590">
        <w:t>zm</w:t>
      </w:r>
      <w:proofErr w:type="gramEnd"/>
      <w:r w:rsidRPr="005B2590">
        <w:t xml:space="preserve">.), w związku z art. 10a ust. 1 ustawy z dnia 6 grudnia 2006 r. o zasadach prowadzenia polityki rozwoju (Dz. U. </w:t>
      </w:r>
      <w:proofErr w:type="gramStart"/>
      <w:r w:rsidRPr="005B2590">
        <w:t>z</w:t>
      </w:r>
      <w:proofErr w:type="gramEnd"/>
      <w:r w:rsidRPr="005B2590">
        <w:t xml:space="preserve"> 2019 r., poz. 1295 </w:t>
      </w:r>
      <w:proofErr w:type="spellStart"/>
      <w:r w:rsidRPr="005B2590">
        <w:t>późn</w:t>
      </w:r>
      <w:proofErr w:type="spellEnd"/>
      <w:r w:rsidRPr="005B2590">
        <w:t xml:space="preserve">. </w:t>
      </w:r>
      <w:proofErr w:type="gramStart"/>
      <w:r w:rsidRPr="005B2590">
        <w:t>zm</w:t>
      </w:r>
      <w:proofErr w:type="gramEnd"/>
      <w:r w:rsidRPr="005B2590">
        <w:t>.) oraz Uchwały Nr XXXII/254/2021 Rady Miejskiej w Hrubieszowie z dnia 25 lutego 2021 r. sprawie wyrażenia zgody na zawarcie przez Gminę Miejską Hrubieszów porozumienia międzygminnego z Gminą Hrubieszów i Uchwały Nr XXVIII/196/2021 Rady Gminy Hrubieszów z dnia 26 lutego 2021 roku w sprawie wyrażenia zgody na zawarcie przez Gminę Hrubieszów porozumienia międzygminnego z Miastem Hrubieszowem.</w:t>
      </w:r>
    </w:p>
    <w:p w:rsidR="004C7F03" w:rsidRPr="005B2590" w:rsidRDefault="004C7F03" w:rsidP="004C7F03">
      <w:r w:rsidRPr="005B2590">
        <w:t>Zasięg terytorialny Hrubieszowskiego Obszaru Funkcjonalnego obejmuje następujące samorządy: Miasto Hrubieszów i Gminę Hrubieszów.</w:t>
      </w:r>
    </w:p>
    <w:p w:rsidR="004C7F03" w:rsidRPr="005B2590" w:rsidRDefault="004C7F03" w:rsidP="004C7F03">
      <w:pPr>
        <w:spacing w:before="0"/>
      </w:pPr>
      <w:r w:rsidRPr="005B2590">
        <w:t>Celem zawarcia Porozumienia jest:</w:t>
      </w:r>
    </w:p>
    <w:p w:rsidR="004C7F03" w:rsidRPr="005B2590" w:rsidRDefault="004C7F03" w:rsidP="00A13FA7">
      <w:pPr>
        <w:pStyle w:val="Akapitzlist"/>
        <w:numPr>
          <w:ilvl w:val="0"/>
          <w:numId w:val="83"/>
        </w:numPr>
      </w:pPr>
      <w:proofErr w:type="gramStart"/>
      <w:r w:rsidRPr="005B2590">
        <w:t>promowanie</w:t>
      </w:r>
      <w:proofErr w:type="gramEnd"/>
      <w:r w:rsidRPr="005B2590">
        <w:t xml:space="preserve"> partnerskiego modelu współpracy jednostek samorządu terytorialnego tworzących Porozumienie;</w:t>
      </w:r>
    </w:p>
    <w:p w:rsidR="004C7F03" w:rsidRPr="005B2590" w:rsidRDefault="004C7F03" w:rsidP="00A13FA7">
      <w:pPr>
        <w:pStyle w:val="Akapitzlist"/>
        <w:numPr>
          <w:ilvl w:val="0"/>
          <w:numId w:val="83"/>
        </w:numPr>
        <w:spacing w:before="0"/>
      </w:pPr>
      <w:proofErr w:type="gramStart"/>
      <w:r w:rsidRPr="005B2590">
        <w:t>opracowanie</w:t>
      </w:r>
      <w:proofErr w:type="gramEnd"/>
      <w:r w:rsidRPr="005B2590">
        <w:t xml:space="preserve"> dokumentacji obejmującej diagnozę terytorialną na potrzeby „Strategii rozwoju ponadlokalnego Hrubieszowskiego Obszaru Funkcjonalnego na lata 2021 – </w:t>
      </w:r>
      <w:r w:rsidRPr="005B2590">
        <w:lastRenderedPageBreak/>
        <w:t>2030” oraz dokumentu pt. „Strategia rozwoju ponadlokalnego Hrubieszowskiego Obszaru Funkcjonalnego na lata 2021 – 2030”, zwanych dalej „Diagnozą i Strategią”;</w:t>
      </w:r>
    </w:p>
    <w:p w:rsidR="004C7F03" w:rsidRPr="005B2590" w:rsidRDefault="004C7F03" w:rsidP="00A13FA7">
      <w:pPr>
        <w:pStyle w:val="Akapitzlist"/>
        <w:numPr>
          <w:ilvl w:val="0"/>
          <w:numId w:val="83"/>
        </w:numPr>
      </w:pPr>
      <w:proofErr w:type="gramStart"/>
      <w:r w:rsidRPr="005B2590">
        <w:t>zwiększenie</w:t>
      </w:r>
      <w:proofErr w:type="gramEnd"/>
      <w:r w:rsidRPr="005B2590">
        <w:t xml:space="preserve"> efektywności przedsięwzięć realizowanych przez gminy oraz skuteczna realizacja zintegrowanych projektów odpowiadających w sposób kompleksowy na potrzeby i problemy samorządów – Stron Porozumienia;</w:t>
      </w:r>
    </w:p>
    <w:p w:rsidR="004C7F03" w:rsidRPr="005B2590" w:rsidRDefault="004C7F03" w:rsidP="00A13FA7">
      <w:pPr>
        <w:pStyle w:val="Akapitzlist"/>
        <w:numPr>
          <w:ilvl w:val="0"/>
          <w:numId w:val="83"/>
        </w:numPr>
        <w:spacing w:before="0"/>
      </w:pPr>
      <w:proofErr w:type="gramStart"/>
      <w:r w:rsidRPr="005B2590">
        <w:t>wspólne</w:t>
      </w:r>
      <w:proofErr w:type="gramEnd"/>
      <w:r w:rsidRPr="005B2590">
        <w:t xml:space="preserve"> diagnozowanie problemów rozwojowych oraz wypracowywanie sposobów ich rozwiązywania;</w:t>
      </w:r>
    </w:p>
    <w:p w:rsidR="004C7F03" w:rsidRPr="005B2590" w:rsidRDefault="004C7F03" w:rsidP="00A13FA7">
      <w:pPr>
        <w:pStyle w:val="Akapitzlist"/>
        <w:numPr>
          <w:ilvl w:val="0"/>
          <w:numId w:val="83"/>
        </w:numPr>
        <w:spacing w:before="0"/>
      </w:pPr>
      <w:proofErr w:type="gramStart"/>
      <w:r w:rsidRPr="005B2590">
        <w:t>określenie</w:t>
      </w:r>
      <w:proofErr w:type="gramEnd"/>
      <w:r w:rsidRPr="005B2590">
        <w:t xml:space="preserve"> praw i obowiązków oraz zasad współpracy Stron Porozumienia.</w:t>
      </w:r>
    </w:p>
    <w:p w:rsidR="004C7F03" w:rsidRPr="005B2590" w:rsidRDefault="004C7F03" w:rsidP="004C7F03">
      <w:pPr>
        <w:spacing w:after="0"/>
      </w:pPr>
      <w:r w:rsidRPr="005B2590">
        <w:t xml:space="preserve">W zawartym porozumieniu określono również zadania Lidera i Partnera porozumienia oraz </w:t>
      </w:r>
      <w:r w:rsidR="00EE55F2" w:rsidRPr="005B2590">
        <w:t>sposób rozliczenia finansowego.</w:t>
      </w:r>
    </w:p>
    <w:p w:rsidR="00EE55F2" w:rsidRPr="005B2590" w:rsidRDefault="00EE55F2" w:rsidP="004C7F03">
      <w:pPr>
        <w:spacing w:after="0"/>
      </w:pPr>
      <w:r w:rsidRPr="005B2590">
        <w:t>Dokument Strategii rozwoju ponadlokalnego Hrubieszowskiego Obszaru Funkcjona</w:t>
      </w:r>
      <w:r w:rsidR="000274E1">
        <w:t>lnego na lata 2021 – 2030 zostanie</w:t>
      </w:r>
      <w:r w:rsidRPr="005B2590">
        <w:t xml:space="preserve"> przyjęty po przeprowadzeniu procesu konsultacji społecznych i po przeprowadzeniu procedury strategicznej oceny oddziaływania na środowisko. </w:t>
      </w:r>
    </w:p>
    <w:p w:rsidR="000F50DC" w:rsidRDefault="00EE55F2" w:rsidP="000F50DC">
      <w:pPr>
        <w:spacing w:after="0"/>
      </w:pPr>
      <w:r w:rsidRPr="005B2590">
        <w:t>Lista projektów zintegrowanych przewiduje jedynie wsparcie ze środków programu regionalnego: Fundusze Europejskie dla Lubelskiego 2021 – 2027.</w:t>
      </w:r>
    </w:p>
    <w:p w:rsidR="004C7F03" w:rsidRDefault="004C7F03" w:rsidP="004C7F03">
      <w:r>
        <w:br w:type="page"/>
      </w:r>
    </w:p>
    <w:p w:rsidR="00E320BC" w:rsidRPr="00E320BC" w:rsidRDefault="00E320BC" w:rsidP="00C652EF">
      <w:pPr>
        <w:pStyle w:val="Nagwek11"/>
      </w:pPr>
      <w:bookmarkStart w:id="6" w:name="_Toc138068772"/>
      <w:r w:rsidRPr="00E320BC">
        <w:lastRenderedPageBreak/>
        <w:t>Podsumowanie diagnozy HOF</w:t>
      </w:r>
      <w:bookmarkEnd w:id="6"/>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670528" behindDoc="1" locked="0" layoutInCell="1" allowOverlap="1" wp14:anchorId="59CA2B73" wp14:editId="3BF1B6CA">
                <wp:simplePos x="0" y="0"/>
                <wp:positionH relativeFrom="column">
                  <wp:posOffset>-103159</wp:posOffset>
                </wp:positionH>
                <wp:positionV relativeFrom="paragraph">
                  <wp:posOffset>200545</wp:posOffset>
                </wp:positionV>
                <wp:extent cx="6005830" cy="1239981"/>
                <wp:effectExtent l="0" t="0" r="13970" b="17780"/>
                <wp:wrapNone/>
                <wp:docPr id="14" name="Prostokąt zaokrąglony 14"/>
                <wp:cNvGraphicFramePr/>
                <a:graphic xmlns:a="http://schemas.openxmlformats.org/drawingml/2006/main">
                  <a:graphicData uri="http://schemas.microsoft.com/office/word/2010/wordprocessingShape">
                    <wps:wsp>
                      <wps:cNvSpPr/>
                      <wps:spPr>
                        <a:xfrm>
                          <a:off x="0" y="0"/>
                          <a:ext cx="6005830" cy="1239981"/>
                        </a:xfrm>
                        <a:prstGeom prst="roundRect">
                          <a:avLst/>
                        </a:prstGeom>
                        <a:solidFill>
                          <a:srgbClr val="31B6FD">
                            <a:lumMod val="60000"/>
                            <a:lumOff val="40000"/>
                          </a:srgbClr>
                        </a:solidFill>
                        <a:ln w="15875" cap="flat" cmpd="sng" algn="ctr">
                          <a:solidFill>
                            <a:srgbClr val="31B6FD">
                              <a:shade val="50000"/>
                              <a:shade val="75000"/>
                              <a:lumMod val="80000"/>
                            </a:srgbClr>
                          </a:solidFill>
                          <a:prstDash val="solid"/>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Prostokąt zaokrąglony 14" o:spid="_x0000_s1026" style="position:absolute;margin-left:-8.1pt;margin-top:15.8pt;width:472.9pt;height:97.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" fillcolor="#83d3fe" strokecolor="#165d83" strokeweight="1.25pt"/>
            </w:pict>
          </mc:Fallback>
        </mc:AlternateConten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Szczegółowa diagnoza sytuacji społeczno-gospodarczej i przestrzennej HOF stanowi </w:t>
      </w:r>
      <w:r w:rsidR="00683363">
        <w:rPr>
          <w:rFonts w:ascii="Calibri" w:eastAsia="Candara" w:hAnsi="Calibri" w:cs="Times New Roman"/>
        </w:rPr>
        <w:t>oddzielny dokument</w:t>
      </w:r>
      <w:r w:rsidRPr="00E320BC">
        <w:rPr>
          <w:rFonts w:ascii="Calibri" w:eastAsia="Candara" w:hAnsi="Calibri" w:cs="Times New Roman"/>
        </w:rPr>
        <w:t>. Poniżej przedstawiono podsumowanie diagnozy zawierające najważniejsze wnioski oraz analizę SWOT obejmującą syntezę zjawisk i czynników rozwojowych, w tym problemów, barier oraz potencjałów gminy i szans rozwojowych. Podsumowanie podzielono na 3 zasadnicze części – społeczną, gospodarczą i przestrzenną wraz z środowiskową.</w:t>
      </w:r>
    </w:p>
    <w:p w:rsidR="00E320BC" w:rsidRPr="00E320BC" w:rsidRDefault="00E320BC" w:rsidP="00E320BC">
      <w:pPr>
        <w:spacing w:after="0"/>
        <w:ind w:firstLine="357"/>
        <w:rPr>
          <w:rFonts w:ascii="Calibri" w:eastAsia="Candara" w:hAnsi="Calibri" w:cs="Times New Roman"/>
          <w:b/>
          <w:bCs/>
          <w:smallCaps/>
          <w:spacing w:val="5"/>
          <w:sz w:val="18"/>
          <w:szCs w:val="18"/>
        </w:rPr>
      </w:pPr>
      <w:r w:rsidRPr="00E320BC">
        <w:rPr>
          <w:rFonts w:ascii="Calibri" w:eastAsia="Candara" w:hAnsi="Calibri" w:cs="Times New Roman"/>
          <w:b/>
          <w:bCs/>
          <w:smallCaps/>
          <w:noProof/>
          <w:spacing w:val="5"/>
          <w:sz w:val="36"/>
          <w:szCs w:val="36"/>
          <w:lang w:eastAsia="pl-PL"/>
        </w:rPr>
        <mc:AlternateContent>
          <mc:Choice Requires="wps">
            <w:drawing>
              <wp:anchor distT="0" distB="0" distL="114300" distR="114300" simplePos="0" relativeHeight="251672576" behindDoc="0" locked="0" layoutInCell="1" allowOverlap="1" wp14:anchorId="42FE3F52" wp14:editId="2ED001C2">
                <wp:simplePos x="0" y="0"/>
                <wp:positionH relativeFrom="column">
                  <wp:posOffset>4003675</wp:posOffset>
                </wp:positionH>
                <wp:positionV relativeFrom="paragraph">
                  <wp:posOffset>50800</wp:posOffset>
                </wp:positionV>
                <wp:extent cx="1600200" cy="1521460"/>
                <wp:effectExtent l="0" t="0" r="0" b="2540"/>
                <wp:wrapNone/>
                <wp:docPr id="1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521460"/>
                        </a:xfrm>
                        <a:prstGeom prst="rect">
                          <a:avLst/>
                        </a:prstGeom>
                        <a:noFill/>
                        <a:ln w="9525">
                          <a:noFill/>
                          <a:miter lim="800000"/>
                          <a:headEnd/>
                          <a:tailEnd/>
                        </a:ln>
                      </wps:spPr>
                      <wps:txbx>
                        <w:txbxContent>
                          <w:p w:rsidR="002441D5" w:rsidRDefault="002441D5" w:rsidP="00ED7675">
                            <w:pPr>
                              <w:ind w:firstLine="0"/>
                            </w:pPr>
                            <w:r>
                              <w:rPr>
                                <w:noProof/>
                                <w:lang w:eastAsia="pl-PL"/>
                              </w:rPr>
                              <w:drawing>
                                <wp:inline distT="0" distB="0" distL="0" distR="0" wp14:anchorId="3284D2D5" wp14:editId="2C98F153">
                                  <wp:extent cx="1330037" cy="1330037"/>
                                  <wp:effectExtent l="0" t="0" r="3810" b="3810"/>
                                  <wp:docPr id="482" name="Obraz 482" descr="Ikona, Ludzie, Gadanie, Rozmowa, Cza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kona, Ludzie, Gadanie, Rozmowa, Czat, Symbo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0037" cy="133003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315.25pt;margin-top:4pt;width:126pt;height:119.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" filled="f" stroked="f">
                <v:textbox>
                  <w:txbxContent>
                    <w:p w:rsidR="002441D5" w:rsidRDefault="002441D5" w:rsidP="00ED7675">
                      <w:pPr>
                        <w:ind w:firstLine="0"/>
                      </w:pPr>
                      <w:r>
                        <w:rPr>
                          <w:noProof/>
                          <w:lang w:eastAsia="pl-PL"/>
                        </w:rPr>
                        <w:drawing>
                          <wp:inline distT="0" distB="0" distL="0" distR="0" wp14:anchorId="3284D2D5" wp14:editId="2C98F153">
                            <wp:extent cx="1330037" cy="1330037"/>
                            <wp:effectExtent l="0" t="0" r="3810" b="3810"/>
                            <wp:docPr id="482" name="Obraz 482" descr="Ikona, Ludzie, Gadanie, Rozmowa, Czat,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kona, Ludzie, Gadanie, Rozmowa, Czat, Symbol"/>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0037" cy="1330037"/>
                                    </a:xfrm>
                                    <a:prstGeom prst="rect">
                                      <a:avLst/>
                                    </a:prstGeom>
                                    <a:noFill/>
                                    <a:ln>
                                      <a:noFill/>
                                    </a:ln>
                                  </pic:spPr>
                                </pic:pic>
                              </a:graphicData>
                            </a:graphic>
                          </wp:inline>
                        </w:drawing>
                      </w:r>
                    </w:p>
                  </w:txbxContent>
                </v:textbox>
              </v:shape>
            </w:pict>
          </mc:Fallback>
        </mc:AlternateContent>
      </w:r>
    </w:p>
    <w:p w:rsidR="00E320BC" w:rsidRPr="00E320BC" w:rsidRDefault="00E320BC" w:rsidP="00E320BC">
      <w:pPr>
        <w:spacing w:after="0"/>
        <w:ind w:firstLine="357"/>
        <w:rPr>
          <w:rFonts w:ascii="Calibri" w:eastAsia="Candara" w:hAnsi="Calibri" w:cs="Times New Roman"/>
          <w:b/>
          <w:bCs/>
          <w:smallCaps/>
          <w:spacing w:val="5"/>
          <w:sz w:val="36"/>
          <w:szCs w:val="36"/>
        </w:rPr>
      </w:pPr>
      <w:r w:rsidRPr="00E320BC">
        <w:rPr>
          <w:rFonts w:ascii="Calibri" w:eastAsia="Candara" w:hAnsi="Calibri" w:cs="Times New Roman"/>
          <w:b/>
          <w:bCs/>
          <w:smallCaps/>
          <w:noProof/>
          <w:spacing w:val="5"/>
          <w:sz w:val="36"/>
          <w:szCs w:val="36"/>
          <w:lang w:eastAsia="pl-PL"/>
        </w:rPr>
        <mc:AlternateContent>
          <mc:Choice Requires="wps">
            <w:drawing>
              <wp:anchor distT="0" distB="0" distL="114300" distR="114300" simplePos="0" relativeHeight="251671552" behindDoc="1" locked="0" layoutInCell="1" allowOverlap="1" wp14:anchorId="7CE04890" wp14:editId="434CBB64">
                <wp:simplePos x="0" y="0"/>
                <wp:positionH relativeFrom="column">
                  <wp:posOffset>69850</wp:posOffset>
                </wp:positionH>
                <wp:positionV relativeFrom="paragraph">
                  <wp:posOffset>327025</wp:posOffset>
                </wp:positionV>
                <wp:extent cx="5721350" cy="630555"/>
                <wp:effectExtent l="0" t="0" r="12700" b="17145"/>
                <wp:wrapNone/>
                <wp:docPr id="15" name="Prostokąt 15"/>
                <wp:cNvGraphicFramePr/>
                <a:graphic xmlns:a="http://schemas.openxmlformats.org/drawingml/2006/main">
                  <a:graphicData uri="http://schemas.microsoft.com/office/word/2010/wordprocessingShape">
                    <wps:wsp>
                      <wps:cNvSpPr/>
                      <wps:spPr>
                        <a:xfrm>
                          <a:off x="0" y="0"/>
                          <a:ext cx="5721350" cy="630555"/>
                        </a:xfrm>
                        <a:prstGeom prst="rect">
                          <a:avLst/>
                        </a:prstGeom>
                        <a:solidFill>
                          <a:sysClr val="window" lastClr="FFFFFF">
                            <a:lumMod val="85000"/>
                          </a:sysClr>
                        </a:solidFill>
                        <a:ln w="15875" cap="flat" cmpd="sng" algn="ctr">
                          <a:solidFill>
                            <a:srgbClr val="31B6F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15" o:spid="_x0000_s1026" style="position:absolute;margin-left:5.5pt;margin-top:25.75pt;width:450.5pt;height:49.65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" fillcolor="#d9d9d9" strokecolor="#0293e0" strokeweight="1.25pt"/>
            </w:pict>
          </mc:Fallback>
        </mc:AlternateContent>
      </w:r>
    </w:p>
    <w:p w:rsidR="00E320BC" w:rsidRPr="00E320BC" w:rsidRDefault="00E320BC" w:rsidP="00E320BC">
      <w:pPr>
        <w:spacing w:after="0"/>
        <w:ind w:firstLine="357"/>
        <w:rPr>
          <w:rFonts w:ascii="Calibri" w:eastAsia="Candara" w:hAnsi="Calibri" w:cs="Times New Roman"/>
          <w:b/>
          <w:bCs/>
          <w:smallCaps/>
          <w:spacing w:val="5"/>
          <w:sz w:val="36"/>
          <w:szCs w:val="36"/>
        </w:rPr>
      </w:pPr>
      <w:r w:rsidRPr="00E320BC">
        <w:rPr>
          <w:rFonts w:ascii="Calibri" w:eastAsia="Candara" w:hAnsi="Calibri" w:cs="Times New Roman"/>
          <w:b/>
          <w:bCs/>
          <w:smallCaps/>
          <w:spacing w:val="5"/>
          <w:sz w:val="36"/>
          <w:szCs w:val="36"/>
        </w:rPr>
        <w:t>Wymiar społeczny</w:t>
      </w:r>
    </w:p>
    <w:p w:rsidR="00E320BC" w:rsidRPr="00E320BC" w:rsidRDefault="00E320BC" w:rsidP="00E320BC">
      <w:pPr>
        <w:spacing w:after="0"/>
        <w:ind w:firstLine="357"/>
        <w:rPr>
          <w:rFonts w:ascii="Calibri" w:eastAsia="Candara" w:hAnsi="Calibri" w:cs="Times New Roman"/>
        </w:rPr>
      </w:pP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Demografia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Analiza struktury ludności w oparciu o wskaźniki pozwala na określenie dynamiki procesów demograficznych oraz ich roli w kształtowaniu potencjału rozwojowego analizowanego obszaru. Struktura ludności to jeden z głównych czynników mających wpływ na możliwości, jak również kierunki rozwoju HOF.</w:t>
      </w:r>
    </w:p>
    <w:p w:rsidR="00E320BC" w:rsidRPr="00E320BC" w:rsidRDefault="00E320BC" w:rsidP="00E320BC">
      <w:pPr>
        <w:keepNext/>
        <w:spacing w:after="0" w:line="240" w:lineRule="auto"/>
        <w:ind w:firstLine="357"/>
        <w:rPr>
          <w:rFonts w:ascii="Calibri" w:eastAsia="Candara" w:hAnsi="Calibri" w:cs="Times New Roman"/>
          <w:b/>
          <w:bCs/>
          <w:color w:val="31B6FD"/>
          <w:sz w:val="18"/>
          <w:szCs w:val="18"/>
        </w:rPr>
      </w:pPr>
      <w:bookmarkStart w:id="7" w:name="_Toc138068609"/>
      <w:r w:rsidRPr="00E320BC">
        <w:rPr>
          <w:rFonts w:ascii="Calibri" w:eastAsia="Candara" w:hAnsi="Calibri" w:cs="Times New Roman"/>
          <w:b/>
          <w:bCs/>
          <w:color w:val="31B6FD"/>
          <w:sz w:val="18"/>
          <w:szCs w:val="18"/>
        </w:rPr>
        <w:t xml:space="preserve">Wykres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Wykres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1</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Liczba ludności wg płci w HOF w latach 1999-2019</w:t>
      </w:r>
      <w:bookmarkEnd w:id="7"/>
    </w:p>
    <w:p w:rsidR="00E320BC" w:rsidRPr="00E320BC" w:rsidRDefault="00E320BC" w:rsidP="00ED7675">
      <w:pPr>
        <w:spacing w:after="0"/>
        <w:ind w:firstLine="0"/>
        <w:rPr>
          <w:rFonts w:ascii="Calibri" w:eastAsia="Candara" w:hAnsi="Calibri" w:cs="Times New Roman"/>
        </w:rPr>
      </w:pPr>
      <w:r w:rsidRPr="00E320BC">
        <w:rPr>
          <w:rFonts w:ascii="Calibri" w:eastAsia="Candara" w:hAnsi="Calibri" w:cs="Times New Roman"/>
          <w:noProof/>
          <w:lang w:eastAsia="pl-PL"/>
        </w:rPr>
        <w:drawing>
          <wp:inline distT="0" distB="0" distL="0" distR="0" wp14:anchorId="71BDC790" wp14:editId="189DD028">
            <wp:extent cx="5773420" cy="2341245"/>
            <wp:effectExtent l="0" t="0" r="0" b="190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3420" cy="2341245"/>
                    </a:xfrm>
                    <a:prstGeom prst="rect">
                      <a:avLst/>
                    </a:prstGeom>
                    <a:noFill/>
                  </pic:spPr>
                </pic:pic>
              </a:graphicData>
            </a:graphic>
          </wp:inline>
        </w:drawing>
      </w:r>
    </w:p>
    <w:p w:rsidR="00E320BC" w:rsidRPr="00E320BC" w:rsidRDefault="00E320BC" w:rsidP="00ED7675">
      <w:pPr>
        <w:spacing w:before="0" w:after="0"/>
        <w:ind w:firstLine="357"/>
        <w:rPr>
          <w:rFonts w:ascii="Calibri" w:eastAsia="Candara" w:hAnsi="Calibri" w:cs="Times New Roman"/>
          <w:i/>
          <w:sz w:val="18"/>
          <w:szCs w:val="18"/>
        </w:rPr>
      </w:pPr>
      <w:r w:rsidRPr="00E320BC">
        <w:rPr>
          <w:rFonts w:ascii="Calibri" w:eastAsia="Candara" w:hAnsi="Calibri" w:cs="Times New Roman"/>
          <w:i/>
          <w:sz w:val="18"/>
          <w:szCs w:val="18"/>
        </w:rPr>
        <w:t>Źródło: Opracowanie własne na podstawie BDL GUS</w:t>
      </w:r>
    </w:p>
    <w:p w:rsidR="00E320BC" w:rsidRDefault="00E320BC" w:rsidP="00E320BC">
      <w:pPr>
        <w:spacing w:after="0"/>
        <w:ind w:firstLine="357"/>
        <w:rPr>
          <w:rFonts w:ascii="Calibri" w:eastAsia="Candara" w:hAnsi="Calibri" w:cs="Times New Roman"/>
          <w:b/>
        </w:rPr>
      </w:pPr>
      <w:r w:rsidRPr="00E320BC">
        <w:rPr>
          <w:rFonts w:ascii="Calibri" w:eastAsia="Candara" w:hAnsi="Calibri" w:cs="Times New Roman"/>
        </w:rPr>
        <w:t xml:space="preserve">Zgodnie z danymi GUS w 2019 roku Hrubieszowski Obszar Funkcjonalny </w:t>
      </w:r>
      <w:r w:rsidRPr="00E320BC">
        <w:rPr>
          <w:rFonts w:ascii="Calibri" w:eastAsia="Candara" w:hAnsi="Calibri" w:cs="Times New Roman"/>
          <w:b/>
        </w:rPr>
        <w:t>zamieszkiwany był przez 27 508 osób</w:t>
      </w:r>
      <w:r w:rsidRPr="00E320BC">
        <w:rPr>
          <w:rFonts w:ascii="Calibri" w:eastAsia="Candara" w:hAnsi="Calibri" w:cs="Times New Roman"/>
        </w:rPr>
        <w:t xml:space="preserve">, w tym 14 196 kobiet (51,61%) i 13 312 mężczyzn (48,39%). W przeciągu 20 lat liczba ludności zmniejszyła się o ponad 3,1 tys. osób. </w:t>
      </w:r>
      <w:r w:rsidRPr="00E320BC">
        <w:rPr>
          <w:rFonts w:ascii="Calibri" w:eastAsia="Candara" w:hAnsi="Calibri" w:cs="Times New Roman"/>
          <w:b/>
        </w:rPr>
        <w:t>Tempo zmian liczby ludności w HOF jest duże</w:t>
      </w:r>
      <w:r w:rsidRPr="00E320BC">
        <w:rPr>
          <w:rFonts w:ascii="Calibri" w:eastAsia="Candara" w:hAnsi="Calibri" w:cs="Times New Roman"/>
        </w:rPr>
        <w:t xml:space="preserve"> i obrazuje go wskaźnik dynamiki, który na przestrzeni 20 lat wynosi 89,82, co oznacza, że </w:t>
      </w:r>
      <w:r w:rsidRPr="00E320BC">
        <w:rPr>
          <w:rFonts w:ascii="Calibri" w:eastAsia="Candara" w:hAnsi="Calibri" w:cs="Times New Roman"/>
          <w:b/>
        </w:rPr>
        <w:t>liczba ludności w tym okresie czasu spadła o 10,18%.</w:t>
      </w:r>
    </w:p>
    <w:p w:rsidR="00ED7675" w:rsidRDefault="00ED7675" w:rsidP="00E320BC">
      <w:pPr>
        <w:spacing w:after="0"/>
        <w:ind w:firstLine="357"/>
        <w:rPr>
          <w:rFonts w:ascii="Calibri" w:eastAsia="Candara" w:hAnsi="Calibri" w:cs="Times New Roman"/>
          <w:b/>
        </w:rPr>
      </w:pPr>
    </w:p>
    <w:p w:rsidR="00ED7675" w:rsidRPr="00E320BC" w:rsidRDefault="00ED7675" w:rsidP="00E320BC">
      <w:pPr>
        <w:spacing w:after="0"/>
        <w:ind w:firstLine="357"/>
        <w:rPr>
          <w:rFonts w:ascii="Calibri" w:eastAsia="Candara" w:hAnsi="Calibri" w:cs="Times New Roman"/>
        </w:rPr>
      </w:pP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lastRenderedPageBreak/>
        <w:t xml:space="preserve">Liczba ludności HOF w podziale na gminę miejską i wiejską prezentuje się następująco: </w:t>
      </w:r>
    </w:p>
    <w:p w:rsidR="00E320BC" w:rsidRPr="00E320BC" w:rsidRDefault="00E320BC" w:rsidP="00E320BC">
      <w:pPr>
        <w:keepNext/>
        <w:spacing w:after="0" w:line="240" w:lineRule="auto"/>
        <w:ind w:firstLine="357"/>
        <w:rPr>
          <w:rFonts w:ascii="Calibri" w:eastAsia="Candara" w:hAnsi="Calibri" w:cs="Times New Roman"/>
          <w:b/>
          <w:bCs/>
          <w:color w:val="31B6FD"/>
          <w:sz w:val="18"/>
          <w:szCs w:val="18"/>
        </w:rPr>
      </w:pPr>
      <w:bookmarkStart w:id="8" w:name="_Toc138068532"/>
      <w:r w:rsidRPr="00E320BC">
        <w:rPr>
          <w:rFonts w:ascii="Calibri" w:eastAsia="Candara" w:hAnsi="Calibri" w:cs="Times New Roman"/>
          <w:b/>
          <w:bCs/>
          <w:color w:val="31B6FD"/>
          <w:sz w:val="18"/>
          <w:szCs w:val="18"/>
        </w:rPr>
        <w:t xml:space="preserve">Tabela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Tabela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1</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Liczba ludności w Hrubieszowskim Obszarze Funkcjonalnym ogółem w 2019 roku</w:t>
      </w:r>
      <w:bookmarkEnd w:id="8"/>
    </w:p>
    <w:tbl>
      <w:tblPr>
        <w:tblStyle w:val="Jasnasiatkaakcent21"/>
        <w:tblW w:w="0" w:type="auto"/>
        <w:tblLook w:val="04A0" w:firstRow="1" w:lastRow="0" w:firstColumn="1" w:lastColumn="0" w:noHBand="0" w:noVBand="1"/>
      </w:tblPr>
      <w:tblGrid>
        <w:gridCol w:w="2303"/>
        <w:gridCol w:w="2303"/>
        <w:gridCol w:w="2303"/>
        <w:gridCol w:w="2303"/>
      </w:tblGrid>
      <w:tr w:rsidR="00E320BC" w:rsidRPr="00E320BC" w:rsidTr="00E320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Borders>
              <w:top w:val="nil"/>
              <w:left w:val="nil"/>
            </w:tcBorders>
          </w:tcPr>
          <w:p w:rsidR="00E320BC" w:rsidRPr="00E320BC" w:rsidRDefault="00E320BC" w:rsidP="00E320BC">
            <w:pPr>
              <w:rPr>
                <w:rFonts w:cs="Candara"/>
                <w:sz w:val="20"/>
                <w:szCs w:val="20"/>
              </w:rPr>
            </w:pPr>
          </w:p>
        </w:tc>
        <w:tc>
          <w:tcPr>
            <w:tcW w:w="2303" w:type="dxa"/>
          </w:tcPr>
          <w:p w:rsidR="00E320BC" w:rsidRPr="00E320BC" w:rsidRDefault="00E320BC" w:rsidP="0007274E">
            <w:pPr>
              <w:ind w:firstLine="0"/>
              <w:jc w:val="center"/>
              <w:cnfStyle w:val="100000000000" w:firstRow="1" w:lastRow="0" w:firstColumn="0" w:lastColumn="0" w:oddVBand="0" w:evenVBand="0" w:oddHBand="0" w:evenHBand="0" w:firstRowFirstColumn="0" w:firstRowLastColumn="0" w:lastRowFirstColumn="0" w:lastRowLastColumn="0"/>
              <w:rPr>
                <w:rFonts w:cs="Candara"/>
                <w:sz w:val="20"/>
                <w:szCs w:val="20"/>
              </w:rPr>
            </w:pPr>
            <w:r w:rsidRPr="00E320BC">
              <w:rPr>
                <w:rFonts w:cs="Candara"/>
                <w:sz w:val="20"/>
                <w:szCs w:val="20"/>
              </w:rPr>
              <w:t>Ludność ogółem 2019</w:t>
            </w:r>
          </w:p>
        </w:tc>
        <w:tc>
          <w:tcPr>
            <w:tcW w:w="2303" w:type="dxa"/>
          </w:tcPr>
          <w:p w:rsidR="00E320BC" w:rsidRPr="00E320BC" w:rsidRDefault="00E320BC" w:rsidP="0007274E">
            <w:pPr>
              <w:ind w:firstLine="0"/>
              <w:jc w:val="center"/>
              <w:cnfStyle w:val="100000000000" w:firstRow="1" w:lastRow="0" w:firstColumn="0" w:lastColumn="0" w:oddVBand="0" w:evenVBand="0" w:oddHBand="0" w:evenHBand="0" w:firstRowFirstColumn="0" w:firstRowLastColumn="0" w:lastRowFirstColumn="0" w:lastRowLastColumn="0"/>
              <w:rPr>
                <w:rFonts w:cs="Candara"/>
                <w:sz w:val="20"/>
                <w:szCs w:val="20"/>
              </w:rPr>
            </w:pPr>
            <w:r w:rsidRPr="00E320BC">
              <w:rPr>
                <w:rFonts w:cs="Candara"/>
                <w:sz w:val="20"/>
                <w:szCs w:val="20"/>
              </w:rPr>
              <w:t>Kobiety</w:t>
            </w:r>
          </w:p>
        </w:tc>
        <w:tc>
          <w:tcPr>
            <w:tcW w:w="2303" w:type="dxa"/>
          </w:tcPr>
          <w:p w:rsidR="00E320BC" w:rsidRPr="00E320BC" w:rsidRDefault="00E320BC" w:rsidP="0007274E">
            <w:pPr>
              <w:ind w:firstLine="0"/>
              <w:jc w:val="center"/>
              <w:cnfStyle w:val="100000000000" w:firstRow="1" w:lastRow="0" w:firstColumn="0" w:lastColumn="0" w:oddVBand="0" w:evenVBand="0" w:oddHBand="0" w:evenHBand="0" w:firstRowFirstColumn="0" w:firstRowLastColumn="0" w:lastRowFirstColumn="0" w:lastRowLastColumn="0"/>
              <w:rPr>
                <w:rFonts w:cs="Candara"/>
                <w:sz w:val="20"/>
                <w:szCs w:val="20"/>
              </w:rPr>
            </w:pPr>
            <w:r w:rsidRPr="00E320BC">
              <w:rPr>
                <w:rFonts w:cs="Candara"/>
                <w:sz w:val="20"/>
                <w:szCs w:val="20"/>
              </w:rPr>
              <w:t>Mężczyźni</w:t>
            </w:r>
          </w:p>
        </w:tc>
      </w:tr>
      <w:tr w:rsidR="00E320BC" w:rsidRPr="00E320BC" w:rsidTr="00ED7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rsidR="00E320BC" w:rsidRPr="00E320BC" w:rsidRDefault="00E320BC" w:rsidP="0007274E">
            <w:pPr>
              <w:ind w:firstLine="0"/>
              <w:jc w:val="left"/>
              <w:rPr>
                <w:rFonts w:cs="Candara"/>
                <w:sz w:val="20"/>
                <w:szCs w:val="20"/>
              </w:rPr>
            </w:pPr>
            <w:r w:rsidRPr="00E320BC">
              <w:rPr>
                <w:rFonts w:cs="Candara"/>
                <w:sz w:val="20"/>
                <w:szCs w:val="20"/>
              </w:rPr>
              <w:t>Gmina Miejska Hrubieszów</w:t>
            </w:r>
          </w:p>
        </w:tc>
        <w:tc>
          <w:tcPr>
            <w:tcW w:w="2303" w:type="dxa"/>
            <w:vAlign w:val="center"/>
          </w:tcPr>
          <w:p w:rsidR="00E320BC" w:rsidRPr="00E320BC" w:rsidRDefault="00E320BC" w:rsidP="00ED7675">
            <w:pPr>
              <w:jc w:val="right"/>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17 528</w:t>
            </w:r>
          </w:p>
        </w:tc>
        <w:tc>
          <w:tcPr>
            <w:tcW w:w="2303" w:type="dxa"/>
            <w:vAlign w:val="center"/>
          </w:tcPr>
          <w:p w:rsidR="00E320BC" w:rsidRPr="00E320BC" w:rsidRDefault="00E320BC" w:rsidP="00ED7675">
            <w:pPr>
              <w:jc w:val="right"/>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9 213 (52,56%)</w:t>
            </w:r>
          </w:p>
        </w:tc>
        <w:tc>
          <w:tcPr>
            <w:tcW w:w="2303" w:type="dxa"/>
            <w:vAlign w:val="center"/>
          </w:tcPr>
          <w:p w:rsidR="00E320BC" w:rsidRPr="00E320BC" w:rsidRDefault="00E320BC" w:rsidP="00ED7675">
            <w:pPr>
              <w:jc w:val="right"/>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8 315 (47,44%)</w:t>
            </w:r>
          </w:p>
        </w:tc>
      </w:tr>
      <w:tr w:rsidR="00E320BC" w:rsidRPr="00E320BC" w:rsidTr="00ED76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rsidR="00E320BC" w:rsidRPr="00E320BC" w:rsidRDefault="00E320BC" w:rsidP="0007274E">
            <w:pPr>
              <w:ind w:firstLine="0"/>
              <w:jc w:val="left"/>
              <w:rPr>
                <w:rFonts w:cs="Candara"/>
                <w:sz w:val="20"/>
                <w:szCs w:val="20"/>
              </w:rPr>
            </w:pPr>
            <w:r w:rsidRPr="00E320BC">
              <w:rPr>
                <w:rFonts w:cs="Candara"/>
                <w:sz w:val="20"/>
                <w:szCs w:val="20"/>
              </w:rPr>
              <w:t>Gmina Hrubieszów</w:t>
            </w:r>
          </w:p>
        </w:tc>
        <w:tc>
          <w:tcPr>
            <w:tcW w:w="2303" w:type="dxa"/>
            <w:vAlign w:val="center"/>
          </w:tcPr>
          <w:p w:rsidR="00E320BC" w:rsidRPr="00E320BC" w:rsidRDefault="00E320BC" w:rsidP="00ED7675">
            <w:pPr>
              <w:jc w:val="right"/>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9 980</w:t>
            </w:r>
          </w:p>
        </w:tc>
        <w:tc>
          <w:tcPr>
            <w:tcW w:w="2303" w:type="dxa"/>
            <w:vAlign w:val="center"/>
          </w:tcPr>
          <w:p w:rsidR="00E320BC" w:rsidRPr="00E320BC" w:rsidRDefault="00E320BC" w:rsidP="00ED7675">
            <w:pPr>
              <w:jc w:val="right"/>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4 983 (49,93%)</w:t>
            </w:r>
          </w:p>
        </w:tc>
        <w:tc>
          <w:tcPr>
            <w:tcW w:w="2303" w:type="dxa"/>
            <w:vAlign w:val="center"/>
          </w:tcPr>
          <w:p w:rsidR="00E320BC" w:rsidRPr="00E320BC" w:rsidRDefault="00E320BC" w:rsidP="00ED7675">
            <w:pPr>
              <w:jc w:val="right"/>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4 997 (50,07%)</w:t>
            </w:r>
          </w:p>
        </w:tc>
      </w:tr>
      <w:tr w:rsidR="00E320BC" w:rsidRPr="00E320BC" w:rsidTr="00ED76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03" w:type="dxa"/>
          </w:tcPr>
          <w:p w:rsidR="00E320BC" w:rsidRPr="00E320BC" w:rsidRDefault="00E320BC" w:rsidP="0007274E">
            <w:pPr>
              <w:ind w:firstLine="0"/>
              <w:jc w:val="left"/>
              <w:rPr>
                <w:rFonts w:cs="Candara"/>
                <w:sz w:val="20"/>
                <w:szCs w:val="20"/>
              </w:rPr>
            </w:pPr>
            <w:r w:rsidRPr="00E320BC">
              <w:rPr>
                <w:rFonts w:cs="Candara"/>
                <w:sz w:val="20"/>
                <w:szCs w:val="20"/>
              </w:rPr>
              <w:t>HOF</w:t>
            </w:r>
          </w:p>
        </w:tc>
        <w:tc>
          <w:tcPr>
            <w:tcW w:w="2303" w:type="dxa"/>
            <w:vAlign w:val="center"/>
          </w:tcPr>
          <w:p w:rsidR="00E320BC" w:rsidRPr="00E320BC" w:rsidRDefault="00E320BC" w:rsidP="00ED7675">
            <w:pPr>
              <w:ind w:firstLine="357"/>
              <w:jc w:val="right"/>
              <w:cnfStyle w:val="000000100000" w:firstRow="0" w:lastRow="0" w:firstColumn="0" w:lastColumn="0" w:oddVBand="0" w:evenVBand="0" w:oddHBand="1" w:evenHBand="0" w:firstRowFirstColumn="0" w:firstRowLastColumn="0" w:lastRowFirstColumn="0" w:lastRowLastColumn="0"/>
              <w:rPr>
                <w:rFonts w:ascii="Calibri" w:eastAsia="Candara" w:hAnsi="Calibri" w:cs="Candara"/>
                <w:color w:val="000000"/>
                <w:sz w:val="20"/>
                <w:szCs w:val="20"/>
              </w:rPr>
            </w:pPr>
            <w:r w:rsidRPr="00E320BC">
              <w:rPr>
                <w:rFonts w:ascii="Calibri" w:eastAsia="Candara" w:hAnsi="Calibri" w:cs="Candara"/>
                <w:color w:val="000000"/>
                <w:sz w:val="20"/>
                <w:szCs w:val="20"/>
              </w:rPr>
              <w:t>27 508</w:t>
            </w:r>
          </w:p>
        </w:tc>
        <w:tc>
          <w:tcPr>
            <w:tcW w:w="2303" w:type="dxa"/>
            <w:vAlign w:val="center"/>
          </w:tcPr>
          <w:p w:rsidR="00E320BC" w:rsidRPr="00E320BC" w:rsidRDefault="00E320BC" w:rsidP="00ED7675">
            <w:pPr>
              <w:jc w:val="right"/>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14 196</w:t>
            </w:r>
          </w:p>
        </w:tc>
        <w:tc>
          <w:tcPr>
            <w:tcW w:w="2303" w:type="dxa"/>
            <w:vAlign w:val="center"/>
          </w:tcPr>
          <w:p w:rsidR="00E320BC" w:rsidRPr="00E320BC" w:rsidRDefault="00E320BC" w:rsidP="00ED7675">
            <w:pPr>
              <w:jc w:val="right"/>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13 312</w:t>
            </w:r>
          </w:p>
        </w:tc>
      </w:tr>
    </w:tbl>
    <w:p w:rsidR="00E320BC" w:rsidRPr="00E320BC" w:rsidRDefault="00E320BC" w:rsidP="00E320BC">
      <w:pPr>
        <w:spacing w:after="0"/>
        <w:rPr>
          <w:rFonts w:ascii="Calibri" w:eastAsia="Candara" w:hAnsi="Calibri" w:cs="Times New Roman"/>
          <w:i/>
          <w:sz w:val="18"/>
          <w:szCs w:val="18"/>
        </w:rPr>
      </w:pPr>
      <w:r w:rsidRPr="00E320BC">
        <w:rPr>
          <w:rFonts w:ascii="Calibri" w:eastAsia="Candara" w:hAnsi="Calibri" w:cs="Times New Roman"/>
          <w:i/>
          <w:sz w:val="18"/>
          <w:szCs w:val="18"/>
        </w:rPr>
        <w:t>Źródło: Opracowanie własne na podstawie BDL GUS</w:t>
      </w:r>
    </w:p>
    <w:p w:rsidR="00E320BC" w:rsidRPr="00E320BC" w:rsidRDefault="00ED7675" w:rsidP="00E320BC">
      <w:pPr>
        <w:spacing w:after="0"/>
        <w:ind w:firstLine="357"/>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686912" behindDoc="0" locked="0" layoutInCell="1" allowOverlap="1" wp14:anchorId="79475722" wp14:editId="40E6B3EE">
                <wp:simplePos x="0" y="0"/>
                <wp:positionH relativeFrom="column">
                  <wp:posOffset>2437765</wp:posOffset>
                </wp:positionH>
                <wp:positionV relativeFrom="paragraph">
                  <wp:posOffset>668020</wp:posOffset>
                </wp:positionV>
                <wp:extent cx="3303905" cy="2316480"/>
                <wp:effectExtent l="0" t="0" r="0" b="7620"/>
                <wp:wrapSquare wrapText="bothSides"/>
                <wp:docPr id="49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3905" cy="2316480"/>
                        </a:xfrm>
                        <a:prstGeom prst="rect">
                          <a:avLst/>
                        </a:prstGeom>
                        <a:solidFill>
                          <a:srgbClr val="FFFFFF"/>
                        </a:solidFill>
                        <a:ln w="9525">
                          <a:noFill/>
                          <a:miter lim="800000"/>
                          <a:headEnd/>
                          <a:tailEnd/>
                        </a:ln>
                      </wps:spPr>
                      <wps:txbx>
                        <w:txbxContent>
                          <w:p w:rsidR="002441D5" w:rsidRDefault="002441D5" w:rsidP="00ED7675">
                            <w:pPr>
                              <w:pStyle w:val="Legenda"/>
                              <w:keepNext/>
                              <w:ind w:firstLine="0"/>
                            </w:pPr>
                            <w:bookmarkStart w:id="9" w:name="_Toc138068610"/>
                            <w:r>
                              <w:t xml:space="preserve">Wykres </w:t>
                            </w:r>
                            <w:r w:rsidR="00E20FF4">
                              <w:fldChar w:fldCharType="begin"/>
                            </w:r>
                            <w:r w:rsidR="00E20FF4">
                              <w:instrText xml:space="preserve"> SEQ Wykres \* ARABIC </w:instrText>
                            </w:r>
                            <w:r w:rsidR="00E20FF4">
                              <w:fldChar w:fldCharType="separate"/>
                            </w:r>
                            <w:r w:rsidR="0022657A">
                              <w:rPr>
                                <w:noProof/>
                              </w:rPr>
                              <w:t>2</w:t>
                            </w:r>
                            <w:r w:rsidR="00E20FF4">
                              <w:rPr>
                                <w:noProof/>
                              </w:rPr>
                              <w:fldChar w:fldCharType="end"/>
                            </w:r>
                            <w:r>
                              <w:t xml:space="preserve">. </w:t>
                            </w:r>
                            <w:r w:rsidRPr="000125F5">
                              <w:t>Współczyn</w:t>
                            </w:r>
                            <w:r>
                              <w:t>nik przyrostu naturalnego (‰) w </w:t>
                            </w:r>
                            <w:r w:rsidRPr="000125F5">
                              <w:t>HOF w latach 2014 - 2019</w:t>
                            </w:r>
                            <w:bookmarkEnd w:id="9"/>
                          </w:p>
                          <w:p w:rsidR="002441D5" w:rsidRDefault="002441D5" w:rsidP="00ED7675">
                            <w:pPr>
                              <w:ind w:firstLine="0"/>
                            </w:pPr>
                            <w:r w:rsidRPr="00A032CA">
                              <w:rPr>
                                <w:noProof/>
                                <w:lang w:eastAsia="pl-PL"/>
                              </w:rPr>
                              <w:drawing>
                                <wp:inline distT="0" distB="0" distL="0" distR="0" wp14:anchorId="54548385" wp14:editId="49465EEE">
                                  <wp:extent cx="3152140" cy="1399540"/>
                                  <wp:effectExtent l="0" t="0" r="0" b="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2140" cy="1399540"/>
                                          </a:xfrm>
                                          <a:prstGeom prst="rect">
                                            <a:avLst/>
                                          </a:prstGeom>
                                          <a:noFill/>
                                          <a:ln>
                                            <a:noFill/>
                                          </a:ln>
                                        </pic:spPr>
                                      </pic:pic>
                                    </a:graphicData>
                                  </a:graphic>
                                </wp:inline>
                              </w:drawing>
                            </w:r>
                          </w:p>
                          <w:p w:rsidR="002441D5" w:rsidRPr="005668F6" w:rsidRDefault="002441D5" w:rsidP="00E320BC">
                            <w:pPr>
                              <w:rPr>
                                <w:i/>
                                <w:sz w:val="18"/>
                                <w:szCs w:val="18"/>
                              </w:rPr>
                            </w:pPr>
                            <w:r w:rsidRPr="002349C0">
                              <w:rPr>
                                <w:i/>
                                <w:sz w:val="18"/>
                                <w:szCs w:val="18"/>
                              </w:rPr>
                              <w:t xml:space="preserve">Źródło: </w:t>
                            </w:r>
                            <w:r>
                              <w:rPr>
                                <w:i/>
                                <w:sz w:val="18"/>
                                <w:szCs w:val="18"/>
                              </w:rPr>
                              <w:t>BDL GUS</w:t>
                            </w:r>
                          </w:p>
                          <w:p w:rsidR="002441D5" w:rsidRDefault="002441D5" w:rsidP="00E320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191.95pt;margin-top:52.6pt;width:260.15pt;height:182.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" stroked="f">
                <v:textbox>
                  <w:txbxContent>
                    <w:p w:rsidR="002441D5" w:rsidRDefault="002441D5" w:rsidP="00ED7675">
                      <w:pPr>
                        <w:pStyle w:val="Legenda"/>
                        <w:keepNext/>
                        <w:ind w:firstLine="0"/>
                      </w:pPr>
                      <w:bookmarkStart w:id="10" w:name="_Toc138068610"/>
                      <w:r>
                        <w:t xml:space="preserve">Wykres </w:t>
                      </w:r>
                      <w:r w:rsidR="00E20FF4">
                        <w:fldChar w:fldCharType="begin"/>
                      </w:r>
                      <w:r w:rsidR="00E20FF4">
                        <w:instrText xml:space="preserve"> SEQ Wykres \* ARABIC </w:instrText>
                      </w:r>
                      <w:r w:rsidR="00E20FF4">
                        <w:fldChar w:fldCharType="separate"/>
                      </w:r>
                      <w:r w:rsidR="0022657A">
                        <w:rPr>
                          <w:noProof/>
                        </w:rPr>
                        <w:t>2</w:t>
                      </w:r>
                      <w:r w:rsidR="00E20FF4">
                        <w:rPr>
                          <w:noProof/>
                        </w:rPr>
                        <w:fldChar w:fldCharType="end"/>
                      </w:r>
                      <w:r>
                        <w:t xml:space="preserve">. </w:t>
                      </w:r>
                      <w:r w:rsidRPr="000125F5">
                        <w:t>Współczyn</w:t>
                      </w:r>
                      <w:r>
                        <w:t>nik przyrostu naturalnego (‰) w </w:t>
                      </w:r>
                      <w:r w:rsidRPr="000125F5">
                        <w:t>HOF w latach 2014 - 2019</w:t>
                      </w:r>
                      <w:bookmarkEnd w:id="10"/>
                    </w:p>
                    <w:p w:rsidR="002441D5" w:rsidRDefault="002441D5" w:rsidP="00ED7675">
                      <w:pPr>
                        <w:ind w:firstLine="0"/>
                      </w:pPr>
                      <w:r w:rsidRPr="00A032CA">
                        <w:rPr>
                          <w:noProof/>
                          <w:lang w:eastAsia="pl-PL"/>
                        </w:rPr>
                        <w:drawing>
                          <wp:inline distT="0" distB="0" distL="0" distR="0" wp14:anchorId="54548385" wp14:editId="49465EEE">
                            <wp:extent cx="3152140" cy="1399540"/>
                            <wp:effectExtent l="0" t="0" r="0" b="0"/>
                            <wp:docPr id="483" name="Obraz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152140" cy="1399540"/>
                                    </a:xfrm>
                                    <a:prstGeom prst="rect">
                                      <a:avLst/>
                                    </a:prstGeom>
                                    <a:noFill/>
                                    <a:ln>
                                      <a:noFill/>
                                    </a:ln>
                                  </pic:spPr>
                                </pic:pic>
                              </a:graphicData>
                            </a:graphic>
                          </wp:inline>
                        </w:drawing>
                      </w:r>
                    </w:p>
                    <w:p w:rsidR="002441D5" w:rsidRPr="005668F6" w:rsidRDefault="002441D5" w:rsidP="00E320BC">
                      <w:pPr>
                        <w:rPr>
                          <w:i/>
                          <w:sz w:val="18"/>
                          <w:szCs w:val="18"/>
                        </w:rPr>
                      </w:pPr>
                      <w:r w:rsidRPr="002349C0">
                        <w:rPr>
                          <w:i/>
                          <w:sz w:val="18"/>
                          <w:szCs w:val="18"/>
                        </w:rPr>
                        <w:t xml:space="preserve">Źródło: </w:t>
                      </w:r>
                      <w:r>
                        <w:rPr>
                          <w:i/>
                          <w:sz w:val="18"/>
                          <w:szCs w:val="18"/>
                        </w:rPr>
                        <w:t>BDL GUS</w:t>
                      </w:r>
                    </w:p>
                    <w:p w:rsidR="002441D5" w:rsidRDefault="002441D5" w:rsidP="00E320BC"/>
                  </w:txbxContent>
                </v:textbox>
                <w10:wrap type="square"/>
              </v:shape>
            </w:pict>
          </mc:Fallback>
        </mc:AlternateContent>
      </w:r>
      <w:r w:rsidR="00E320BC" w:rsidRPr="00E320BC">
        <w:rPr>
          <w:rFonts w:ascii="Calibri" w:eastAsia="Candara" w:hAnsi="Calibri" w:cs="Times New Roman"/>
        </w:rPr>
        <w:t>Negatywne procesy demograficzne w HOF kształtowane są przez dwa główne zjawiska: przyrost naturalny ludności (urodzenia, zgony), oraz migracje pokazujące odpływ i napływ ludności w różnych kierunkach, na różny okres i w różnych grupach wiekowych.</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Od 2014 roku współczynnik przyrostu naturalnego utrzymywał się na ujemnym poziomie</w:t>
      </w:r>
      <w:r w:rsidRPr="00E320BC">
        <w:rPr>
          <w:rFonts w:ascii="Calibri" w:eastAsia="Candara" w:hAnsi="Calibri" w:cs="Times New Roman"/>
        </w:rPr>
        <w:t xml:space="preserve"> osiągając najniższe wartości </w:t>
      </w:r>
      <w:r w:rsidR="00DC5AA0">
        <w:rPr>
          <w:rFonts w:ascii="Calibri" w:eastAsia="Candara" w:hAnsi="Calibri" w:cs="Times New Roman"/>
          <w:b/>
        </w:rPr>
        <w:t xml:space="preserve">w latach 2019 </w:t>
      </w:r>
      <w:r w:rsidR="00DC5AA0">
        <w:rPr>
          <w:rFonts w:ascii="Calibri" w:eastAsia="Candara" w:hAnsi="Calibri" w:cs="Times New Roman"/>
          <w:b/>
        </w:rPr>
        <w:br/>
      </w:r>
      <w:r w:rsidRPr="00E320BC">
        <w:rPr>
          <w:rFonts w:ascii="Calibri" w:eastAsia="Candara" w:hAnsi="Calibri" w:cs="Times New Roman"/>
          <w:b/>
        </w:rPr>
        <w:t>(</w:t>
      </w:r>
      <w:r w:rsidR="00DC5AA0">
        <w:rPr>
          <w:rFonts w:ascii="Calibri" w:eastAsia="Candara" w:hAnsi="Calibri" w:cs="Times New Roman"/>
          <w:b/>
        </w:rPr>
        <w:t>-</w:t>
      </w:r>
      <w:r w:rsidRPr="00E320BC">
        <w:rPr>
          <w:rFonts w:ascii="Calibri" w:eastAsia="Candara" w:hAnsi="Calibri" w:cs="Times New Roman"/>
          <w:b/>
        </w:rPr>
        <w:t>3,85</w:t>
      </w:r>
      <w:r w:rsidRPr="00E320BC">
        <w:rPr>
          <w:rFonts w:ascii="Calibri" w:eastAsia="Candara" w:hAnsi="Calibri" w:cs="Calibri"/>
          <w:b/>
        </w:rPr>
        <w:t>‰</w:t>
      </w:r>
      <w:r w:rsidRPr="00E320BC">
        <w:rPr>
          <w:rFonts w:ascii="Calibri" w:eastAsia="Candara" w:hAnsi="Calibri" w:cs="Times New Roman"/>
          <w:b/>
        </w:rPr>
        <w:t>) i 2017 (-3,43</w:t>
      </w:r>
      <w:r w:rsidRPr="00E320BC">
        <w:rPr>
          <w:rFonts w:ascii="Calibri" w:eastAsia="Candara" w:hAnsi="Calibri" w:cs="Calibri"/>
          <w:b/>
        </w:rPr>
        <w:t>‰</w:t>
      </w:r>
      <w:r w:rsidRPr="00E320BC">
        <w:rPr>
          <w:rFonts w:ascii="Calibri" w:eastAsia="Candara" w:hAnsi="Calibri" w:cs="Times New Roman"/>
          <w:b/>
        </w:rPr>
        <w:t xml:space="preserve">). </w:t>
      </w:r>
      <w:r w:rsidRPr="00E320BC">
        <w:rPr>
          <w:rFonts w:ascii="Calibri" w:eastAsia="Candara" w:hAnsi="Calibri" w:cs="Times New Roman"/>
        </w:rPr>
        <w:t>Średni współczynnik przyrostu naturalnego dla HOF w okresie 2014 – 2019 wyniósł </w:t>
      </w:r>
      <w:r w:rsidRPr="00E320BC">
        <w:rPr>
          <w:rFonts w:ascii="Calibri" w:eastAsia="Candara" w:hAnsi="Calibri" w:cs="Times New Roman"/>
        </w:rPr>
        <w:br/>
        <w:t xml:space="preserve">-2,84‰ i </w:t>
      </w:r>
      <w:r w:rsidR="0094067E">
        <w:rPr>
          <w:rFonts w:ascii="Calibri" w:eastAsia="Candara" w:hAnsi="Calibri" w:cs="Times New Roman"/>
        </w:rPr>
        <w:t xml:space="preserve">była to </w:t>
      </w:r>
      <w:r w:rsidR="00611CCD" w:rsidRPr="00E320BC">
        <w:rPr>
          <w:rFonts w:ascii="Calibri" w:eastAsia="Candara" w:hAnsi="Calibri" w:cs="Times New Roman"/>
        </w:rPr>
        <w:t>najlepiej</w:t>
      </w:r>
      <w:r w:rsidR="0094067E">
        <w:rPr>
          <w:rFonts w:ascii="Calibri" w:eastAsia="Candara" w:hAnsi="Calibri" w:cs="Times New Roman"/>
        </w:rPr>
        <w:t xml:space="preserve"> prezentująca się wartość w grupie porównawczej</w:t>
      </w:r>
      <w:r w:rsidRPr="00E320BC">
        <w:rPr>
          <w:rFonts w:ascii="Calibri" w:eastAsia="Candara" w:hAnsi="Calibri" w:cs="Times New Roman"/>
        </w:rPr>
        <w:t>, gdzie średnia osiągnęła wartość -3,42.</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Saldo migracji w analizowanym okresie czasu </w:t>
      </w:r>
      <w:r w:rsidRPr="00E320BC">
        <w:rPr>
          <w:rFonts w:ascii="Calibri" w:eastAsia="Candara" w:hAnsi="Calibri" w:cs="Times New Roman"/>
          <w:b/>
        </w:rPr>
        <w:t>notowało ujemne wartości, które świadczą o wyludnianiu się obszaru</w:t>
      </w:r>
      <w:r w:rsidRPr="00E320BC">
        <w:rPr>
          <w:rFonts w:ascii="Calibri" w:eastAsia="Candara" w:hAnsi="Calibri" w:cs="Times New Roman"/>
        </w:rPr>
        <w:t xml:space="preserve"> czasowo bądź na stałe. Dla Hrubieszowskiego Obszaru Funkcjonalnego </w:t>
      </w:r>
      <w:r w:rsidRPr="00E320BC">
        <w:rPr>
          <w:rFonts w:ascii="Calibri" w:eastAsia="Candara" w:hAnsi="Calibri" w:cs="Times New Roman"/>
          <w:b/>
        </w:rPr>
        <w:t xml:space="preserve">w 2019 roku wyniosło -179 osób (-6,51 na 1000 mieszkańców). </w:t>
      </w:r>
      <w:r w:rsidR="00ED7675">
        <w:rPr>
          <w:rFonts w:ascii="Candara" w:eastAsia="Candara" w:hAnsi="Candara" w:cs="Candara"/>
        </w:rPr>
        <w:t>W </w:t>
      </w:r>
      <w:r w:rsidRPr="00E320BC">
        <w:rPr>
          <w:rFonts w:ascii="Candara" w:eastAsia="Candara" w:hAnsi="Candara" w:cs="Candara"/>
        </w:rPr>
        <w:t xml:space="preserve">porównaniu do obszarów funkcjonalnych grupy porównawczej HOF osiągał najwyższe i dużo większe wartości ujemnego salda migracji na 1000 osób. Średnia z analizowanego okresu czasu dla HOF wyniosła -6,3, a dla grupy porównawczej -2,55. </w:t>
      </w:r>
      <w:r w:rsidRPr="00E320BC">
        <w:rPr>
          <w:rFonts w:ascii="Calibri" w:eastAsia="Candara" w:hAnsi="Calibri" w:cs="Times New Roman"/>
          <w:b/>
        </w:rPr>
        <w:t>Generalnie w granicach HOF większy ruch migracyjny notowany jest na obszarze miejskim.</w:t>
      </w:r>
      <w:r w:rsidR="0068799A" w:rsidRPr="00E320BC">
        <w:rPr>
          <w:rFonts w:ascii="Calibri" w:eastAsia="Candara" w:hAnsi="Calibri" w:cs="Times New Roman"/>
        </w:rPr>
        <w:t xml:space="preserve"> Do miasta migrują głównie mieszkańcy z pobliskich gmin wiejskich</w:t>
      </w:r>
      <w:r w:rsidR="00ED7675">
        <w:rPr>
          <w:rFonts w:ascii="Calibri" w:eastAsia="Candara" w:hAnsi="Calibri" w:cs="Times New Roman"/>
        </w:rPr>
        <w:t>,</w:t>
      </w:r>
      <w:r w:rsidRPr="00E320BC">
        <w:rPr>
          <w:rFonts w:ascii="Calibri" w:eastAsia="Candara" w:hAnsi="Calibri" w:cs="Times New Roman"/>
        </w:rPr>
        <w:t xml:space="preserve"> zaś największy odpływ obserwuje się wśród ludzi młodych, którzy najczęściej opuszczają HOF w celach edukacyjnych lub zarobkowych i zazwyczaj do swego rodzinnego miasta na stałe już nie wracają. Powodem takich decyzji jest głównie brak realnych perspektyw na znalezienie atrakcyjnej pracy czy też chęć osiedlenia się w większym ośrodku miejskim – oferującym </w:t>
      </w:r>
      <w:proofErr w:type="gramStart"/>
      <w:r w:rsidRPr="00E320BC">
        <w:rPr>
          <w:rFonts w:ascii="Calibri" w:eastAsia="Candara" w:hAnsi="Calibri" w:cs="Times New Roman"/>
        </w:rPr>
        <w:t>lepszą jakość</w:t>
      </w:r>
      <w:proofErr w:type="gramEnd"/>
      <w:r w:rsidRPr="00E320BC">
        <w:rPr>
          <w:rFonts w:ascii="Calibri" w:eastAsia="Candara" w:hAnsi="Calibri" w:cs="Times New Roman"/>
        </w:rPr>
        <w:t xml:space="preserve"> życia i dającym większe szanse na rozwój zawodowy i osobisty. Inne powody to stygmatyzacja pochodzenia, brak działań integrujących ze strony miasta i kreowania realnych zachęt do powrotu młodych ludzi.</w:t>
      </w:r>
      <w:r w:rsidR="0068799A">
        <w:rPr>
          <w:rFonts w:ascii="Calibri" w:eastAsia="Candara" w:hAnsi="Calibri" w:cs="Times New Roman"/>
        </w:rPr>
        <w:t xml:space="preserve"> Notowany jest również ruch migracyjny mieszkańców Miasta w kierunku obszarów wiejskich, głównie na obszar sołectw położonych w pobliżu granic administracyjnych miasta. Mieszkańcy szukają „spokojnego” miejsca do osiedlania się, w obecnej dobie zmotoryzowania granice administracyjne nie są już mocno zauważalne w życiu codziennym.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Pod względem struktury płci w HOF przeważają kobiety. </w:t>
      </w:r>
      <w:r w:rsidRPr="00E320BC">
        <w:rPr>
          <w:rFonts w:ascii="Calibri" w:eastAsia="Candara" w:hAnsi="Calibri" w:cs="Times New Roman"/>
          <w:b/>
        </w:rPr>
        <w:t>Współczynnik feminizacji (liczba kobiet przypadająca na 100 mężczyzn) w 2019 roku wyniósł 106,6,</w:t>
      </w:r>
      <w:r w:rsidRPr="00E320BC">
        <w:rPr>
          <w:rFonts w:ascii="Calibri" w:eastAsia="Candara" w:hAnsi="Calibri" w:cs="Times New Roman"/>
        </w:rPr>
        <w:t xml:space="preserve"> natomiast współczynnik maskulinizacji (liczba mężczyzn przypadająca na 100 kobiet) wyniósł 93,8. </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b/>
        </w:rPr>
        <w:lastRenderedPageBreak/>
        <w:t xml:space="preserve">Struktura wiekowa w Hrubieszowskim Obszarze Funkcjonalnym zdominowana jest przez osoby między 55 a 74 rokiem </w:t>
      </w:r>
      <w:r w:rsidR="00334AE6" w:rsidRPr="00E320BC">
        <w:rPr>
          <w:rFonts w:ascii="Calibri" w:eastAsia="Candara" w:hAnsi="Calibri" w:cs="Times New Roman"/>
          <w:b/>
        </w:rPr>
        <w:t>życia</w:t>
      </w:r>
      <w:r w:rsidR="00272E86">
        <w:rPr>
          <w:rFonts w:ascii="Calibri" w:eastAsia="Candara" w:hAnsi="Calibri" w:cs="Times New Roman"/>
          <w:b/>
        </w:rPr>
        <w:t xml:space="preserve"> (26,36% wszystkich mieszkańców)</w:t>
      </w:r>
      <w:r w:rsidR="00334AE6" w:rsidRPr="00E320BC">
        <w:rPr>
          <w:rFonts w:ascii="Calibri" w:eastAsia="Candara" w:hAnsi="Calibri" w:cs="Times New Roman"/>
          <w:b/>
        </w:rPr>
        <w:t>.</w:t>
      </w:r>
      <w:r w:rsidRPr="00E320BC">
        <w:rPr>
          <w:rFonts w:ascii="Calibri" w:eastAsia="Candara" w:hAnsi="Calibri" w:cs="Times New Roman"/>
        </w:rPr>
        <w:t xml:space="preserve"> Drugą liczną grupę stanowią mieszkańcy między 35 a 49 rokiem życia </w:t>
      </w:r>
      <w:r w:rsidR="00272E86">
        <w:rPr>
          <w:rFonts w:ascii="Calibri" w:eastAsia="Candara" w:hAnsi="Calibri" w:cs="Times New Roman"/>
        </w:rPr>
        <w:t xml:space="preserve">(22,38%) </w:t>
      </w:r>
      <w:r w:rsidRPr="00E320BC">
        <w:rPr>
          <w:rFonts w:ascii="Calibri" w:eastAsia="Candara" w:hAnsi="Calibri" w:cs="Times New Roman"/>
        </w:rPr>
        <w:t>oraz między 25 a 29 rokiem życia</w:t>
      </w:r>
      <w:r w:rsidR="00272E86">
        <w:rPr>
          <w:rFonts w:ascii="Calibri" w:eastAsia="Candara" w:hAnsi="Calibri" w:cs="Times New Roman"/>
        </w:rPr>
        <w:t xml:space="preserve"> (6,91%)</w:t>
      </w:r>
      <w:r w:rsidR="00ED7675">
        <w:rPr>
          <w:rFonts w:ascii="Calibri" w:eastAsia="Candara" w:hAnsi="Calibri" w:cs="Times New Roman"/>
        </w:rPr>
        <w:t>. W </w:t>
      </w:r>
      <w:r w:rsidRPr="00E320BC">
        <w:rPr>
          <w:rFonts w:ascii="Calibri" w:eastAsia="Candara" w:hAnsi="Calibri" w:cs="Times New Roman"/>
        </w:rPr>
        <w:t xml:space="preserve">grupach wiekowych 30-39 widoczna jest znacząca przewaga mężczyzn nad kobietami, ale sytuacja odwraca się już od momentu osiągnięcia 55 lat, kiedy to w strukturze wieku wyraźnie zaczynają przeważać kobiety nad </w:t>
      </w:r>
      <w:r w:rsidR="00334AE6" w:rsidRPr="00E320BC">
        <w:rPr>
          <w:rFonts w:ascii="Calibri" w:eastAsia="Candara" w:hAnsi="Calibri" w:cs="Times New Roman"/>
        </w:rPr>
        <w:t>m</w:t>
      </w:r>
      <w:r w:rsidR="00272E86">
        <w:rPr>
          <w:rFonts w:ascii="Calibri" w:eastAsia="Candara" w:hAnsi="Calibri" w:cs="Times New Roman"/>
        </w:rPr>
        <w:t>ężczyznami, co spowodowane jest większą liczbą zgonów mężczyzn</w:t>
      </w:r>
      <w:r w:rsidR="00C8061C">
        <w:rPr>
          <w:rFonts w:ascii="Calibri" w:eastAsia="Candara" w:hAnsi="Calibri" w:cs="Times New Roman"/>
        </w:rPr>
        <w:t xml:space="preserve"> po osiągnięciu tego wieku, niż</w:t>
      </w:r>
      <w:r w:rsidR="00272E86">
        <w:rPr>
          <w:rFonts w:ascii="Calibri" w:eastAsia="Candara" w:hAnsi="Calibri" w:cs="Times New Roman"/>
        </w:rPr>
        <w:t xml:space="preserve"> kobiet.</w:t>
      </w:r>
      <w:r w:rsidR="00334AE6" w:rsidRPr="00E320BC">
        <w:rPr>
          <w:rFonts w:ascii="Calibri" w:eastAsia="Candara" w:hAnsi="Calibri" w:cs="Times New Roman"/>
        </w:rPr>
        <w:t xml:space="preserve"> </w:t>
      </w:r>
      <w:r w:rsidRPr="00E320BC">
        <w:rPr>
          <w:rFonts w:ascii="Calibri" w:eastAsia="Candara" w:hAnsi="Calibri" w:cs="Times New Roman"/>
          <w:b/>
        </w:rPr>
        <w:t xml:space="preserve">Podstawa piramidy zwęża się, co </w:t>
      </w:r>
      <w:r w:rsidR="00E42628">
        <w:rPr>
          <w:rFonts w:ascii="Calibri" w:eastAsia="Candara" w:hAnsi="Calibri" w:cs="Times New Roman"/>
          <w:b/>
        </w:rPr>
        <w:t>oznacza coraz mniejszy udział w </w:t>
      </w:r>
      <w:r w:rsidRPr="00E320BC">
        <w:rPr>
          <w:rFonts w:ascii="Calibri" w:eastAsia="Candara" w:hAnsi="Calibri" w:cs="Times New Roman"/>
          <w:b/>
        </w:rPr>
        <w:t>populacji młodzieży poniżej 24 roku życia oraz dzieci. Obrazuje to proces starzenia się społeczeństwa, co przekłada się na wzrost współczynnika obciążenia demograficznego. Wartość tego wskaźnika dla HOF od 2014 roku systematycznie rosła i w 2019 roku wyniosła 65,37 -</w:t>
      </w:r>
      <w:r w:rsidRPr="00E320BC">
        <w:rPr>
          <w:rFonts w:ascii="Calibri" w:eastAsia="Candara" w:hAnsi="Calibri" w:cs="Times New Roman"/>
        </w:rPr>
        <w:t xml:space="preserve"> prezentowała się minimalnie lepiej w porównaniu do wartości ww. wskaźnika dla powiatu hrubieszowskiego, który wynosił 65,8 (województwo lubelskie – 66,5).</w:t>
      </w:r>
      <w:r w:rsidRPr="00E320BC">
        <w:rPr>
          <w:rFonts w:ascii="Calibri" w:eastAsia="Candara" w:hAnsi="Calibri" w:cs="Times New Roman"/>
          <w:b/>
        </w:rPr>
        <w:t xml:space="preserve"> </w:t>
      </w:r>
    </w:p>
    <w:p w:rsidR="00E320BC" w:rsidRPr="00E320BC" w:rsidRDefault="00E320BC" w:rsidP="00E320BC">
      <w:pPr>
        <w:keepNext/>
        <w:spacing w:after="0" w:line="240" w:lineRule="auto"/>
        <w:ind w:firstLine="357"/>
        <w:rPr>
          <w:rFonts w:ascii="Calibri" w:eastAsia="Candara" w:hAnsi="Calibri" w:cs="Times New Roman"/>
          <w:b/>
          <w:bCs/>
          <w:color w:val="31B6FD"/>
          <w:sz w:val="18"/>
          <w:szCs w:val="18"/>
        </w:rPr>
      </w:pPr>
      <w:bookmarkStart w:id="11" w:name="_Toc138068611"/>
      <w:r w:rsidRPr="00E320BC">
        <w:rPr>
          <w:rFonts w:ascii="Calibri" w:eastAsia="Candara" w:hAnsi="Calibri" w:cs="Times New Roman"/>
          <w:b/>
          <w:bCs/>
          <w:color w:val="31B6FD"/>
          <w:sz w:val="18"/>
          <w:szCs w:val="18"/>
        </w:rPr>
        <w:t xml:space="preserve">Wykres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Wykres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3</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Ludność według płci i wieku w HOF w 2019 roku</w:t>
      </w:r>
      <w:bookmarkEnd w:id="11"/>
    </w:p>
    <w:p w:rsidR="00E320BC" w:rsidRPr="00E320BC" w:rsidRDefault="00E320BC" w:rsidP="00ED7675">
      <w:pPr>
        <w:spacing w:after="0"/>
        <w:ind w:firstLine="0"/>
        <w:jc w:val="center"/>
        <w:rPr>
          <w:rFonts w:ascii="Calibri" w:eastAsia="Candara" w:hAnsi="Calibri" w:cs="Times New Roman"/>
        </w:rPr>
      </w:pPr>
      <w:r w:rsidRPr="00E320BC">
        <w:rPr>
          <w:rFonts w:ascii="Calibri" w:eastAsia="Candara" w:hAnsi="Calibri" w:cs="Times New Roman"/>
          <w:noProof/>
          <w:lang w:eastAsia="pl-PL"/>
        </w:rPr>
        <w:drawing>
          <wp:inline distT="0" distB="0" distL="0" distR="0" wp14:anchorId="6D917F9C" wp14:editId="01D96ED3">
            <wp:extent cx="4814455" cy="3061257"/>
            <wp:effectExtent l="0" t="0" r="5715" b="635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20281" cy="3064961"/>
                    </a:xfrm>
                    <a:prstGeom prst="rect">
                      <a:avLst/>
                    </a:prstGeom>
                    <a:noFill/>
                  </pic:spPr>
                </pic:pic>
              </a:graphicData>
            </a:graphic>
          </wp:inline>
        </w:drawing>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i/>
          <w:sz w:val="18"/>
          <w:szCs w:val="18"/>
        </w:rPr>
        <w:t>Źródło: Opracowanie własne na podstawie BDL GUS</w:t>
      </w:r>
    </w:p>
    <w:p w:rsidR="00CE1D8D" w:rsidRDefault="00CE1D8D" w:rsidP="00E320BC">
      <w:pPr>
        <w:spacing w:after="0"/>
        <w:ind w:firstLine="357"/>
        <w:rPr>
          <w:rFonts w:ascii="Calibri" w:eastAsia="Candara" w:hAnsi="Calibri" w:cs="Times New Roman"/>
        </w:rPr>
      </w:pP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Jak wcześniej zobrazowano w piramidzie wieku </w:t>
      </w:r>
      <w:r w:rsidRPr="00E320BC">
        <w:rPr>
          <w:rFonts w:ascii="Calibri" w:eastAsia="Candara" w:hAnsi="Calibri" w:cs="Times New Roman"/>
          <w:b/>
        </w:rPr>
        <w:t>największą grupę mieszkańców HOF tworzą osoby w wieku produkcyjnym</w:t>
      </w:r>
      <w:r w:rsidRPr="00E320BC">
        <w:rPr>
          <w:rFonts w:ascii="Calibri" w:eastAsia="Candara" w:hAnsi="Calibri" w:cs="Times New Roman"/>
          <w:b/>
          <w:vertAlign w:val="superscript"/>
        </w:rPr>
        <w:footnoteReference w:id="3"/>
      </w:r>
      <w:r w:rsidRPr="00E320BC">
        <w:rPr>
          <w:rFonts w:ascii="Calibri" w:eastAsia="Candara" w:hAnsi="Calibri" w:cs="Times New Roman"/>
          <w:b/>
        </w:rPr>
        <w:t>: 16 634 osoby</w:t>
      </w:r>
      <w:r w:rsidRPr="00E320BC">
        <w:rPr>
          <w:rFonts w:ascii="Calibri" w:eastAsia="Candara" w:hAnsi="Calibri" w:cs="Times New Roman"/>
        </w:rPr>
        <w:t xml:space="preserve"> </w:t>
      </w:r>
      <w:r w:rsidRPr="00E320BC">
        <w:rPr>
          <w:rFonts w:ascii="Calibri" w:eastAsia="Candara" w:hAnsi="Calibri" w:cs="Times New Roman"/>
          <w:b/>
        </w:rPr>
        <w:t xml:space="preserve">(60,47% mieszkańców </w:t>
      </w:r>
      <w:proofErr w:type="gramStart"/>
      <w:r w:rsidRPr="00E320BC">
        <w:rPr>
          <w:rFonts w:ascii="Calibri" w:eastAsia="Candara" w:hAnsi="Calibri" w:cs="Times New Roman"/>
          <w:b/>
        </w:rPr>
        <w:t xml:space="preserve">HOF). </w:t>
      </w:r>
      <w:proofErr w:type="gramEnd"/>
      <w:r w:rsidRPr="00E320BC">
        <w:rPr>
          <w:rFonts w:ascii="Calibri" w:eastAsia="Candara" w:hAnsi="Calibri" w:cs="Times New Roman"/>
        </w:rPr>
        <w:t>Odsetek osób w wieku przedprodukcyjnym w 2019 roku wyniósł 16,11% (4 431 osób), natomiast w wieku poprodukcyjnym było 23,42% (6 443 osoby).</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Prognoza liczby ludności</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Według prognozy ludności gmin na latach 2017-2030 GUS przewiduje się, </w:t>
      </w:r>
      <w:r w:rsidRPr="00E320BC">
        <w:rPr>
          <w:rFonts w:ascii="Calibri" w:eastAsia="Candara" w:hAnsi="Calibri" w:cs="Times New Roman"/>
          <w:b/>
        </w:rPr>
        <w:t>że do roku 2030 liczba ludności HOF stale będzie się zmniejszać, przy czym tempo tego spadku będzie stale przyspieszać</w:t>
      </w:r>
      <w:r w:rsidRPr="00E320BC">
        <w:rPr>
          <w:rFonts w:ascii="Calibri" w:eastAsia="Candara" w:hAnsi="Calibri" w:cs="Times New Roman"/>
        </w:rPr>
        <w:t xml:space="preserve">. </w:t>
      </w:r>
      <w:r w:rsidRPr="00E320BC">
        <w:rPr>
          <w:rFonts w:ascii="Calibri" w:eastAsia="Candara" w:hAnsi="Calibri" w:cs="Times New Roman"/>
          <w:b/>
        </w:rPr>
        <w:t xml:space="preserve">Szacowana liczba ludności na terenie HOF w 2030 roku to 24 938 </w:t>
      </w:r>
      <w:r w:rsidRPr="00E320BC">
        <w:rPr>
          <w:rFonts w:ascii="Calibri" w:eastAsia="Candara" w:hAnsi="Calibri" w:cs="Times New Roman"/>
        </w:rPr>
        <w:t>w tym 51% stanowią kobiety.</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lastRenderedPageBreak/>
        <w:t xml:space="preserve">Analizując dane z prognozy liczby ludności HOF do 2030 roku widać, że </w:t>
      </w:r>
      <w:r w:rsidRPr="00E320BC">
        <w:rPr>
          <w:rFonts w:ascii="Calibri" w:eastAsia="Candara" w:hAnsi="Calibri" w:cs="Times New Roman"/>
          <w:b/>
        </w:rPr>
        <w:t>osoby w wieku produkcyjnym w ciągu dalszym będą stanowić największą grupę</w:t>
      </w:r>
      <w:r w:rsidRPr="00E320BC">
        <w:rPr>
          <w:rFonts w:ascii="Calibri" w:eastAsia="Candara" w:hAnsi="Calibri" w:cs="Times New Roman"/>
        </w:rPr>
        <w:t xml:space="preserve"> w Hrubieszowskim Obszarze Funkcjonalnym, jednakże w porównaniu z rokiem bazowym (2016) ich </w:t>
      </w:r>
      <w:r w:rsidRPr="00E320BC">
        <w:rPr>
          <w:rFonts w:ascii="Calibri" w:eastAsia="Candara" w:hAnsi="Calibri" w:cs="Times New Roman"/>
          <w:b/>
        </w:rPr>
        <w:t>liczba zmniejszy się o 3 617 osób, a przewidywane tempo zmian wynosi -20,58%.</w:t>
      </w:r>
      <w:r w:rsidRPr="00E320BC">
        <w:rPr>
          <w:rFonts w:ascii="Calibri" w:eastAsia="Candara" w:hAnsi="Calibri" w:cs="Times New Roman"/>
        </w:rPr>
        <w:t xml:space="preserve"> Jednocześnie zauważalny jest znaczący wzrost udziału ludności w wieku poprodukcyjnym (tempo zmian według ekspertyzy wynosi 22,86%) przy równoczesnym spadku ludności w wieku przedprodukcyjnym. </w:t>
      </w:r>
    </w:p>
    <w:p w:rsidR="00E320BC" w:rsidRPr="00E320BC" w:rsidRDefault="00E320BC" w:rsidP="00E320BC">
      <w:pPr>
        <w:keepNext/>
        <w:spacing w:after="0" w:line="240" w:lineRule="auto"/>
        <w:ind w:firstLine="357"/>
        <w:rPr>
          <w:rFonts w:ascii="Calibri" w:eastAsia="Candara" w:hAnsi="Calibri" w:cs="Times New Roman"/>
          <w:b/>
          <w:bCs/>
          <w:color w:val="31B6FD"/>
          <w:sz w:val="18"/>
          <w:szCs w:val="18"/>
        </w:rPr>
      </w:pPr>
      <w:bookmarkStart w:id="12" w:name="_Toc138068612"/>
      <w:r w:rsidRPr="00E320BC">
        <w:rPr>
          <w:rFonts w:ascii="Calibri" w:eastAsia="Candara" w:hAnsi="Calibri" w:cs="Times New Roman"/>
          <w:b/>
          <w:bCs/>
          <w:color w:val="31B6FD"/>
          <w:sz w:val="18"/>
          <w:szCs w:val="18"/>
        </w:rPr>
        <w:t xml:space="preserve">Wykres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Wykres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4</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Prognoza liczby ludności Hrubieszowskiego Obszaru Funkcjonalnego do roku 2030</w:t>
      </w:r>
      <w:bookmarkEnd w:id="12"/>
    </w:p>
    <w:p w:rsidR="00E320BC" w:rsidRPr="00E320BC" w:rsidRDefault="00E320BC" w:rsidP="00ED7675">
      <w:pPr>
        <w:spacing w:after="0"/>
        <w:ind w:firstLine="0"/>
        <w:rPr>
          <w:rFonts w:ascii="Calibri" w:eastAsia="Candara" w:hAnsi="Calibri" w:cs="Times New Roman"/>
        </w:rPr>
      </w:pPr>
      <w:r w:rsidRPr="00E320BC">
        <w:rPr>
          <w:rFonts w:ascii="Calibri" w:eastAsia="Candara" w:hAnsi="Calibri" w:cs="Times New Roman"/>
          <w:noProof/>
          <w:lang w:eastAsia="pl-PL"/>
        </w:rPr>
        <w:drawing>
          <wp:inline distT="0" distB="0" distL="0" distR="0" wp14:anchorId="0D7D3E64" wp14:editId="18CF3C7A">
            <wp:extent cx="5654685" cy="2087602"/>
            <wp:effectExtent l="0" t="0" r="3175" b="825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60022" cy="2089572"/>
                    </a:xfrm>
                    <a:prstGeom prst="rect">
                      <a:avLst/>
                    </a:prstGeom>
                    <a:noFill/>
                  </pic:spPr>
                </pic:pic>
              </a:graphicData>
            </a:graphic>
          </wp:inline>
        </w:drawing>
      </w:r>
    </w:p>
    <w:p w:rsidR="00E320BC" w:rsidRPr="00E320BC" w:rsidRDefault="00E320BC" w:rsidP="00E320BC">
      <w:pPr>
        <w:spacing w:after="0"/>
        <w:ind w:firstLine="357"/>
        <w:rPr>
          <w:rFonts w:ascii="Calibri" w:eastAsia="Candara" w:hAnsi="Calibri" w:cs="Times New Roman"/>
          <w:i/>
          <w:sz w:val="18"/>
          <w:szCs w:val="18"/>
        </w:rPr>
      </w:pPr>
      <w:r w:rsidRPr="00E320BC">
        <w:rPr>
          <w:rFonts w:ascii="Calibri" w:eastAsia="Candara" w:hAnsi="Calibri" w:cs="Times New Roman"/>
          <w:i/>
          <w:sz w:val="18"/>
          <w:szCs w:val="18"/>
        </w:rPr>
        <w:t>Źródło: Opracowanie własne na podstawie GUS</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W 2030 roku współczynnik przyrostu naturalnego na terenie HOF szacowany jest na poziomie poniżej -5</w:t>
      </w:r>
      <w:r w:rsidRPr="00E320BC">
        <w:rPr>
          <w:rFonts w:ascii="Calibri" w:eastAsia="Candara" w:hAnsi="Calibri" w:cs="Candara"/>
        </w:rPr>
        <w:t>‰</w:t>
      </w:r>
      <w:r w:rsidRPr="00E320BC">
        <w:rPr>
          <w:rFonts w:ascii="Calibri" w:eastAsia="Candara" w:hAnsi="Calibri" w:cs="Times New Roman"/>
        </w:rPr>
        <w:t xml:space="preserve"> i zaliczany jest do obszarów o szczególnie niski przyroście naturalnym na obszarze Polski. Dla obszaru miasta współczynnik przyjmuje większe wartości niż przewidywany dla obszaru Gminy Hrubieszów. Saldo migracji wewnętrznych i zagranicznych w 2030 roku na obszarze HOF przyjmie wartości na poziomie poniżej -3</w:t>
      </w:r>
      <w:r w:rsidRPr="00E320BC">
        <w:rPr>
          <w:rFonts w:ascii="Calibri" w:eastAsia="Candara" w:hAnsi="Calibri" w:cs="Candara"/>
        </w:rPr>
        <w:t>‰</w:t>
      </w:r>
      <w:r w:rsidRPr="00E320BC">
        <w:rPr>
          <w:rFonts w:ascii="Calibri" w:eastAsia="Candara" w:hAnsi="Calibri" w:cs="Times New Roman"/>
        </w:rPr>
        <w:t>. Oznacza to, iż obszar zagrożony jest odpływem ludności, a w szczególności osób w wieku produkcyjnym.</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Sytuacja ta przełoży się w kolejnych latach na dalszy wzrost współczynnika obciążenia demograficznego. Oznacza to, że </w:t>
      </w:r>
      <w:r w:rsidRPr="00E320BC">
        <w:rPr>
          <w:rFonts w:ascii="Calibri" w:eastAsia="Candara" w:hAnsi="Calibri" w:cs="Times New Roman"/>
          <w:b/>
        </w:rPr>
        <w:t>poziom dochodów gmin HOF (z podatku PIT od osób pracujących) ulegnie spadkowi i należy przypuszczać, że będzie się charakteryzować dalszym spadkiem</w:t>
      </w:r>
      <w:r w:rsidRPr="00E320BC">
        <w:rPr>
          <w:rFonts w:ascii="Calibri" w:eastAsia="Candara" w:hAnsi="Calibri" w:cs="Times New Roman"/>
        </w:rPr>
        <w:t>. W przedziale wieku 5-14, a więc istotnego z punktu widzenia edukacji przedszkolnej i podstawowej prognozuje się dalszy spadek, co może mieć istotny wpływ na rozwój tej infrastruktury w HOF. Koncentracja negatywnych procesów demograficznych jest cechą charakterystyczną terenów zaliczonych do Żywicielskiego OSI.</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Mieszkalnictwo</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Według danych GUS, na koniec 2019 roku </w:t>
      </w:r>
      <w:r w:rsidRPr="00E320BC">
        <w:rPr>
          <w:rFonts w:ascii="Calibri" w:eastAsia="Candara" w:hAnsi="Calibri" w:cs="Times New Roman"/>
          <w:b/>
        </w:rPr>
        <w:t>w granicach HOF znajdowało się 5 748 budynków mieszkalnych</w:t>
      </w:r>
      <w:r w:rsidRPr="00E320BC">
        <w:rPr>
          <w:rFonts w:ascii="Calibri" w:eastAsia="Candara" w:hAnsi="Calibri" w:cs="Times New Roman"/>
        </w:rPr>
        <w:t xml:space="preserve"> (44,85 % w mieście), </w:t>
      </w:r>
      <w:r w:rsidRPr="00E320BC">
        <w:rPr>
          <w:rFonts w:ascii="Calibri" w:eastAsia="Candara" w:hAnsi="Calibri" w:cs="Times New Roman"/>
          <w:b/>
        </w:rPr>
        <w:t>w których funkcjonowało łącznie 10 038 mieszkań</w:t>
      </w:r>
      <w:r w:rsidRPr="00E320BC">
        <w:rPr>
          <w:rFonts w:ascii="Calibri" w:eastAsia="Candara" w:hAnsi="Calibri" w:cs="Times New Roman"/>
        </w:rPr>
        <w:t xml:space="preserve"> (66,68% w mieście). </w:t>
      </w:r>
      <w:r w:rsidRPr="00E320BC">
        <w:rPr>
          <w:rFonts w:ascii="Calibri" w:eastAsia="Candara" w:hAnsi="Calibri" w:cs="Times New Roman"/>
          <w:b/>
        </w:rPr>
        <w:t>Tym samym liczba budynków mieszkalnych przypadających na 1000 mieszkańców kształtowała się na poziomie 208,96</w:t>
      </w:r>
      <w:r w:rsidRPr="00E320BC">
        <w:rPr>
          <w:rFonts w:ascii="Calibri" w:eastAsia="Candara" w:hAnsi="Calibri" w:cs="Times New Roman"/>
        </w:rPr>
        <w:t xml:space="preserve"> przy średniej dla grupy porównawczej 234,84 i powiatu hrubieszowskiego 261,79, natomiast </w:t>
      </w:r>
      <w:r w:rsidRPr="00E320BC">
        <w:rPr>
          <w:rFonts w:ascii="Calibri" w:eastAsia="Candara" w:hAnsi="Calibri" w:cs="Times New Roman"/>
          <w:b/>
        </w:rPr>
        <w:t>liczba mieszkań przypadających na 1000 mieszkańców osiągnęła wartość 364,91</w:t>
      </w:r>
      <w:r w:rsidRPr="00E320BC">
        <w:rPr>
          <w:rFonts w:ascii="Calibri" w:eastAsia="Candara" w:hAnsi="Calibri" w:cs="Times New Roman"/>
        </w:rPr>
        <w:t xml:space="preserve"> przy średniej dla grupy porównawczej 373,47 i powiatu hrubieszowskiego 366,33. Wskaźnik ten jest nieco niższy niż w przypadku MOF z grupy porównawczej i wskazuje na generalnie gorszą sytuację mieszkańców HOF w dostępie do zasobów mieszkalnych.</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lastRenderedPageBreak/>
        <w:t>Liczba mieszkań na przestrzeni lat 2014-2019 zwiększyła się o 1,67%, natomiast powierzchnia użytkowa wzrosła o 2,8%. Na tle grupy porównawczej HOF charakteryzuje się najmniejszym przyrostem procentowym lokali mieszkaniowych, choć nie jest to znaczna różnica.</w:t>
      </w:r>
    </w:p>
    <w:p w:rsidR="00D163C3" w:rsidRPr="00E320BC" w:rsidRDefault="00E320BC" w:rsidP="00D163C3">
      <w:pPr>
        <w:spacing w:after="0"/>
        <w:ind w:firstLine="357"/>
        <w:rPr>
          <w:rFonts w:ascii="Calibri" w:eastAsia="Candara" w:hAnsi="Calibri" w:cs="Times New Roman"/>
        </w:rPr>
      </w:pPr>
      <w:r w:rsidRPr="00E320BC">
        <w:rPr>
          <w:rFonts w:ascii="Calibri" w:eastAsia="Candara" w:hAnsi="Calibri" w:cs="Times New Roman"/>
        </w:rPr>
        <w:t>Wskaźnik powierzchni mieszkaniowej przypadającej na jednego mieszkańca dla HOF w 2019 r. wyniósł 26,9 m</w:t>
      </w:r>
      <w:r w:rsidRPr="00E320BC">
        <w:rPr>
          <w:rFonts w:ascii="Calibri" w:eastAsia="Candara" w:hAnsi="Calibri" w:cs="Candara"/>
        </w:rPr>
        <w:t>²</w:t>
      </w:r>
      <w:r w:rsidRPr="00E320BC">
        <w:rPr>
          <w:rFonts w:ascii="Calibri" w:eastAsia="Candara" w:hAnsi="Calibri" w:cs="Times New Roman"/>
        </w:rPr>
        <w:t xml:space="preserve"> i wzrósł w porównaniu do 2009 roku o 1,9 m</w:t>
      </w:r>
      <w:r w:rsidRPr="00E320BC">
        <w:rPr>
          <w:rFonts w:ascii="Calibri" w:eastAsia="Candara" w:hAnsi="Calibri" w:cs="Candara"/>
        </w:rPr>
        <w:t>²</w:t>
      </w:r>
      <w:r w:rsidRPr="00E320BC">
        <w:rPr>
          <w:rFonts w:ascii="Calibri" w:eastAsia="Candara" w:hAnsi="Calibri" w:cs="Times New Roman"/>
        </w:rPr>
        <w:t xml:space="preserve">/osobę. Wskaźnik przeciętnej liczby osób zamieszkujących jedno mieszkanie dla HOF w 2019 roku wyniósł 2,7 osoby i spadł o 0,2 w porównaniu do roku 2014, natomiast wskaźnik przeciętnej powierzchni użytkowej 1 mieszkania w 2019 roku wynosił 73,66 i wzrósł w </w:t>
      </w:r>
      <w:r w:rsidR="00D163C3">
        <w:rPr>
          <w:rFonts w:ascii="Calibri" w:eastAsia="Candara" w:hAnsi="Calibri" w:cs="Times New Roman"/>
        </w:rPr>
        <w:t>porównaniu do 2014 roku o 0,81.</w:t>
      </w:r>
      <w:r w:rsidR="00D163C3" w:rsidRPr="00E320BC">
        <w:rPr>
          <w:rFonts w:ascii="Calibri" w:eastAsia="Candara" w:hAnsi="Calibri" w:cs="Times New Roman"/>
        </w:rPr>
        <w:t xml:space="preserve"> </w:t>
      </w:r>
      <w:r w:rsidR="00D163C3" w:rsidRPr="00E320BC">
        <w:rPr>
          <w:rFonts w:ascii="Calibri" w:eastAsia="Candara" w:hAnsi="Calibri" w:cs="Times New Roman"/>
          <w:b/>
        </w:rPr>
        <w:t>Wskaźniki te pokazują, że sytuacja mieszkaniowa przeciętnego mieszkańca HOF poprawia się.</w:t>
      </w:r>
      <w:r w:rsidR="00272E86">
        <w:rPr>
          <w:rFonts w:ascii="Calibri" w:eastAsia="Candara" w:hAnsi="Calibri" w:cs="Times New Roman"/>
          <w:b/>
        </w:rPr>
        <w:t xml:space="preserve"> </w:t>
      </w:r>
      <w:r w:rsidR="00272E86" w:rsidRPr="00272E86">
        <w:rPr>
          <w:rFonts w:ascii="Calibri" w:eastAsia="Candara" w:hAnsi="Calibri" w:cs="Times New Roman"/>
        </w:rPr>
        <w:t>Trzeba mieć na uwadze, że na wzrost wskaźnika wpływa również spadek liczby mieszkańców HOF.</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Stan wyposażenia mieszkań w instalacje techniczno-sanitarne jest na dobrym poziomie.</w:t>
      </w:r>
      <w:r w:rsidRPr="00E320BC">
        <w:rPr>
          <w:rFonts w:ascii="Calibri" w:eastAsia="Candara" w:hAnsi="Calibri" w:cs="Times New Roman"/>
        </w:rPr>
        <w:t xml:space="preserve"> Dostęp do sieci wodociągowej w HOF w 2019 roku miało 90,61% mieszkań, łazienkę posiadało 84,56% mieszkań, </w:t>
      </w:r>
      <w:r w:rsidR="00D163C3" w:rsidRPr="00E320BC">
        <w:rPr>
          <w:rFonts w:ascii="Calibri" w:eastAsia="Candara" w:hAnsi="Calibri" w:cs="Times New Roman"/>
        </w:rPr>
        <w:t>a centralne ogrzewanie 79,19% mieszkań w HOF.</w:t>
      </w:r>
      <w:r w:rsidRPr="00E320BC">
        <w:rPr>
          <w:rFonts w:ascii="Calibri" w:eastAsia="Candara" w:hAnsi="Calibri" w:cs="Times New Roman"/>
        </w:rPr>
        <w:t xml:space="preserve"> </w:t>
      </w:r>
      <w:r w:rsidRPr="00E320BC">
        <w:rPr>
          <w:rFonts w:ascii="Candara" w:eastAsia="Candara" w:hAnsi="Candara" w:cs="Candara"/>
        </w:rPr>
        <w:t>Są to wartości wyższe niż średnia dla województwa lubelskiego i powiatu hrubieszowskiego.</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W 2018 roku na terenie HOF znajdowały się 474 mieszkania komunalne oraz 145 lokali socjalnych. Ich stan oraz wyposażanie w instalacje techniczno-sanitarne jest oceniane na poziomie zadawalającym, jednak sam zasób ilościowo jest niewystarczający.</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Infrastruktura edukacyjna</w:t>
      </w:r>
    </w:p>
    <w:p w:rsidR="00E320BC" w:rsidRPr="00E320BC" w:rsidRDefault="00E320BC" w:rsidP="00E320BC">
      <w:pPr>
        <w:spacing w:after="0"/>
        <w:ind w:firstLine="357"/>
        <w:rPr>
          <w:rFonts w:ascii="Cambria" w:eastAsia="Book Antiqua" w:hAnsi="Cambria" w:cs="Times New Roman"/>
          <w:b/>
        </w:rPr>
      </w:pPr>
      <w:r w:rsidRPr="00E320BC">
        <w:rPr>
          <w:rFonts w:ascii="Calibri" w:eastAsia="Candara" w:hAnsi="Calibri" w:cs="Times New Roman"/>
        </w:rPr>
        <w:t xml:space="preserve">Dostęp do edukacji spełnia jedną z najważniejszych ról zarówno dla jednostki jak i lokalnej społeczności. Możliwość uczestniczenia w nauczaniu, opiece, wychowaniu w instytucjach edukacyjnych, na poszczególnych szczeblach systemu oświaty daje szansę na rozwój mieszkańcom już od najwcześniejszych lat życia. Prawidłowo prowadzona edukacja może przyczynić się do walki z takimi zjawiskami społecznymi jak ubóstwo, wykluczenie społeczne, bezrobocie oraz problem niedostosowania kwalifikacji mieszkańców, co w dłuższej perspektywie czasowej bezpośrednio przełoży się na poprawę sytuacji społeczno-gospodarczej. </w:t>
      </w:r>
      <w:r w:rsidRPr="00E320BC">
        <w:rPr>
          <w:rFonts w:ascii="Calibri" w:eastAsia="Candara" w:hAnsi="Calibri" w:cs="Times New Roman"/>
          <w:b/>
        </w:rPr>
        <w:t>Istniejąca infrastruktura edukacyjna oferowana na terenie Hrubieszowskiego Obszaru Funkcjonalnego jest zadawalająca oraz spełnia podstawowe zapotrzebowanie</w:t>
      </w:r>
      <w:r w:rsidRPr="00E320BC">
        <w:rPr>
          <w:rFonts w:ascii="Cambria" w:eastAsia="Book Antiqua" w:hAnsi="Cambria" w:cs="Times New Roman"/>
          <w:b/>
        </w:rPr>
        <w:t xml:space="preserve">. </w:t>
      </w:r>
    </w:p>
    <w:p w:rsidR="008B3E3F" w:rsidRPr="005B2590" w:rsidRDefault="00E320BC" w:rsidP="00AF04F4">
      <w:pPr>
        <w:spacing w:after="0"/>
        <w:ind w:firstLine="357"/>
      </w:pPr>
      <w:r w:rsidRPr="005B2590">
        <w:rPr>
          <w:rFonts w:ascii="Calibri" w:eastAsia="Candara" w:hAnsi="Calibri" w:cs="Times New Roman"/>
        </w:rPr>
        <w:t xml:space="preserve">Na terenie HOF w roku szkolnym 2019/2020 funkcjonowało 21 podmiotów (przedszkola z filiami, oddziały i punkty przedszkolne) zaspokajających zapotrzebowanie w zakresie edukacji przedszkolnej. </w:t>
      </w:r>
      <w:r w:rsidR="009F33DD" w:rsidRPr="005B2590">
        <w:rPr>
          <w:rFonts w:ascii="Calibri" w:eastAsia="Candara" w:hAnsi="Calibri" w:cs="Times New Roman"/>
          <w:b/>
        </w:rPr>
        <w:t xml:space="preserve">W HOF wychowaniem przedszkolnym objęty jest wysoki odsetek dzieci (89,9% dzieci w wieku 3-6 lat). </w:t>
      </w:r>
      <w:r w:rsidRPr="005B2590">
        <w:rPr>
          <w:rFonts w:ascii="Calibri" w:eastAsia="Candara" w:hAnsi="Calibri" w:cs="Times New Roman"/>
          <w:b/>
        </w:rPr>
        <w:t xml:space="preserve"> </w:t>
      </w:r>
      <w:r w:rsidRPr="005B2590">
        <w:rPr>
          <w:rFonts w:ascii="Calibri" w:eastAsia="Candara" w:hAnsi="Calibri" w:cs="Times New Roman"/>
        </w:rPr>
        <w:t xml:space="preserve">W roku szkolnym 2019/2020 </w:t>
      </w:r>
      <w:r w:rsidRPr="005B2590">
        <w:rPr>
          <w:rFonts w:ascii="Calibri" w:eastAsia="Candara" w:hAnsi="Calibri" w:cs="Times New Roman"/>
          <w:b/>
        </w:rPr>
        <w:t>wszystkie chętne osoby miały zapewnioną możliwość korzysta</w:t>
      </w:r>
      <w:r w:rsidR="00405114" w:rsidRPr="005B2590">
        <w:rPr>
          <w:rFonts w:ascii="Calibri" w:eastAsia="Candara" w:hAnsi="Calibri" w:cs="Times New Roman"/>
          <w:b/>
        </w:rPr>
        <w:t xml:space="preserve">nia z wychowania przedszkolnego. </w:t>
      </w:r>
      <w:r w:rsidR="00405114" w:rsidRPr="005B2590">
        <w:t xml:space="preserve">W Hrubieszowskim Obszarze Funkcjonalnym liczba dzieci objętych wychowaniem przedszkolnym od kilku lat utrzymuje się na zbliżonym poziomie. Liczba dostępnych miejsc w przedszkolach na obszarze HOF jest wystarczająca. W 2019 roku wszystkie dzieci, które brały udział w procesie rekrutacji miały zapewnioną możliwość korzystania z wychowania przedszkolnego. </w:t>
      </w:r>
      <w:r w:rsidR="008B3E3F" w:rsidRPr="005B2590">
        <w:t>Analizując osobno, każdą z jednostek HOF, należy zwrócić uwagę na potrzebę modernizacji infrastruktury wychowania przedszkolnego w Mieście Hrubieszów.</w:t>
      </w:r>
      <w:r w:rsidR="001B0BBD" w:rsidRPr="005B2590">
        <w:t xml:space="preserve"> Poprawa standardów budynków oraz poprawa ich dostępności dla osób z niepełnosprawnościami z pewnością pozytywnie wpłynie na</w:t>
      </w:r>
      <w:r w:rsidR="00AF04F4" w:rsidRPr="005B2590">
        <w:t xml:space="preserve"> zachowanie właściwego stanu technicznego obiektów oraz</w:t>
      </w:r>
      <w:r w:rsidR="001B0BBD" w:rsidRPr="005B2590">
        <w:t xml:space="preserve"> komfort korzystania z usług przedszkola, jak i pośrednio na wzrost poziomu opieki i edukacji</w:t>
      </w:r>
      <w:r w:rsidR="00AF04F4" w:rsidRPr="005B2590">
        <w:t>, jak również dodatkowo na zmniejszenie kosztów użytkowania obiektów</w:t>
      </w:r>
      <w:r w:rsidR="001B0BBD" w:rsidRPr="005B2590">
        <w:t>.</w:t>
      </w:r>
      <w:r w:rsidR="00AF04F4" w:rsidRPr="005B2590">
        <w:t xml:space="preserve"> Wszystkie inwestycje w infrastrukturę i </w:t>
      </w:r>
      <w:r w:rsidR="00AF04F4" w:rsidRPr="005B2590">
        <w:lastRenderedPageBreak/>
        <w:t xml:space="preserve">rozwój usług edukacyjnych muszą być zgodne z wymogami Konwencji ONZ o Prawach Osób Niepełnosprawnych. Należy zadbać o zapewnienie równego dostępu do </w:t>
      </w:r>
      <w:proofErr w:type="gramStart"/>
      <w:r w:rsidR="00AF04F4" w:rsidRPr="005B2590">
        <w:t>wysokiej jakości</w:t>
      </w:r>
      <w:proofErr w:type="gramEnd"/>
      <w:r w:rsidR="00AF04F4" w:rsidRPr="005B2590">
        <w:t xml:space="preserve"> usług opiekuńczo-edukacyjnych, które będą sprzyjać włączeniu społecznemu w zakresie kształcenia, szkoleń poprzez zapewnienie łatwo dostępnej infrastruktury.</w:t>
      </w:r>
      <w:r w:rsidR="008B3E3F" w:rsidRPr="005B2590">
        <w:t xml:space="preserve"> Pomimo spadku demograficznego odnotowanego na obszarze HOF w ostatnich latach następuje nieznaczny wzrost liczby dzieci w przedszkolach na terenie Miasta, jak również nieznaczny wzrost udziału dzieci z obszaru wiejskiego. Opisaną sytuację potwierdzają dane liczbowe przedstawione w tabeli poniżej.</w:t>
      </w:r>
    </w:p>
    <w:p w:rsidR="001B0BBD" w:rsidRDefault="001B0BBD" w:rsidP="001B0BBD">
      <w:pPr>
        <w:pStyle w:val="Legenda"/>
        <w:keepNext/>
        <w:spacing w:after="0"/>
      </w:pPr>
      <w:r>
        <w:t xml:space="preserve">Tabela </w:t>
      </w:r>
      <w:r w:rsidR="00E20FF4">
        <w:fldChar w:fldCharType="begin"/>
      </w:r>
      <w:r w:rsidR="00E20FF4">
        <w:instrText xml:space="preserve"> SEQ Tabela \* ARABIC </w:instrText>
      </w:r>
      <w:r w:rsidR="00E20FF4">
        <w:fldChar w:fldCharType="separate"/>
      </w:r>
      <w:r w:rsidR="0022657A">
        <w:rPr>
          <w:noProof/>
        </w:rPr>
        <w:t>2</w:t>
      </w:r>
      <w:r w:rsidR="00E20FF4">
        <w:rPr>
          <w:noProof/>
        </w:rPr>
        <w:fldChar w:fldCharType="end"/>
      </w:r>
      <w:r>
        <w:t>. Liczba dzieci w przedszkolach na terenie Miasta Hrubieszów oraz udział dzieci z obszaru Gminy Hrubieszów</w:t>
      </w:r>
    </w:p>
    <w:tbl>
      <w:tblPr>
        <w:tblStyle w:val="Jasnasiatkaakcent53"/>
        <w:tblW w:w="0" w:type="auto"/>
        <w:tblLook w:val="04A0" w:firstRow="1" w:lastRow="0" w:firstColumn="1" w:lastColumn="0" w:noHBand="0" w:noVBand="1"/>
      </w:tblPr>
      <w:tblGrid>
        <w:gridCol w:w="2101"/>
        <w:gridCol w:w="1037"/>
        <w:gridCol w:w="1037"/>
        <w:gridCol w:w="1037"/>
        <w:gridCol w:w="673"/>
        <w:gridCol w:w="674"/>
        <w:gridCol w:w="674"/>
        <w:gridCol w:w="685"/>
        <w:gridCol w:w="685"/>
        <w:gridCol w:w="685"/>
      </w:tblGrid>
      <w:tr w:rsidR="001B0BBD" w:rsidRPr="00930D62" w:rsidTr="001B0BBD">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hideMark/>
          </w:tcPr>
          <w:p w:rsidR="00930D62" w:rsidRPr="00930D62" w:rsidRDefault="001B0BBD" w:rsidP="001B0BBD">
            <w:pPr>
              <w:spacing w:before="0"/>
              <w:ind w:firstLine="0"/>
              <w:jc w:val="center"/>
              <w:rPr>
                <w:rFonts w:asciiTheme="minorHAnsi" w:hAnsiTheme="minorHAnsi" w:cstheme="minorHAnsi"/>
                <w:color w:val="000000"/>
                <w:sz w:val="18"/>
                <w:szCs w:val="18"/>
                <w:lang w:eastAsia="pl-PL"/>
              </w:rPr>
            </w:pPr>
            <w:r>
              <w:rPr>
                <w:rFonts w:asciiTheme="minorHAnsi" w:hAnsiTheme="minorHAnsi" w:cstheme="minorHAnsi"/>
                <w:color w:val="000000"/>
                <w:sz w:val="18"/>
                <w:szCs w:val="18"/>
                <w:lang w:eastAsia="pl-PL"/>
              </w:rPr>
              <w:t>N</w:t>
            </w:r>
            <w:r w:rsidR="00930D62" w:rsidRPr="00930D62">
              <w:rPr>
                <w:rFonts w:asciiTheme="minorHAnsi" w:hAnsiTheme="minorHAnsi" w:cstheme="minorHAnsi"/>
                <w:color w:val="000000"/>
                <w:sz w:val="18"/>
                <w:szCs w:val="18"/>
                <w:lang w:eastAsia="pl-PL"/>
              </w:rPr>
              <w:t xml:space="preserve">azwa </w:t>
            </w:r>
            <w:r>
              <w:rPr>
                <w:rFonts w:asciiTheme="minorHAnsi" w:hAnsiTheme="minorHAnsi" w:cstheme="minorHAnsi"/>
                <w:color w:val="000000"/>
                <w:sz w:val="18"/>
                <w:szCs w:val="18"/>
                <w:lang w:eastAsia="pl-PL"/>
              </w:rPr>
              <w:t>jednostki</w:t>
            </w:r>
          </w:p>
        </w:tc>
        <w:tc>
          <w:tcPr>
            <w:tcW w:w="0" w:type="auto"/>
            <w:gridSpan w:val="3"/>
            <w:vAlign w:val="center"/>
            <w:hideMark/>
          </w:tcPr>
          <w:p w:rsidR="00930D62" w:rsidRPr="00930D62" w:rsidRDefault="001B0BBD" w:rsidP="001B0BBD">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eastAsia="pl-PL"/>
              </w:rPr>
            </w:pPr>
            <w:proofErr w:type="gramStart"/>
            <w:r>
              <w:rPr>
                <w:rFonts w:asciiTheme="minorHAnsi" w:hAnsiTheme="minorHAnsi" w:cstheme="minorHAnsi"/>
                <w:color w:val="000000"/>
                <w:sz w:val="18"/>
                <w:szCs w:val="18"/>
                <w:lang w:eastAsia="pl-PL"/>
              </w:rPr>
              <w:t>liczba</w:t>
            </w:r>
            <w:proofErr w:type="gramEnd"/>
            <w:r>
              <w:rPr>
                <w:rFonts w:asciiTheme="minorHAnsi" w:hAnsiTheme="minorHAnsi" w:cstheme="minorHAnsi"/>
                <w:color w:val="000000"/>
                <w:sz w:val="18"/>
                <w:szCs w:val="18"/>
                <w:lang w:eastAsia="pl-PL"/>
              </w:rPr>
              <w:t xml:space="preserve"> dzieci</w:t>
            </w:r>
            <w:r w:rsidR="00930D62" w:rsidRPr="00930D62">
              <w:rPr>
                <w:rFonts w:asciiTheme="minorHAnsi" w:hAnsiTheme="minorHAnsi" w:cstheme="minorHAnsi"/>
                <w:color w:val="000000"/>
                <w:sz w:val="18"/>
                <w:szCs w:val="18"/>
                <w:lang w:eastAsia="pl-PL"/>
              </w:rPr>
              <w:t xml:space="preserve"> </w:t>
            </w:r>
            <w:r>
              <w:rPr>
                <w:rFonts w:asciiTheme="minorHAnsi" w:hAnsiTheme="minorHAnsi" w:cstheme="minorHAnsi"/>
                <w:color w:val="000000"/>
                <w:sz w:val="18"/>
                <w:szCs w:val="18"/>
                <w:lang w:eastAsia="pl-PL"/>
              </w:rPr>
              <w:t>w przedszkolu</w:t>
            </w:r>
          </w:p>
        </w:tc>
        <w:tc>
          <w:tcPr>
            <w:tcW w:w="0" w:type="auto"/>
            <w:gridSpan w:val="3"/>
            <w:vAlign w:val="center"/>
            <w:hideMark/>
          </w:tcPr>
          <w:p w:rsidR="00930D62" w:rsidRPr="00930D62" w:rsidRDefault="00930D62" w:rsidP="001B0BBD">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eastAsia="pl-PL"/>
              </w:rPr>
            </w:pPr>
            <w:proofErr w:type="gramStart"/>
            <w:r w:rsidRPr="00930D62">
              <w:rPr>
                <w:rFonts w:asciiTheme="minorHAnsi" w:hAnsiTheme="minorHAnsi" w:cstheme="minorHAnsi"/>
                <w:color w:val="000000"/>
                <w:sz w:val="18"/>
                <w:szCs w:val="18"/>
                <w:lang w:eastAsia="pl-PL"/>
              </w:rPr>
              <w:t>liczba</w:t>
            </w:r>
            <w:proofErr w:type="gramEnd"/>
            <w:r w:rsidRPr="00930D62">
              <w:rPr>
                <w:rFonts w:asciiTheme="minorHAnsi" w:hAnsiTheme="minorHAnsi" w:cstheme="minorHAnsi"/>
                <w:color w:val="000000"/>
                <w:sz w:val="18"/>
                <w:szCs w:val="18"/>
                <w:lang w:eastAsia="pl-PL"/>
              </w:rPr>
              <w:t xml:space="preserve"> dzieci w </w:t>
            </w:r>
            <w:r w:rsidR="001B0BBD">
              <w:rPr>
                <w:rFonts w:asciiTheme="minorHAnsi" w:hAnsiTheme="minorHAnsi" w:cstheme="minorHAnsi"/>
                <w:color w:val="000000"/>
                <w:sz w:val="18"/>
                <w:szCs w:val="18"/>
                <w:lang w:eastAsia="pl-PL"/>
              </w:rPr>
              <w:t>przedszkolu</w:t>
            </w:r>
            <w:r w:rsidRPr="00930D62">
              <w:rPr>
                <w:rFonts w:asciiTheme="minorHAnsi" w:hAnsiTheme="minorHAnsi" w:cstheme="minorHAnsi"/>
                <w:color w:val="000000"/>
                <w:sz w:val="18"/>
                <w:szCs w:val="18"/>
                <w:lang w:eastAsia="pl-PL"/>
              </w:rPr>
              <w:t xml:space="preserve"> z </w:t>
            </w:r>
            <w:r w:rsidR="001B0BBD">
              <w:rPr>
                <w:rFonts w:asciiTheme="minorHAnsi" w:hAnsiTheme="minorHAnsi" w:cstheme="minorHAnsi"/>
                <w:color w:val="000000"/>
                <w:sz w:val="18"/>
                <w:szCs w:val="18"/>
                <w:lang w:eastAsia="pl-PL"/>
              </w:rPr>
              <w:t xml:space="preserve">obszaru </w:t>
            </w:r>
            <w:r w:rsidRPr="00930D62">
              <w:rPr>
                <w:rFonts w:asciiTheme="minorHAnsi" w:hAnsiTheme="minorHAnsi" w:cstheme="minorHAnsi"/>
                <w:color w:val="000000"/>
                <w:sz w:val="18"/>
                <w:szCs w:val="18"/>
                <w:lang w:eastAsia="pl-PL"/>
              </w:rPr>
              <w:t>Gminy Hrubieszów</w:t>
            </w:r>
          </w:p>
        </w:tc>
        <w:tc>
          <w:tcPr>
            <w:tcW w:w="0" w:type="auto"/>
            <w:gridSpan w:val="3"/>
            <w:vAlign w:val="center"/>
            <w:hideMark/>
          </w:tcPr>
          <w:p w:rsidR="00930D62" w:rsidRPr="00930D62" w:rsidRDefault="00930D62" w:rsidP="001B0BBD">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18"/>
                <w:szCs w:val="18"/>
                <w:lang w:eastAsia="pl-PL"/>
              </w:rPr>
            </w:pPr>
            <w:proofErr w:type="gramStart"/>
            <w:r w:rsidRPr="00930D62">
              <w:rPr>
                <w:rFonts w:asciiTheme="minorHAnsi" w:hAnsiTheme="minorHAnsi" w:cstheme="minorHAnsi"/>
                <w:color w:val="000000"/>
                <w:sz w:val="18"/>
                <w:szCs w:val="18"/>
                <w:lang w:eastAsia="pl-PL"/>
              </w:rPr>
              <w:t>udział</w:t>
            </w:r>
            <w:proofErr w:type="gramEnd"/>
            <w:r w:rsidRPr="00930D62">
              <w:rPr>
                <w:rFonts w:asciiTheme="minorHAnsi" w:hAnsiTheme="minorHAnsi" w:cstheme="minorHAnsi"/>
                <w:color w:val="000000"/>
                <w:sz w:val="18"/>
                <w:szCs w:val="18"/>
                <w:lang w:eastAsia="pl-PL"/>
              </w:rPr>
              <w:t xml:space="preserve"> dzieci w </w:t>
            </w:r>
            <w:r w:rsidR="001B0BBD">
              <w:rPr>
                <w:rFonts w:asciiTheme="minorHAnsi" w:hAnsiTheme="minorHAnsi" w:cstheme="minorHAnsi"/>
                <w:color w:val="000000"/>
                <w:sz w:val="18"/>
                <w:szCs w:val="18"/>
                <w:lang w:eastAsia="pl-PL"/>
              </w:rPr>
              <w:t>przedszkolu</w:t>
            </w:r>
            <w:r w:rsidRPr="00930D62">
              <w:rPr>
                <w:rFonts w:asciiTheme="minorHAnsi" w:hAnsiTheme="minorHAnsi" w:cstheme="minorHAnsi"/>
                <w:color w:val="000000"/>
                <w:sz w:val="18"/>
                <w:szCs w:val="18"/>
                <w:lang w:eastAsia="pl-PL"/>
              </w:rPr>
              <w:t xml:space="preserve"> z</w:t>
            </w:r>
            <w:r w:rsidR="001B0BBD">
              <w:rPr>
                <w:rFonts w:asciiTheme="minorHAnsi" w:hAnsiTheme="minorHAnsi" w:cstheme="minorHAnsi"/>
                <w:color w:val="000000"/>
                <w:sz w:val="18"/>
                <w:szCs w:val="18"/>
                <w:lang w:eastAsia="pl-PL"/>
              </w:rPr>
              <w:t xml:space="preserve"> obszaru</w:t>
            </w:r>
            <w:r w:rsidRPr="00930D62">
              <w:rPr>
                <w:rFonts w:asciiTheme="minorHAnsi" w:hAnsiTheme="minorHAnsi" w:cstheme="minorHAnsi"/>
                <w:color w:val="000000"/>
                <w:sz w:val="18"/>
                <w:szCs w:val="18"/>
                <w:lang w:eastAsia="pl-PL"/>
              </w:rPr>
              <w:t xml:space="preserve"> Gminy Hrubieszów (%)</w:t>
            </w:r>
          </w:p>
        </w:tc>
      </w:tr>
      <w:tr w:rsidR="001B0BBD" w:rsidRPr="00930D62" w:rsidTr="001B0B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vMerge/>
            <w:hideMark/>
          </w:tcPr>
          <w:p w:rsidR="00930D62" w:rsidRPr="00930D62" w:rsidRDefault="00930D62" w:rsidP="00930D62">
            <w:pPr>
              <w:spacing w:before="0"/>
              <w:ind w:firstLine="0"/>
              <w:jc w:val="left"/>
              <w:rPr>
                <w:rFonts w:asciiTheme="minorHAnsi" w:hAnsiTheme="minorHAnsi" w:cstheme="minorHAnsi"/>
                <w:color w:val="000000"/>
                <w:sz w:val="18"/>
                <w:szCs w:val="18"/>
                <w:lang w:eastAsia="pl-PL"/>
              </w:rPr>
            </w:pPr>
          </w:p>
        </w:tc>
        <w:tc>
          <w:tcPr>
            <w:tcW w:w="0" w:type="auto"/>
            <w:noWrap/>
            <w:vAlign w:val="center"/>
            <w:hideMark/>
          </w:tcPr>
          <w:p w:rsidR="00930D62" w:rsidRPr="00930D62" w:rsidRDefault="00930D62" w:rsidP="001B0BBD">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30.09.2019</w:t>
            </w:r>
          </w:p>
        </w:tc>
        <w:tc>
          <w:tcPr>
            <w:tcW w:w="0" w:type="auto"/>
            <w:noWrap/>
            <w:vAlign w:val="center"/>
            <w:hideMark/>
          </w:tcPr>
          <w:p w:rsidR="00930D62" w:rsidRPr="00930D62" w:rsidRDefault="00930D62" w:rsidP="001B0BBD">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30.09.2020</w:t>
            </w:r>
          </w:p>
        </w:tc>
        <w:tc>
          <w:tcPr>
            <w:tcW w:w="0" w:type="auto"/>
            <w:noWrap/>
            <w:vAlign w:val="center"/>
            <w:hideMark/>
          </w:tcPr>
          <w:p w:rsidR="00930D62" w:rsidRPr="00930D62" w:rsidRDefault="00930D62" w:rsidP="001B0BBD">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30.09.2021</w:t>
            </w:r>
          </w:p>
        </w:tc>
        <w:tc>
          <w:tcPr>
            <w:tcW w:w="0" w:type="auto"/>
            <w:noWrap/>
            <w:vAlign w:val="center"/>
            <w:hideMark/>
          </w:tcPr>
          <w:p w:rsidR="00930D62" w:rsidRPr="00930D62" w:rsidRDefault="00930D62" w:rsidP="001B0BBD">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2019</w:t>
            </w:r>
          </w:p>
        </w:tc>
        <w:tc>
          <w:tcPr>
            <w:tcW w:w="0" w:type="auto"/>
            <w:noWrap/>
            <w:vAlign w:val="center"/>
            <w:hideMark/>
          </w:tcPr>
          <w:p w:rsidR="00930D62" w:rsidRPr="00930D62" w:rsidRDefault="00930D62" w:rsidP="001B0BBD">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2020</w:t>
            </w:r>
          </w:p>
        </w:tc>
        <w:tc>
          <w:tcPr>
            <w:tcW w:w="0" w:type="auto"/>
            <w:noWrap/>
            <w:vAlign w:val="center"/>
            <w:hideMark/>
          </w:tcPr>
          <w:p w:rsidR="00930D62" w:rsidRPr="00930D62" w:rsidRDefault="00930D62" w:rsidP="001B0BBD">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2021</w:t>
            </w:r>
          </w:p>
        </w:tc>
        <w:tc>
          <w:tcPr>
            <w:tcW w:w="0" w:type="auto"/>
            <w:noWrap/>
            <w:vAlign w:val="center"/>
            <w:hideMark/>
          </w:tcPr>
          <w:p w:rsidR="00930D62" w:rsidRPr="00930D62" w:rsidRDefault="00930D62" w:rsidP="001B0BBD">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2019</w:t>
            </w:r>
          </w:p>
        </w:tc>
        <w:tc>
          <w:tcPr>
            <w:tcW w:w="0" w:type="auto"/>
            <w:noWrap/>
            <w:vAlign w:val="center"/>
            <w:hideMark/>
          </w:tcPr>
          <w:p w:rsidR="00930D62" w:rsidRPr="00930D62" w:rsidRDefault="00930D62" w:rsidP="001B0BBD">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2020</w:t>
            </w:r>
          </w:p>
        </w:tc>
        <w:tc>
          <w:tcPr>
            <w:tcW w:w="0" w:type="auto"/>
            <w:noWrap/>
            <w:vAlign w:val="center"/>
            <w:hideMark/>
          </w:tcPr>
          <w:p w:rsidR="00930D62" w:rsidRPr="00930D62" w:rsidRDefault="00930D62" w:rsidP="001B0BBD">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2021</w:t>
            </w:r>
          </w:p>
        </w:tc>
      </w:tr>
      <w:tr w:rsidR="001B0BBD" w:rsidRPr="00930D62" w:rsidTr="001B0BB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930D62" w:rsidRPr="00930D62" w:rsidRDefault="00930D62" w:rsidP="001B0BBD">
            <w:pPr>
              <w:spacing w:before="0"/>
              <w:ind w:firstLine="0"/>
              <w:jc w:val="left"/>
              <w:rPr>
                <w:rFonts w:asciiTheme="minorHAnsi" w:hAnsiTheme="minorHAnsi" w:cstheme="minorHAnsi"/>
                <w:color w:val="000000"/>
                <w:sz w:val="18"/>
                <w:szCs w:val="18"/>
                <w:lang w:eastAsia="pl-PL"/>
              </w:rPr>
            </w:pPr>
            <w:r w:rsidRPr="00930D62">
              <w:rPr>
                <w:rFonts w:asciiTheme="minorHAnsi" w:hAnsiTheme="minorHAnsi" w:cstheme="minorHAnsi"/>
                <w:color w:val="000000"/>
                <w:sz w:val="18"/>
                <w:szCs w:val="18"/>
                <w:lang w:eastAsia="pl-PL"/>
              </w:rPr>
              <w:t>Miejskie Przedszkole nr 1</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167</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159</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171</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3</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7</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6</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1,80</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4,40</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3,51</w:t>
            </w:r>
          </w:p>
        </w:tc>
      </w:tr>
      <w:tr w:rsidR="001B0BBD" w:rsidRPr="001B0BBD" w:rsidTr="001B0BBD">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930D62" w:rsidRPr="00930D62" w:rsidRDefault="00930D62" w:rsidP="001B0BBD">
            <w:pPr>
              <w:spacing w:before="0"/>
              <w:ind w:firstLine="0"/>
              <w:jc w:val="left"/>
              <w:rPr>
                <w:rFonts w:asciiTheme="minorHAnsi" w:hAnsiTheme="minorHAnsi" w:cstheme="minorHAnsi"/>
                <w:color w:val="000000"/>
                <w:sz w:val="18"/>
                <w:szCs w:val="18"/>
                <w:lang w:eastAsia="pl-PL"/>
              </w:rPr>
            </w:pPr>
            <w:r w:rsidRPr="00930D62">
              <w:rPr>
                <w:rFonts w:asciiTheme="minorHAnsi" w:hAnsiTheme="minorHAnsi" w:cstheme="minorHAnsi"/>
                <w:color w:val="000000"/>
                <w:sz w:val="18"/>
                <w:szCs w:val="18"/>
                <w:lang w:eastAsia="pl-PL"/>
              </w:rPr>
              <w:t>Miejskie Przedszkole nr 2</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91</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96</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100</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0</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2,20</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2,08</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0,00</w:t>
            </w:r>
          </w:p>
        </w:tc>
      </w:tr>
      <w:tr w:rsidR="001B0BBD" w:rsidRPr="00930D62" w:rsidTr="001B0BBD">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930D62" w:rsidRPr="00930D62" w:rsidRDefault="00930D62" w:rsidP="001B0BBD">
            <w:pPr>
              <w:spacing w:before="0"/>
              <w:ind w:firstLine="0"/>
              <w:jc w:val="left"/>
              <w:rPr>
                <w:rFonts w:asciiTheme="minorHAnsi" w:hAnsiTheme="minorHAnsi" w:cstheme="minorHAnsi"/>
                <w:color w:val="000000"/>
                <w:sz w:val="18"/>
                <w:szCs w:val="18"/>
                <w:lang w:eastAsia="pl-PL"/>
              </w:rPr>
            </w:pPr>
            <w:r w:rsidRPr="00930D62">
              <w:rPr>
                <w:rFonts w:asciiTheme="minorHAnsi" w:hAnsiTheme="minorHAnsi" w:cstheme="minorHAnsi"/>
                <w:color w:val="000000"/>
                <w:sz w:val="18"/>
                <w:szCs w:val="18"/>
                <w:lang w:eastAsia="pl-PL"/>
              </w:rPr>
              <w:t>Miejskie Przedszkole nr 3</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114</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108</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121</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3</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3</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4</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2,63</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2,78</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3,31</w:t>
            </w:r>
          </w:p>
        </w:tc>
      </w:tr>
      <w:tr w:rsidR="001B0BBD" w:rsidRPr="001B0BBD" w:rsidTr="001B0BB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930D62" w:rsidRPr="00930D62" w:rsidRDefault="00930D62" w:rsidP="001B0BBD">
            <w:pPr>
              <w:spacing w:before="0"/>
              <w:ind w:firstLine="0"/>
              <w:jc w:val="left"/>
              <w:rPr>
                <w:rFonts w:asciiTheme="minorHAnsi" w:hAnsiTheme="minorHAnsi" w:cstheme="minorHAnsi"/>
                <w:color w:val="000000"/>
                <w:sz w:val="18"/>
                <w:szCs w:val="18"/>
                <w:lang w:eastAsia="pl-PL"/>
              </w:rPr>
            </w:pPr>
            <w:r w:rsidRPr="00930D62">
              <w:rPr>
                <w:rFonts w:asciiTheme="minorHAnsi" w:hAnsiTheme="minorHAnsi" w:cstheme="minorHAnsi"/>
                <w:color w:val="000000"/>
                <w:sz w:val="18"/>
                <w:szCs w:val="18"/>
                <w:lang w:eastAsia="pl-PL"/>
              </w:rPr>
              <w:t>Miejskie Przedszkole nr 5</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116</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116</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124</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0</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0,00</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0,86</w:t>
            </w:r>
          </w:p>
        </w:tc>
        <w:tc>
          <w:tcPr>
            <w:tcW w:w="0" w:type="auto"/>
            <w:noWrap/>
            <w:vAlign w:val="center"/>
            <w:hideMark/>
          </w:tcPr>
          <w:p w:rsidR="00930D62" w:rsidRPr="00930D62" w:rsidRDefault="00930D62" w:rsidP="001B0BBD">
            <w:pPr>
              <w:spacing w:before="0"/>
              <w:ind w:firstLine="0"/>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0,81</w:t>
            </w:r>
          </w:p>
        </w:tc>
      </w:tr>
      <w:tr w:rsidR="001B0BBD" w:rsidRPr="00930D62" w:rsidTr="001B0BB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930D62" w:rsidRPr="00930D62" w:rsidRDefault="00930D62" w:rsidP="001B0BBD">
            <w:pPr>
              <w:spacing w:before="0"/>
              <w:ind w:firstLine="0"/>
              <w:jc w:val="left"/>
              <w:rPr>
                <w:rFonts w:asciiTheme="minorHAnsi" w:hAnsiTheme="minorHAnsi" w:cstheme="minorHAnsi"/>
                <w:color w:val="000000"/>
                <w:sz w:val="18"/>
                <w:szCs w:val="18"/>
                <w:lang w:eastAsia="pl-PL"/>
              </w:rPr>
            </w:pPr>
            <w:r w:rsidRPr="00930D62">
              <w:rPr>
                <w:rFonts w:asciiTheme="minorHAnsi" w:hAnsiTheme="minorHAnsi" w:cstheme="minorHAnsi"/>
                <w:color w:val="000000"/>
                <w:sz w:val="18"/>
                <w:szCs w:val="18"/>
                <w:lang w:eastAsia="pl-PL"/>
              </w:rPr>
              <w:t>SUMA</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488</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479</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516</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8</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13</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11</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1,64</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2,71</w:t>
            </w:r>
          </w:p>
        </w:tc>
        <w:tc>
          <w:tcPr>
            <w:tcW w:w="0" w:type="auto"/>
            <w:noWrap/>
            <w:vAlign w:val="center"/>
            <w:hideMark/>
          </w:tcPr>
          <w:p w:rsidR="00930D62" w:rsidRPr="00930D62" w:rsidRDefault="00930D62" w:rsidP="001B0BBD">
            <w:pPr>
              <w:spacing w:before="0"/>
              <w:ind w:firstLine="0"/>
              <w:jc w:val="right"/>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18"/>
                <w:szCs w:val="18"/>
                <w:lang w:eastAsia="pl-PL"/>
              </w:rPr>
            </w:pPr>
            <w:r w:rsidRPr="00930D62">
              <w:rPr>
                <w:rFonts w:eastAsia="Times New Roman" w:cstheme="minorHAnsi"/>
                <w:color w:val="000000"/>
                <w:sz w:val="18"/>
                <w:szCs w:val="18"/>
                <w:lang w:eastAsia="pl-PL"/>
              </w:rPr>
              <w:t>2,13</w:t>
            </w:r>
          </w:p>
        </w:tc>
      </w:tr>
    </w:tbl>
    <w:p w:rsidR="00930D62" w:rsidRPr="005B2590" w:rsidRDefault="001B0BBD" w:rsidP="001B0BBD">
      <w:pPr>
        <w:spacing w:before="0" w:after="0"/>
        <w:ind w:firstLine="357"/>
        <w:rPr>
          <w:i/>
          <w:sz w:val="18"/>
          <w:szCs w:val="18"/>
        </w:rPr>
      </w:pPr>
      <w:r w:rsidRPr="005B2590">
        <w:rPr>
          <w:i/>
          <w:sz w:val="18"/>
          <w:szCs w:val="18"/>
        </w:rPr>
        <w:t>Źródło: opracowanie własne na podstawie danych Gmin</w:t>
      </w:r>
    </w:p>
    <w:p w:rsidR="001B0BBD" w:rsidRPr="005B2590" w:rsidRDefault="00405114" w:rsidP="00E320BC">
      <w:pPr>
        <w:spacing w:after="0"/>
        <w:ind w:firstLine="357"/>
      </w:pPr>
      <w:r w:rsidRPr="005B2590">
        <w:t xml:space="preserve"> W 2020 roku udział dzieci z obszaru gminy wiejskiej stanowił 2,71% wychowanków przedszkoli w Mieście Hrubieszów, natomiast w 2021 był to już udział 2,13%. </w:t>
      </w:r>
    </w:p>
    <w:p w:rsidR="00E320BC" w:rsidRDefault="00405114" w:rsidP="00E320BC">
      <w:pPr>
        <w:spacing w:after="0"/>
        <w:ind w:firstLine="357"/>
        <w:rPr>
          <w:rFonts w:ascii="Calibri" w:eastAsia="Candara" w:hAnsi="Calibri" w:cs="Times New Roman"/>
          <w:b/>
        </w:rPr>
      </w:pPr>
      <w:r w:rsidRPr="005B2590">
        <w:t xml:space="preserve">Natomiast w Gminie Hrubieszów poprawa standardu funkcjonujących obiektów jest istotna ze względu na niższy udział dzieci objętych wychowaniem przedszkolnych w grupie dzieci w wieku przedszkolnym (w 2019 r. wychowaniem przedszkolnym objętych było 189 dzieci w wieku 3 – 5 lat, co stanowi 77,8% dzieci w tym wieku). O braku potrzeby rozbudowy infrastruktury przedszkolnej świadczą negatywne prognozy demograficzne. Zgodne z „Mapą potrzeb w zakresie infrastruktury edukacyjnej i społecznej w województwie lubelskim”, zakłada się utrzymanie powstałego zasobu infrastruktury i liczby użytkowników bez konieczności rozbudowy i tworzenia nowych placówek opieki przedszkolnej. Rekomendacje opracowane w dokumencie „Mapa potrzeb…” zwracają uwagę na potrzeby w obszarze prac remontowych i termomodernizacyjnych u podstawy, których leżą głównie aspekty </w:t>
      </w:r>
      <w:r w:rsidR="007B33A1" w:rsidRPr="005B2590">
        <w:t>ekonomiczne</w:t>
      </w:r>
      <w:r w:rsidRPr="005B2590">
        <w:t xml:space="preserve">. Równocześnie dokument ten rekomenduje działania zmierzające do zaspokojenia wysokiego zapotrzebowania na wyposażenie informatyczne placówek </w:t>
      </w:r>
      <w:r w:rsidR="007B33A1" w:rsidRPr="005B2590">
        <w:t>edukacyjnych.</w:t>
      </w:r>
    </w:p>
    <w:p w:rsidR="00E320BC" w:rsidRPr="00E320BC" w:rsidRDefault="00E320BC" w:rsidP="00E320BC">
      <w:pPr>
        <w:spacing w:after="0"/>
        <w:ind w:firstLine="357"/>
        <w:rPr>
          <w:rFonts w:ascii="Calibri" w:eastAsia="Candara" w:hAnsi="Calibri" w:cs="Times New Roman"/>
          <w:b/>
          <w:i/>
          <w:color w:val="936A07"/>
        </w:rPr>
      </w:pPr>
      <w:r w:rsidRPr="00E320BC">
        <w:rPr>
          <w:rFonts w:ascii="Calibri" w:eastAsia="Candara" w:hAnsi="Calibri" w:cs="Times New Roman"/>
          <w:b/>
          <w:i/>
          <w:noProof/>
          <w:color w:val="936A07"/>
          <w:lang w:eastAsia="pl-PL"/>
        </w:rPr>
        <mc:AlternateContent>
          <mc:Choice Requires="wps">
            <w:drawing>
              <wp:anchor distT="0" distB="0" distL="114300" distR="114300" simplePos="0" relativeHeight="251677696" behindDoc="0" locked="0" layoutInCell="1" allowOverlap="1" wp14:anchorId="47EB64F3" wp14:editId="2C8CA35B">
                <wp:simplePos x="0" y="0"/>
                <wp:positionH relativeFrom="column">
                  <wp:posOffset>-103159</wp:posOffset>
                </wp:positionH>
                <wp:positionV relativeFrom="paragraph">
                  <wp:posOffset>44508</wp:posOffset>
                </wp:positionV>
                <wp:extent cx="5943600" cy="1198418"/>
                <wp:effectExtent l="0" t="0" r="19050" b="20955"/>
                <wp:wrapNone/>
                <wp:docPr id="484" name="Prostokąt 484"/>
                <wp:cNvGraphicFramePr/>
                <a:graphic xmlns:a="http://schemas.openxmlformats.org/drawingml/2006/main">
                  <a:graphicData uri="http://schemas.microsoft.com/office/word/2010/wordprocessingShape">
                    <wps:wsp>
                      <wps:cNvSpPr/>
                      <wps:spPr>
                        <a:xfrm>
                          <a:off x="0" y="0"/>
                          <a:ext cx="5943600" cy="1198418"/>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Prostokąt 484" o:spid="_x0000_s1026" style="position:absolute;margin-left:-8.1pt;margin-top:3.5pt;width:468pt;height:94.3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" filled="f" strokecolor="#dc9f0c" strokeweight="1.25pt"/>
            </w:pict>
          </mc:Fallback>
        </mc:AlternateContent>
      </w:r>
      <w:r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Mieszkańcy HOF dostępność i jakość edukacji przedszkolnej w HOF ocenili wysoko przyznając 64,2% udzielonych </w:t>
      </w:r>
      <w:proofErr w:type="gramStart"/>
      <w:r w:rsidRPr="00E320BC">
        <w:rPr>
          <w:rFonts w:ascii="Calibri" w:eastAsia="Candara" w:hAnsi="Calibri" w:cs="Times New Roman"/>
          <w:i/>
          <w:color w:val="936A07"/>
        </w:rPr>
        <w:t>odpowiedzi jako</w:t>
      </w:r>
      <w:proofErr w:type="gramEnd"/>
      <w:r w:rsidRPr="00E320BC">
        <w:rPr>
          <w:rFonts w:ascii="Calibri" w:eastAsia="Candara" w:hAnsi="Calibri" w:cs="Times New Roman"/>
          <w:i/>
          <w:color w:val="936A07"/>
        </w:rPr>
        <w:t xml:space="preserve"> „dobry” i 16,4% - „bardzo dobry”.</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Również dostępność i jakość szkolnictwa na poziomie podstawowym została oceniona wysoko (59,7% udzielonych </w:t>
      </w:r>
      <w:proofErr w:type="gramStart"/>
      <w:r w:rsidRPr="00E320BC">
        <w:rPr>
          <w:rFonts w:ascii="Calibri" w:eastAsia="Candara" w:hAnsi="Calibri" w:cs="Times New Roman"/>
          <w:i/>
          <w:color w:val="936A07"/>
        </w:rPr>
        <w:t>odpowiedzi jako</w:t>
      </w:r>
      <w:proofErr w:type="gramEnd"/>
      <w:r w:rsidRPr="00E320BC">
        <w:rPr>
          <w:rFonts w:ascii="Calibri" w:eastAsia="Candara" w:hAnsi="Calibri" w:cs="Times New Roman"/>
          <w:i/>
          <w:color w:val="936A07"/>
        </w:rPr>
        <w:t xml:space="preserve"> „dobry” i 19,4% - „bardzo dobry”).</w:t>
      </w:r>
    </w:p>
    <w:p w:rsidR="007B33A1" w:rsidRDefault="007B33A1" w:rsidP="007B33A1">
      <w:pPr>
        <w:spacing w:after="0"/>
        <w:ind w:firstLine="357"/>
        <w:rPr>
          <w:rFonts w:ascii="Calibri" w:eastAsia="Candara" w:hAnsi="Calibri" w:cs="Times New Roman"/>
          <w:b/>
        </w:rPr>
      </w:pPr>
      <w:r w:rsidRPr="00E320BC">
        <w:rPr>
          <w:rFonts w:ascii="Calibri" w:eastAsia="Candara" w:hAnsi="Calibri" w:cs="Times New Roman"/>
          <w:b/>
        </w:rPr>
        <w:t xml:space="preserve">Infrastruktura oświatowo-edukacyjna na poziomie szkoły podstawowej również zaspakaja potrzeby mieszkańców HOF </w:t>
      </w:r>
      <w:r w:rsidRPr="00E320BC">
        <w:rPr>
          <w:rFonts w:ascii="Calibri" w:eastAsia="Candara" w:hAnsi="Calibri" w:cs="Times New Roman"/>
        </w:rPr>
        <w:t>i tworzy ją 12 jednostek</w:t>
      </w:r>
      <w:r>
        <w:rPr>
          <w:rFonts w:ascii="Calibri" w:eastAsia="Candara" w:hAnsi="Calibri" w:cs="Times New Roman"/>
        </w:rPr>
        <w:t xml:space="preserve"> gminnych</w:t>
      </w:r>
      <w:r w:rsidRPr="00E320BC">
        <w:rPr>
          <w:rFonts w:ascii="Calibri" w:eastAsia="Candara" w:hAnsi="Calibri" w:cs="Times New Roman"/>
        </w:rPr>
        <w:t xml:space="preserve"> oraz jedna należąca do Powiatowego Zespołu Placówek Szkolno-Wychowawczych w Hrubieszowie. W roku szkolnym 2019/2020 w Hrubieszowskim Obszarze Funkcjonalnym do szkół podstawowych uczęszczało 2 124 uczniów. Wskaźnik liczby uczniów przypadających na 1 oddział w szkołach podstawowych w 2019 roku dla Hrubieszowskiego Obszaru Funkcjonalnego przyjął wartość 14 (Gmina Miejska Hrubieszów – 18, </w:t>
      </w:r>
      <w:r w:rsidRPr="00E320BC">
        <w:rPr>
          <w:rFonts w:ascii="Calibri" w:eastAsia="Candara" w:hAnsi="Calibri" w:cs="Times New Roman"/>
        </w:rPr>
        <w:lastRenderedPageBreak/>
        <w:t xml:space="preserve">Gmina Hrubieszów – 8). Jest to wartość wyższa od średniej wartości dla powiatu hrubieszowskiego (12) i niższa od średniej dla województwa lubelskiego (15). </w:t>
      </w:r>
      <w:r w:rsidRPr="00E320BC">
        <w:rPr>
          <w:rFonts w:ascii="Calibri" w:eastAsia="Candara" w:hAnsi="Calibri" w:cs="Times New Roman"/>
          <w:b/>
        </w:rPr>
        <w:t>Ten stan świadczy o dobrze rozwiniętej infrastrukturze edukacyjnej.</w:t>
      </w:r>
    </w:p>
    <w:p w:rsidR="00C12432" w:rsidRPr="00E320BC" w:rsidRDefault="00C12432" w:rsidP="007B33A1">
      <w:pPr>
        <w:spacing w:after="0"/>
        <w:ind w:firstLine="357"/>
        <w:rPr>
          <w:rFonts w:ascii="Calibri" w:eastAsia="Candara" w:hAnsi="Calibri" w:cs="Times New Roman"/>
          <w:b/>
        </w:rPr>
      </w:pPr>
      <w:r w:rsidRPr="005B2590">
        <w:t xml:space="preserve">Poprawa standardów budynków oraz poprawa ich dostępności dla osób z niepełnosprawnościami z pewnością pozytywnie wpłynie na zachowanie właściwego stanu technicznego obiektów oraz komfort korzystania z usług szkół podstawowych, jak i pośrednio na wzrost poziomu opieki i edukacji, jak również dodatkowo na zmniejszenie kosztów użytkowania obiektów. Wszystkie inwestycje w infrastrukturę i rozwój usług edukacyjnych muszą być zgodne z wymogami Konwencji ONZ o Prawach Osób Niepełnosprawnych. Należy zadbać o zapewnienie równego dostępu do </w:t>
      </w:r>
      <w:proofErr w:type="gramStart"/>
      <w:r w:rsidRPr="005B2590">
        <w:t>wysokiej jakości</w:t>
      </w:r>
      <w:proofErr w:type="gramEnd"/>
      <w:r w:rsidRPr="005B2590">
        <w:t xml:space="preserve"> usług opiekuńczo-edukacyjnych, które będą sprzyjać włączeniu społecznemu w zakresie kształcenia, szkoleń poprzez zapewnienie łatwo dostępnej infrastruktury.</w:t>
      </w:r>
    </w:p>
    <w:p w:rsidR="00D163C3" w:rsidRPr="00C12432" w:rsidRDefault="0092770D" w:rsidP="00D163C3">
      <w:pPr>
        <w:spacing w:after="0"/>
        <w:ind w:firstLine="357"/>
        <w:rPr>
          <w:rFonts w:eastAsia="Candara" w:cstheme="minorHAnsi"/>
        </w:rPr>
      </w:pPr>
      <w:r w:rsidRPr="00C12432">
        <w:rPr>
          <w:rFonts w:eastAsia="Candara" w:cstheme="minorHAnsi"/>
        </w:rPr>
        <w:t>W porównaniu do roku 2014</w:t>
      </w:r>
      <w:r w:rsidR="00D163C3" w:rsidRPr="00C12432">
        <w:rPr>
          <w:rFonts w:eastAsia="Candara" w:cstheme="minorHAnsi"/>
        </w:rPr>
        <w:t xml:space="preserve"> w HOF liczba </w:t>
      </w:r>
      <w:r w:rsidRPr="00C12432">
        <w:rPr>
          <w:rFonts w:eastAsia="Candara" w:cstheme="minorHAnsi"/>
        </w:rPr>
        <w:t>uczniów w szkołach podstawowych spadła o 2,3%</w:t>
      </w:r>
      <w:r w:rsidR="00DE28E2" w:rsidRPr="00C12432">
        <w:rPr>
          <w:rFonts w:eastAsia="Candara" w:cstheme="minorHAnsi"/>
        </w:rPr>
        <w:t>. Równocześnie maleje liczba absolwentów szkół podstawowych.</w:t>
      </w:r>
      <w:r w:rsidR="00D163C3" w:rsidRPr="00C12432">
        <w:rPr>
          <w:rFonts w:eastAsia="Candara" w:cstheme="minorHAnsi"/>
        </w:rPr>
        <w:t xml:space="preserve"> Spadek ten obrazuje również zmniejszenie liczby absolwentów w stosunku do liczby uczniów w szkole podstawowej wyrażony w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685888" behindDoc="0" locked="0" layoutInCell="1" allowOverlap="1" wp14:anchorId="2A63B52C" wp14:editId="4E2A2E07">
                <wp:simplePos x="0" y="0"/>
                <wp:positionH relativeFrom="column">
                  <wp:posOffset>2331085</wp:posOffset>
                </wp:positionH>
                <wp:positionV relativeFrom="paragraph">
                  <wp:posOffset>126365</wp:posOffset>
                </wp:positionV>
                <wp:extent cx="3525520" cy="2499360"/>
                <wp:effectExtent l="0" t="0" r="0" b="0"/>
                <wp:wrapSquare wrapText="bothSides"/>
                <wp:docPr id="49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5520" cy="2499360"/>
                        </a:xfrm>
                        <a:prstGeom prst="rect">
                          <a:avLst/>
                        </a:prstGeom>
                        <a:solidFill>
                          <a:srgbClr val="FFFFFF"/>
                        </a:solidFill>
                        <a:ln w="9525">
                          <a:noFill/>
                          <a:miter lim="800000"/>
                          <a:headEnd/>
                          <a:tailEnd/>
                        </a:ln>
                      </wps:spPr>
                      <wps:txbx>
                        <w:txbxContent>
                          <w:p w:rsidR="002441D5" w:rsidRPr="00D27832" w:rsidRDefault="002441D5" w:rsidP="00ED7675">
                            <w:pPr>
                              <w:pStyle w:val="Legenda"/>
                              <w:keepNext/>
                              <w:ind w:firstLine="0"/>
                              <w:rPr>
                                <w:color w:val="31B6FD" w:themeColor="accent1"/>
                              </w:rPr>
                            </w:pPr>
                            <w:bookmarkStart w:id="13" w:name="_Toc138068613"/>
                            <w:r w:rsidRPr="00D27832">
                              <w:rPr>
                                <w:color w:val="31B6FD" w:themeColor="accent1"/>
                              </w:rPr>
                              <w:t xml:space="preserve">Wykres </w:t>
                            </w:r>
                            <w:r w:rsidRPr="00D27832">
                              <w:rPr>
                                <w:color w:val="31B6FD" w:themeColor="accent1"/>
                              </w:rPr>
                              <w:fldChar w:fldCharType="begin"/>
                            </w:r>
                            <w:r w:rsidRPr="00D27832">
                              <w:rPr>
                                <w:color w:val="31B6FD" w:themeColor="accent1"/>
                              </w:rPr>
                              <w:instrText xml:space="preserve"> SEQ Wykres \* ARABIC </w:instrText>
                            </w:r>
                            <w:r w:rsidRPr="00D27832">
                              <w:rPr>
                                <w:color w:val="31B6FD" w:themeColor="accent1"/>
                              </w:rPr>
                              <w:fldChar w:fldCharType="separate"/>
                            </w:r>
                            <w:r w:rsidR="0022657A">
                              <w:rPr>
                                <w:noProof/>
                                <w:color w:val="31B6FD" w:themeColor="accent1"/>
                              </w:rPr>
                              <w:t>5</w:t>
                            </w:r>
                            <w:r w:rsidRPr="00D27832">
                              <w:rPr>
                                <w:noProof/>
                                <w:color w:val="31B6FD" w:themeColor="accent1"/>
                              </w:rPr>
                              <w:fldChar w:fldCharType="end"/>
                            </w:r>
                            <w:r w:rsidRPr="00D27832">
                              <w:rPr>
                                <w:color w:val="31B6FD" w:themeColor="accent1"/>
                              </w:rPr>
                              <w:t xml:space="preserve">. Współczynnik </w:t>
                            </w:r>
                            <w:proofErr w:type="spellStart"/>
                            <w:r w:rsidRPr="00D27832">
                              <w:rPr>
                                <w:color w:val="31B6FD" w:themeColor="accent1"/>
                              </w:rPr>
                              <w:t>skolaryzacji</w:t>
                            </w:r>
                            <w:proofErr w:type="spellEnd"/>
                            <w:r w:rsidRPr="00D27832">
                              <w:rPr>
                                <w:color w:val="31B6FD" w:themeColor="accent1"/>
                              </w:rPr>
                              <w:t xml:space="preserve"> dla liceów ogólnokształcących w  OF w latach 2014-2019</w:t>
                            </w:r>
                            <w:bookmarkEnd w:id="13"/>
                          </w:p>
                          <w:p w:rsidR="002441D5" w:rsidRDefault="002441D5" w:rsidP="00ED7675">
                            <w:pPr>
                              <w:spacing w:before="0" w:after="0"/>
                              <w:ind w:firstLine="0"/>
                            </w:pPr>
                            <w:r w:rsidRPr="00A032CA">
                              <w:rPr>
                                <w:noProof/>
                                <w:lang w:eastAsia="pl-PL"/>
                              </w:rPr>
                              <w:drawing>
                                <wp:inline distT="0" distB="0" distL="0" distR="0" wp14:anchorId="3554EE29" wp14:editId="164173D6">
                                  <wp:extent cx="2881630" cy="1717675"/>
                                  <wp:effectExtent l="0" t="0" r="0"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1630" cy="1717675"/>
                                          </a:xfrm>
                                          <a:prstGeom prst="rect">
                                            <a:avLst/>
                                          </a:prstGeom>
                                          <a:noFill/>
                                          <a:ln>
                                            <a:noFill/>
                                          </a:ln>
                                        </pic:spPr>
                                      </pic:pic>
                                    </a:graphicData>
                                  </a:graphic>
                                </wp:inline>
                              </w:drawing>
                            </w:r>
                          </w:p>
                          <w:p w:rsidR="002441D5" w:rsidRPr="00473D0B" w:rsidRDefault="002441D5" w:rsidP="00ED7675">
                            <w:pPr>
                              <w:spacing w:before="0"/>
                              <w:rPr>
                                <w:i/>
                                <w:sz w:val="18"/>
                                <w:szCs w:val="18"/>
                              </w:rPr>
                            </w:pPr>
                            <w:r w:rsidRPr="00473D0B">
                              <w:rPr>
                                <w:i/>
                                <w:sz w:val="18"/>
                                <w:szCs w:val="18"/>
                              </w:rPr>
                              <w:t>Źródło: analizy.</w:t>
                            </w:r>
                            <w:proofErr w:type="gramStart"/>
                            <w:r w:rsidRPr="00473D0B">
                              <w:rPr>
                                <w:i/>
                                <w:sz w:val="18"/>
                                <w:szCs w:val="18"/>
                              </w:rPr>
                              <w:t>monitorrozwoju</w:t>
                            </w:r>
                            <w:proofErr w:type="gramEnd"/>
                            <w:r w:rsidRPr="00473D0B">
                              <w:rPr>
                                <w:i/>
                                <w:sz w:val="18"/>
                                <w:szCs w:val="18"/>
                              </w:rPr>
                              <w:t>.</w:t>
                            </w:r>
                            <w:proofErr w:type="gramStart"/>
                            <w:r w:rsidRPr="00473D0B">
                              <w:rPr>
                                <w:i/>
                                <w:sz w:val="18"/>
                                <w:szCs w:val="18"/>
                              </w:rPr>
                              <w:t>pl</w:t>
                            </w:r>
                            <w:proofErr w:type="gramEnd"/>
                          </w:p>
                          <w:p w:rsidR="002441D5" w:rsidRDefault="002441D5" w:rsidP="00E320BC"/>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30" type="#_x0000_t202" style="position:absolute;left:0;text-align:left;margin-left:183.55pt;margin-top:9.95pt;width:277.6pt;height:196.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" stroked="f">
                <v:textbox>
                  <w:txbxContent>
                    <w:p w:rsidR="002441D5" w:rsidRPr="00D27832" w:rsidRDefault="002441D5" w:rsidP="00ED7675">
                      <w:pPr>
                        <w:pStyle w:val="Legenda"/>
                        <w:keepNext/>
                        <w:ind w:firstLine="0"/>
                        <w:rPr>
                          <w:color w:val="31B6FD" w:themeColor="accent1"/>
                        </w:rPr>
                      </w:pPr>
                      <w:bookmarkStart w:id="14" w:name="_Toc138068613"/>
                      <w:r w:rsidRPr="00D27832">
                        <w:rPr>
                          <w:color w:val="31B6FD" w:themeColor="accent1"/>
                        </w:rPr>
                        <w:t xml:space="preserve">Wykres </w:t>
                      </w:r>
                      <w:r w:rsidRPr="00D27832">
                        <w:rPr>
                          <w:color w:val="31B6FD" w:themeColor="accent1"/>
                        </w:rPr>
                        <w:fldChar w:fldCharType="begin"/>
                      </w:r>
                      <w:r w:rsidRPr="00D27832">
                        <w:rPr>
                          <w:color w:val="31B6FD" w:themeColor="accent1"/>
                        </w:rPr>
                        <w:instrText xml:space="preserve"> SEQ Wykres \* ARABIC </w:instrText>
                      </w:r>
                      <w:r w:rsidRPr="00D27832">
                        <w:rPr>
                          <w:color w:val="31B6FD" w:themeColor="accent1"/>
                        </w:rPr>
                        <w:fldChar w:fldCharType="separate"/>
                      </w:r>
                      <w:r w:rsidR="0022657A">
                        <w:rPr>
                          <w:noProof/>
                          <w:color w:val="31B6FD" w:themeColor="accent1"/>
                        </w:rPr>
                        <w:t>5</w:t>
                      </w:r>
                      <w:r w:rsidRPr="00D27832">
                        <w:rPr>
                          <w:noProof/>
                          <w:color w:val="31B6FD" w:themeColor="accent1"/>
                        </w:rPr>
                        <w:fldChar w:fldCharType="end"/>
                      </w:r>
                      <w:r w:rsidRPr="00D27832">
                        <w:rPr>
                          <w:color w:val="31B6FD" w:themeColor="accent1"/>
                        </w:rPr>
                        <w:t xml:space="preserve">. Współczynnik </w:t>
                      </w:r>
                      <w:proofErr w:type="spellStart"/>
                      <w:r w:rsidRPr="00D27832">
                        <w:rPr>
                          <w:color w:val="31B6FD" w:themeColor="accent1"/>
                        </w:rPr>
                        <w:t>skolaryzacji</w:t>
                      </w:r>
                      <w:proofErr w:type="spellEnd"/>
                      <w:r w:rsidRPr="00D27832">
                        <w:rPr>
                          <w:color w:val="31B6FD" w:themeColor="accent1"/>
                        </w:rPr>
                        <w:t xml:space="preserve"> dla liceów ogólnokształcących w  OF w latach 2014-2019</w:t>
                      </w:r>
                      <w:bookmarkEnd w:id="14"/>
                    </w:p>
                    <w:p w:rsidR="002441D5" w:rsidRDefault="002441D5" w:rsidP="00ED7675">
                      <w:pPr>
                        <w:spacing w:before="0" w:after="0"/>
                        <w:ind w:firstLine="0"/>
                      </w:pPr>
                      <w:r w:rsidRPr="00A032CA">
                        <w:rPr>
                          <w:noProof/>
                          <w:lang w:eastAsia="pl-PL"/>
                        </w:rPr>
                        <w:drawing>
                          <wp:inline distT="0" distB="0" distL="0" distR="0" wp14:anchorId="3554EE29" wp14:editId="164173D6">
                            <wp:extent cx="2881630" cy="1717675"/>
                            <wp:effectExtent l="0" t="0" r="0" b="0"/>
                            <wp:docPr id="485" name="Obraz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81630" cy="1717675"/>
                                    </a:xfrm>
                                    <a:prstGeom prst="rect">
                                      <a:avLst/>
                                    </a:prstGeom>
                                    <a:noFill/>
                                    <a:ln>
                                      <a:noFill/>
                                    </a:ln>
                                  </pic:spPr>
                                </pic:pic>
                              </a:graphicData>
                            </a:graphic>
                          </wp:inline>
                        </w:drawing>
                      </w:r>
                    </w:p>
                    <w:p w:rsidR="002441D5" w:rsidRPr="00473D0B" w:rsidRDefault="002441D5" w:rsidP="00ED7675">
                      <w:pPr>
                        <w:spacing w:before="0"/>
                        <w:rPr>
                          <w:i/>
                          <w:sz w:val="18"/>
                          <w:szCs w:val="18"/>
                        </w:rPr>
                      </w:pPr>
                      <w:r w:rsidRPr="00473D0B">
                        <w:rPr>
                          <w:i/>
                          <w:sz w:val="18"/>
                          <w:szCs w:val="18"/>
                        </w:rPr>
                        <w:t>Źródło: analizy.</w:t>
                      </w:r>
                      <w:proofErr w:type="gramStart"/>
                      <w:r w:rsidRPr="00473D0B">
                        <w:rPr>
                          <w:i/>
                          <w:sz w:val="18"/>
                          <w:szCs w:val="18"/>
                        </w:rPr>
                        <w:t>monitorrozwoju</w:t>
                      </w:r>
                      <w:proofErr w:type="gramEnd"/>
                      <w:r w:rsidRPr="00473D0B">
                        <w:rPr>
                          <w:i/>
                          <w:sz w:val="18"/>
                          <w:szCs w:val="18"/>
                        </w:rPr>
                        <w:t>.</w:t>
                      </w:r>
                      <w:proofErr w:type="gramStart"/>
                      <w:r w:rsidRPr="00473D0B">
                        <w:rPr>
                          <w:i/>
                          <w:sz w:val="18"/>
                          <w:szCs w:val="18"/>
                        </w:rPr>
                        <w:t>pl</w:t>
                      </w:r>
                      <w:proofErr w:type="gramEnd"/>
                    </w:p>
                    <w:p w:rsidR="002441D5" w:rsidRDefault="002441D5" w:rsidP="00E320BC"/>
                  </w:txbxContent>
                </v:textbox>
                <w10:wrap type="square"/>
              </v:shape>
            </w:pict>
          </mc:Fallback>
        </mc:AlternateContent>
      </w:r>
      <w:r w:rsidRPr="00E320BC">
        <w:rPr>
          <w:rFonts w:ascii="Calibri" w:eastAsia="Candara" w:hAnsi="Calibri" w:cs="Times New Roman"/>
        </w:rPr>
        <w:t xml:space="preserve">Miarą powszechności kształcenia są współczynniki </w:t>
      </w:r>
      <w:proofErr w:type="spellStart"/>
      <w:r w:rsidRPr="00E320BC">
        <w:rPr>
          <w:rFonts w:ascii="Calibri" w:eastAsia="Candara" w:hAnsi="Calibri" w:cs="Times New Roman"/>
        </w:rPr>
        <w:t>skolaryzacji</w:t>
      </w:r>
      <w:proofErr w:type="spellEnd"/>
      <w:r w:rsidRPr="00E320BC">
        <w:rPr>
          <w:rFonts w:ascii="Calibri" w:eastAsia="Candara" w:hAnsi="Calibri" w:cs="Times New Roman"/>
        </w:rPr>
        <w:t xml:space="preserve">. Dla Gminy Miejskiej Hrubieszów współczynnik </w:t>
      </w:r>
      <w:proofErr w:type="spellStart"/>
      <w:r w:rsidRPr="00E320BC">
        <w:rPr>
          <w:rFonts w:ascii="Calibri" w:eastAsia="Candara" w:hAnsi="Calibri" w:cs="Times New Roman"/>
        </w:rPr>
        <w:t>skolaryzacji</w:t>
      </w:r>
      <w:proofErr w:type="spellEnd"/>
      <w:r w:rsidRPr="00E320BC">
        <w:rPr>
          <w:rFonts w:ascii="Calibri" w:eastAsia="Candara" w:hAnsi="Calibri" w:cs="Times New Roman"/>
        </w:rPr>
        <w:t xml:space="preserve"> brutto </w:t>
      </w:r>
      <w:r w:rsidRPr="00E320BC">
        <w:rPr>
          <w:rFonts w:ascii="Calibri" w:eastAsia="Candara" w:hAnsi="Calibri" w:cs="Times New Roman"/>
          <w:b/>
        </w:rPr>
        <w:t xml:space="preserve">dla szkół podstawowych w 2019 r. wynosił </w:t>
      </w:r>
      <w:r w:rsidR="00545570" w:rsidRPr="00E320BC">
        <w:rPr>
          <w:rFonts w:ascii="Calibri" w:eastAsia="Candara" w:hAnsi="Calibri" w:cs="Times New Roman"/>
          <w:b/>
        </w:rPr>
        <w:t xml:space="preserve">114,76% </w:t>
      </w:r>
      <w:r w:rsidRPr="00E320BC">
        <w:rPr>
          <w:rFonts w:ascii="Calibri" w:eastAsia="Candara" w:hAnsi="Calibri" w:cs="Times New Roman"/>
          <w:b/>
        </w:rPr>
        <w:t>i jest to wartość bardzo wysoka</w:t>
      </w:r>
      <w:r w:rsidRPr="00E320BC">
        <w:rPr>
          <w:rFonts w:ascii="Calibri" w:eastAsia="Candara" w:hAnsi="Calibri" w:cs="Times New Roman"/>
        </w:rPr>
        <w:t xml:space="preserve"> (dla porównania dla powiatu hrubieszowskiego wynosił – 87,83%, dla województwa lubelskiego - 93,48%) i świadczy o tym, </w:t>
      </w:r>
      <w:r w:rsidRPr="00E320BC">
        <w:rPr>
          <w:rFonts w:ascii="Calibri" w:eastAsia="Candara" w:hAnsi="Calibri" w:cs="Times New Roman"/>
          <w:b/>
        </w:rPr>
        <w:t>że do szkół na terenie miasta uczęszczają również dzieci z Gminy Hrubieszów.</w:t>
      </w:r>
      <w:r w:rsidRPr="00E320BC">
        <w:rPr>
          <w:rFonts w:ascii="Calibri" w:eastAsia="Candara" w:hAnsi="Calibri" w:cs="Times New Roman"/>
        </w:rPr>
        <w:t xml:space="preserve"> </w:t>
      </w:r>
      <w:r w:rsidR="004D7FFC" w:rsidRPr="00E320BC">
        <w:rPr>
          <w:rFonts w:ascii="Calibri" w:eastAsia="Candara" w:hAnsi="Calibri" w:cs="Times New Roman"/>
        </w:rPr>
        <w:t>Dla obszaru Gminy Hrubieszów współczynnik brutto wynosił 70,48% i jest to dość niska wartość wynikająca z faktu, iż część dzieci uczęszcza do szkół na terenie miasta.</w:t>
      </w:r>
      <w:r w:rsidR="004D7FFC">
        <w:rPr>
          <w:rFonts w:ascii="Calibri" w:eastAsia="Candara" w:hAnsi="Calibri" w:cs="Times New Roman"/>
        </w:rPr>
        <w:t xml:space="preserve"> </w:t>
      </w:r>
      <w:r w:rsidR="00545570" w:rsidRPr="00E42628">
        <w:rPr>
          <w:rFonts w:ascii="Calibri" w:eastAsia="Candara" w:hAnsi="Calibri" w:cs="Times New Roman"/>
        </w:rPr>
        <w:t xml:space="preserve">Sytuacja taka wynika z faktu </w:t>
      </w:r>
      <w:r w:rsidR="004D7FFC" w:rsidRPr="00E42628">
        <w:rPr>
          <w:rFonts w:ascii="Calibri" w:eastAsia="Candara" w:hAnsi="Calibri" w:cs="Times New Roman"/>
        </w:rPr>
        <w:t xml:space="preserve">wyższego poziomu kształcenia na terenie </w:t>
      </w:r>
      <w:proofErr w:type="gramStart"/>
      <w:r w:rsidR="004D7FFC" w:rsidRPr="00E42628">
        <w:rPr>
          <w:rFonts w:ascii="Calibri" w:eastAsia="Candara" w:hAnsi="Calibri" w:cs="Times New Roman"/>
        </w:rPr>
        <w:t>miasta (o czym</w:t>
      </w:r>
      <w:proofErr w:type="gramEnd"/>
      <w:r w:rsidR="004D7FFC" w:rsidRPr="00E42628">
        <w:rPr>
          <w:rFonts w:ascii="Calibri" w:eastAsia="Candara" w:hAnsi="Calibri" w:cs="Times New Roman"/>
        </w:rPr>
        <w:t xml:space="preserve"> mogą świadczyć wyższe średnie wyniki z egzaminu ósmoklasisty). Znaczenie ma również fakt, że część rodziców uczniów z Gminy Hrubieszów pracuje na terenie miasta i po drodze do pracy przywożą dzieci do placówek w granicach Gminy Miejskiej Hrubieszów.</w:t>
      </w:r>
      <w:r w:rsidR="004D7FFC">
        <w:rPr>
          <w:rFonts w:ascii="Calibri" w:eastAsia="Candara" w:hAnsi="Calibri" w:cs="Times New Roman"/>
        </w:rPr>
        <w:t xml:space="preserve"> </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b/>
        </w:rPr>
        <w:t xml:space="preserve">Na terenie HOF zapewniono sprawny dowóz uczniów </w:t>
      </w:r>
      <w:r w:rsidR="00D066E8" w:rsidRPr="00D066E8">
        <w:rPr>
          <w:rFonts w:ascii="Calibri" w:eastAsia="Candara" w:hAnsi="Calibri" w:cs="Times New Roman"/>
          <w:b/>
        </w:rPr>
        <w:t>z niepełnosprawnościami</w:t>
      </w:r>
      <w:r w:rsidRPr="00E320BC">
        <w:rPr>
          <w:rFonts w:ascii="Calibri" w:eastAsia="Candara" w:hAnsi="Calibri" w:cs="Times New Roman"/>
          <w:b/>
        </w:rPr>
        <w:t xml:space="preserve"> do placówek oświatowych.</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 xml:space="preserve">Edukacja </w:t>
      </w:r>
      <w:r w:rsidR="004D7FFC" w:rsidRPr="00E320BC">
        <w:rPr>
          <w:rFonts w:ascii="Calibri" w:eastAsia="Candara" w:hAnsi="Calibri" w:cs="Times New Roman"/>
          <w:b/>
        </w:rPr>
        <w:t>n</w:t>
      </w:r>
      <w:r w:rsidR="004D7FFC">
        <w:rPr>
          <w:rFonts w:ascii="Calibri" w:eastAsia="Candara" w:hAnsi="Calibri" w:cs="Times New Roman"/>
          <w:b/>
        </w:rPr>
        <w:t>a</w:t>
      </w:r>
      <w:r w:rsidR="004D7FFC" w:rsidRPr="00E320BC">
        <w:rPr>
          <w:rFonts w:ascii="Calibri" w:eastAsia="Candara" w:hAnsi="Calibri" w:cs="Times New Roman"/>
          <w:b/>
        </w:rPr>
        <w:t xml:space="preserve"> poziomie</w:t>
      </w:r>
      <w:r w:rsidR="004D7FFC">
        <w:rPr>
          <w:rFonts w:ascii="Calibri" w:eastAsia="Candara" w:hAnsi="Calibri" w:cs="Times New Roman"/>
          <w:b/>
        </w:rPr>
        <w:t xml:space="preserve"> szkół ponadpodstawowych</w:t>
      </w:r>
      <w:r w:rsidRPr="00E320BC">
        <w:rPr>
          <w:rFonts w:ascii="Calibri" w:eastAsia="Candara" w:hAnsi="Calibri" w:cs="Times New Roman"/>
          <w:b/>
        </w:rPr>
        <w:t xml:space="preserve"> na teren</w:t>
      </w:r>
      <w:r w:rsidR="00ED7675">
        <w:rPr>
          <w:rFonts w:ascii="Calibri" w:eastAsia="Candara" w:hAnsi="Calibri" w:cs="Times New Roman"/>
          <w:b/>
        </w:rPr>
        <w:t>ie HOF prowadzona jest tylko na </w:t>
      </w:r>
      <w:r w:rsidRPr="00E320BC">
        <w:rPr>
          <w:rFonts w:ascii="Calibri" w:eastAsia="Candara" w:hAnsi="Calibri" w:cs="Times New Roman"/>
          <w:b/>
        </w:rPr>
        <w:t xml:space="preserve">terenie Gminy Miejskiej Hrubieszów. </w:t>
      </w:r>
      <w:r w:rsidRPr="00E320BC">
        <w:rPr>
          <w:rFonts w:ascii="Calibri" w:eastAsia="Candara" w:hAnsi="Calibri" w:cs="Times New Roman"/>
        </w:rPr>
        <w:t xml:space="preserve">System jednostek edukacyjnych w Hrubieszowie jest rozbudowany i oferuje szeroki zakres kierunków kształcenia od liceów ogólnokształcących po kształcenie zawodowe w wielu dziedzinach. </w:t>
      </w:r>
      <w:r w:rsidR="004D7FFC" w:rsidRPr="00E320BC">
        <w:rPr>
          <w:rFonts w:ascii="Calibri" w:eastAsia="Candara" w:hAnsi="Calibri" w:cs="Times New Roman"/>
          <w:b/>
        </w:rPr>
        <w:t xml:space="preserve">Współczynnik </w:t>
      </w:r>
      <w:proofErr w:type="spellStart"/>
      <w:r w:rsidR="004D7FFC" w:rsidRPr="00E320BC">
        <w:rPr>
          <w:rFonts w:ascii="Calibri" w:eastAsia="Candara" w:hAnsi="Calibri" w:cs="Times New Roman"/>
          <w:b/>
        </w:rPr>
        <w:t>skolaryzacji</w:t>
      </w:r>
      <w:proofErr w:type="spellEnd"/>
      <w:r w:rsidR="004D7FFC" w:rsidRPr="00E320BC">
        <w:rPr>
          <w:rFonts w:ascii="Calibri" w:eastAsia="Candara" w:hAnsi="Calibri" w:cs="Times New Roman"/>
          <w:b/>
        </w:rPr>
        <w:t xml:space="preserve"> dla liceów ogólnokształcących na obszarze HOF przyjmuje </w:t>
      </w:r>
      <w:proofErr w:type="gramStart"/>
      <w:r w:rsidR="004D7FFC" w:rsidRPr="00E320BC">
        <w:rPr>
          <w:rFonts w:ascii="Calibri" w:eastAsia="Candara" w:hAnsi="Calibri" w:cs="Times New Roman"/>
          <w:b/>
        </w:rPr>
        <w:t>wartości powyżej 100</w:t>
      </w:r>
      <w:r w:rsidR="00ED7675">
        <w:rPr>
          <w:rFonts w:ascii="Calibri" w:eastAsia="Candara" w:hAnsi="Calibri" w:cs="Times New Roman"/>
        </w:rPr>
        <w:t>, co</w:t>
      </w:r>
      <w:proofErr w:type="gramEnd"/>
      <w:r w:rsidR="00ED7675">
        <w:rPr>
          <w:rFonts w:ascii="Calibri" w:eastAsia="Candara" w:hAnsi="Calibri" w:cs="Times New Roman"/>
        </w:rPr>
        <w:t xml:space="preserve"> oznacza, że w </w:t>
      </w:r>
      <w:r w:rsidRPr="00E320BC">
        <w:rPr>
          <w:rFonts w:ascii="Calibri" w:eastAsia="Candara" w:hAnsi="Calibri" w:cs="Times New Roman"/>
        </w:rPr>
        <w:t>przedstawionych szkołach uczy się również młodzież z sąsiednich gmin.</w:t>
      </w:r>
      <w:r w:rsidR="00992B5B">
        <w:rPr>
          <w:rFonts w:ascii="Calibri" w:eastAsia="Candara" w:hAnsi="Calibri" w:cs="Times New Roman"/>
        </w:rPr>
        <w:t xml:space="preserve"> </w:t>
      </w:r>
      <w:r w:rsidR="00992B5B" w:rsidRPr="00E42628">
        <w:rPr>
          <w:rFonts w:ascii="Calibri" w:eastAsia="Candara" w:hAnsi="Calibri" w:cs="Times New Roman"/>
        </w:rPr>
        <w:t xml:space="preserve">Wynika to z faktu, że w całym powiecie Hrubieszowskim wszystkie licea, poza jednym liceum ogólnokształcącym w Horodle (Gmina </w:t>
      </w:r>
      <w:r w:rsidR="006241B0">
        <w:rPr>
          <w:rFonts w:ascii="Calibri" w:eastAsia="Candara" w:hAnsi="Calibri" w:cs="Times New Roman"/>
        </w:rPr>
        <w:t>Horodło</w:t>
      </w:r>
      <w:r w:rsidR="00992B5B" w:rsidRPr="00E42628">
        <w:rPr>
          <w:rFonts w:ascii="Calibri" w:eastAsia="Candara" w:hAnsi="Calibri" w:cs="Times New Roman"/>
        </w:rPr>
        <w:t>), znajdują się na terenie Gminy Miejskiej Hrubieszów.</w:t>
      </w:r>
    </w:p>
    <w:p w:rsidR="00053409" w:rsidRPr="000501EB" w:rsidRDefault="009E59BD" w:rsidP="00053409">
      <w:pPr>
        <w:rPr>
          <w:rFonts w:ascii="Calibri" w:eastAsia="Candara" w:hAnsi="Calibri" w:cs="Times New Roman"/>
        </w:rPr>
      </w:pPr>
      <w:r w:rsidRPr="000501EB">
        <w:lastRenderedPageBreak/>
        <w:t xml:space="preserve">Ofertę edukacyjną na terenie HOF uzupełniają szkoły policealne oraz technika. </w:t>
      </w:r>
      <w:r w:rsidR="00992B5B" w:rsidRPr="000501EB">
        <w:rPr>
          <w:rFonts w:ascii="Calibri" w:eastAsia="Candara" w:hAnsi="Calibri" w:cs="Times New Roman"/>
          <w:b/>
        </w:rPr>
        <w:t xml:space="preserve">Infrastruktura szkolnictwa zawodowego jest w Mieście Hrubieszów dość dobrze rozwinięta, </w:t>
      </w:r>
      <w:r w:rsidR="00BA13B0" w:rsidRPr="000501EB">
        <w:rPr>
          <w:rFonts w:ascii="Calibri" w:eastAsia="Candara" w:hAnsi="Calibri" w:cs="Times New Roman"/>
          <w:b/>
        </w:rPr>
        <w:t>jednakże</w:t>
      </w:r>
      <w:r w:rsidR="00053409" w:rsidRPr="000501EB">
        <w:rPr>
          <w:rFonts w:ascii="Calibri" w:eastAsia="Candara" w:hAnsi="Calibri" w:cs="Times New Roman"/>
          <w:b/>
        </w:rPr>
        <w:t xml:space="preserve"> </w:t>
      </w:r>
      <w:r w:rsidR="00053409" w:rsidRPr="000501EB">
        <w:rPr>
          <w:rFonts w:ascii="Calibri" w:eastAsia="Candara" w:hAnsi="Calibri" w:cs="Times New Roman"/>
        </w:rPr>
        <w:t xml:space="preserve">analizując różnego rodzaju </w:t>
      </w:r>
      <w:proofErr w:type="gramStart"/>
      <w:r w:rsidR="00053409" w:rsidRPr="000501EB">
        <w:rPr>
          <w:rFonts w:ascii="Calibri" w:eastAsia="Candara" w:hAnsi="Calibri" w:cs="Times New Roman"/>
        </w:rPr>
        <w:t>rankingi jakości</w:t>
      </w:r>
      <w:proofErr w:type="gramEnd"/>
      <w:r w:rsidR="00053409" w:rsidRPr="000501EB">
        <w:rPr>
          <w:rFonts w:ascii="Calibri" w:eastAsia="Candara" w:hAnsi="Calibri" w:cs="Times New Roman"/>
        </w:rPr>
        <w:t xml:space="preserve"> kształcenia szkół średnich w kraju i województwie lubelskim można stwierdzić, że </w:t>
      </w:r>
      <w:r w:rsidR="00053409" w:rsidRPr="000501EB">
        <w:rPr>
          <w:rFonts w:ascii="Calibri" w:eastAsia="Candara" w:hAnsi="Calibri" w:cs="Times New Roman"/>
          <w:b/>
        </w:rPr>
        <w:t>funkcjonujące w Hrubieszowie technika nie plasują się na czołowych miejscach w</w:t>
      </w:r>
      <w:r w:rsidR="00ED7675" w:rsidRPr="000501EB">
        <w:rPr>
          <w:rFonts w:ascii="Calibri" w:eastAsia="Candara" w:hAnsi="Calibri" w:cs="Times New Roman"/>
          <w:b/>
        </w:rPr>
        <w:t> </w:t>
      </w:r>
      <w:r w:rsidR="00053409" w:rsidRPr="000501EB">
        <w:rPr>
          <w:rFonts w:ascii="Calibri" w:eastAsia="Candara" w:hAnsi="Calibri" w:cs="Times New Roman"/>
          <w:b/>
        </w:rPr>
        <w:t>województwie, a tym bardziej w kraju</w:t>
      </w:r>
      <w:r w:rsidR="00053409" w:rsidRPr="000501EB">
        <w:rPr>
          <w:rFonts w:ascii="Calibri" w:eastAsia="Candara" w:hAnsi="Calibri" w:cs="Times New Roman"/>
          <w:b/>
          <w:vertAlign w:val="superscript"/>
        </w:rPr>
        <w:footnoteReference w:id="4"/>
      </w:r>
      <w:r w:rsidR="00053409" w:rsidRPr="000501EB">
        <w:rPr>
          <w:rFonts w:ascii="Calibri" w:eastAsia="Candara" w:hAnsi="Calibri" w:cs="Times New Roman"/>
          <w:b/>
        </w:rPr>
        <w:t>. Natomiast zdecydowanie lepiej prezentują się w tym zakresie licea ogólnokształcące</w:t>
      </w:r>
      <w:r w:rsidR="00053409" w:rsidRPr="000501EB">
        <w:rPr>
          <w:rFonts w:ascii="Calibri" w:eastAsia="Candara" w:hAnsi="Calibri" w:cs="Times New Roman"/>
        </w:rPr>
        <w:t>, w tym przede wszystki</w:t>
      </w:r>
      <w:r w:rsidR="00ED7675" w:rsidRPr="000501EB">
        <w:rPr>
          <w:rFonts w:ascii="Calibri" w:eastAsia="Candara" w:hAnsi="Calibri" w:cs="Times New Roman"/>
        </w:rPr>
        <w:t>m I Liceum Ogólnokształcące im. </w:t>
      </w:r>
      <w:r w:rsidR="00053409" w:rsidRPr="000501EB">
        <w:rPr>
          <w:rFonts w:ascii="Calibri" w:eastAsia="Candara" w:hAnsi="Calibri" w:cs="Times New Roman"/>
        </w:rPr>
        <w:t>ks.</w:t>
      </w:r>
      <w:r w:rsidR="00ED7675" w:rsidRPr="000501EB">
        <w:rPr>
          <w:rFonts w:ascii="Calibri" w:eastAsia="Candara" w:hAnsi="Calibri" w:cs="Times New Roman"/>
        </w:rPr>
        <w:t> </w:t>
      </w:r>
      <w:r w:rsidR="00053409" w:rsidRPr="000501EB">
        <w:rPr>
          <w:rFonts w:ascii="Calibri" w:eastAsia="Candara" w:hAnsi="Calibri" w:cs="Times New Roman"/>
        </w:rPr>
        <w:t>Stanisława Staszica w Hrubieszowie, które w najnowszym rankingu Perspektyw z 2020 roku zostało sklasyfikowane na wysokim 21 miejscu w województwie lubelskim (na 66 ocenianych jednostek) oraz 385 miejscu w kraju (na ponad 1 200 jednostek ocenianych w kraju)</w:t>
      </w:r>
      <w:r w:rsidR="00053409" w:rsidRPr="000501EB">
        <w:rPr>
          <w:rFonts w:ascii="Calibri" w:eastAsia="Candara" w:hAnsi="Calibri" w:cs="Times New Roman"/>
          <w:vertAlign w:val="superscript"/>
        </w:rPr>
        <w:footnoteReference w:id="5"/>
      </w:r>
      <w:r w:rsidR="00053409" w:rsidRPr="000501EB">
        <w:rPr>
          <w:rFonts w:ascii="Calibri" w:eastAsia="Candara" w:hAnsi="Calibri" w:cs="Times New Roman"/>
        </w:rPr>
        <w:t xml:space="preserve">. </w:t>
      </w:r>
    </w:p>
    <w:p w:rsidR="00E06A7C" w:rsidRPr="00E06A7C" w:rsidRDefault="00053409" w:rsidP="00E06A7C">
      <w:pPr>
        <w:rPr>
          <w:rFonts w:ascii="Calibri" w:eastAsia="Candara" w:hAnsi="Calibri" w:cs="Times New Roman"/>
          <w:b/>
        </w:rPr>
      </w:pPr>
      <w:r w:rsidRPr="000501EB">
        <w:rPr>
          <w:rFonts w:ascii="Calibri" w:eastAsia="Candara" w:hAnsi="Calibri" w:cs="Times New Roman"/>
          <w:b/>
        </w:rPr>
        <w:t>Na przestrzeni ostatnich sześciu lat</w:t>
      </w:r>
      <w:r w:rsidRPr="000501EB">
        <w:rPr>
          <w:rFonts w:ascii="Calibri" w:eastAsia="Candara" w:hAnsi="Calibri" w:cs="Times New Roman"/>
        </w:rPr>
        <w:t xml:space="preserve"> </w:t>
      </w:r>
      <w:r w:rsidRPr="000501EB">
        <w:rPr>
          <w:rFonts w:ascii="Calibri" w:eastAsia="Candara" w:hAnsi="Calibri" w:cs="Times New Roman"/>
          <w:b/>
        </w:rPr>
        <w:t>obserwowany jest</w:t>
      </w:r>
      <w:r w:rsidRPr="000501EB">
        <w:rPr>
          <w:rFonts w:ascii="Calibri" w:eastAsia="Candara" w:hAnsi="Calibri" w:cs="Times New Roman"/>
        </w:rPr>
        <w:t xml:space="preserve"> </w:t>
      </w:r>
      <w:r w:rsidRPr="000501EB">
        <w:rPr>
          <w:rFonts w:ascii="Calibri" w:eastAsia="Candara" w:hAnsi="Calibri" w:cs="Times New Roman"/>
          <w:b/>
        </w:rPr>
        <w:t>spadek</w:t>
      </w:r>
      <w:r w:rsidR="00E320BC" w:rsidRPr="000501EB">
        <w:rPr>
          <w:rFonts w:ascii="Calibri" w:eastAsia="Candara" w:hAnsi="Calibri" w:cs="Times New Roman"/>
          <w:b/>
        </w:rPr>
        <w:t xml:space="preserve"> liczby absolwentów </w:t>
      </w:r>
      <w:r w:rsidRPr="000501EB">
        <w:rPr>
          <w:rFonts w:ascii="Calibri" w:eastAsia="Candara" w:hAnsi="Calibri" w:cs="Times New Roman"/>
          <w:b/>
        </w:rPr>
        <w:t xml:space="preserve">szkół, mimo, że </w:t>
      </w:r>
      <w:r w:rsidR="00E06A7C" w:rsidRPr="000501EB">
        <w:rPr>
          <w:rFonts w:ascii="Calibri" w:eastAsia="Candara" w:hAnsi="Calibri" w:cs="Times New Roman"/>
          <w:b/>
        </w:rPr>
        <w:t>szkoły oferują szeroki wachlarz kierunków kształcenia.</w:t>
      </w:r>
      <w:r w:rsidR="00E320BC" w:rsidRPr="00E320BC">
        <w:rPr>
          <w:rFonts w:ascii="Calibri" w:eastAsia="Candara" w:hAnsi="Calibri" w:cs="Times New Roman"/>
          <w:b/>
        </w:rPr>
        <w:t xml:space="preserve"> </w:t>
      </w:r>
      <w:r w:rsidR="000501EB">
        <w:t>P</w:t>
      </w:r>
      <w:r w:rsidR="000501EB" w:rsidRPr="00851D42">
        <w:t>rofil kształcenia nie odpowiada potrzeb</w:t>
      </w:r>
      <w:r w:rsidR="000501EB">
        <w:t>om przedsiębiorców i </w:t>
      </w:r>
      <w:r w:rsidR="000501EB" w:rsidRPr="00851D42">
        <w:t>lokalnego rynku pracy</w:t>
      </w:r>
      <w:r w:rsidR="000501EB">
        <w:t>.</w:t>
      </w:r>
      <w:r w:rsidR="000501EB" w:rsidRPr="00E320BC">
        <w:t xml:space="preserve"> </w:t>
      </w:r>
      <w:r w:rsidRPr="00E320BC">
        <w:t xml:space="preserve">Co roku w HOF najwięcej absolwentów kończy szkoły </w:t>
      </w:r>
      <w:proofErr w:type="gramStart"/>
      <w:r w:rsidRPr="00E320BC">
        <w:t xml:space="preserve">ogólnokształcące. </w:t>
      </w:r>
      <w:proofErr w:type="gramEnd"/>
      <w:r w:rsidRPr="00E320BC">
        <w:t>Jest to około 300 osób rocznie. Większość z nich wybiera dalszą edukację. Absolwenci szkół średnich zawodowych to około 130 osób rocznie, natomiast absolwenci zasadniczych szkół zawodowych, szkół branżowych I stopnia i szkół przyspasabiających do pracy zawodowej specjalnej to zaledwie około 60 osób rocznie i wskaźnik ten znacząco spada w ostatnich latach.</w:t>
      </w:r>
    </w:p>
    <w:p w:rsidR="00E320BC" w:rsidRPr="00E320BC" w:rsidRDefault="000501EB" w:rsidP="00E320BC">
      <w:pPr>
        <w:spacing w:after="0"/>
        <w:ind w:firstLine="357"/>
        <w:rPr>
          <w:rFonts w:ascii="Calibri" w:eastAsia="Candara" w:hAnsi="Calibri" w:cs="Times New Roman"/>
        </w:rPr>
      </w:pPr>
      <w:r w:rsidRPr="00851D42">
        <w:t xml:space="preserve">Odzwierciedleniem </w:t>
      </w:r>
      <w:proofErr w:type="gramStart"/>
      <w:r w:rsidRPr="00851D42">
        <w:t>niskiej jakości</w:t>
      </w:r>
      <w:proofErr w:type="gramEnd"/>
      <w:r w:rsidRPr="00851D42">
        <w:t xml:space="preserve"> kształcenia w szkołach ponadpodstawowych są słabe wyniki osiągane przez ucznió</w:t>
      </w:r>
      <w:r>
        <w:t>w na testach kwalifikacyjnych i </w:t>
      </w:r>
      <w:r w:rsidRPr="00851D42">
        <w:t>maturalnych, a także same opinie uczniów szkół ponadpodstawowych</w:t>
      </w:r>
      <w:r>
        <w:t xml:space="preserve">. </w:t>
      </w:r>
      <w:r w:rsidR="00E320BC" w:rsidRPr="00E320BC">
        <w:rPr>
          <w:rFonts w:ascii="Calibri" w:eastAsia="Candara" w:hAnsi="Calibri" w:cs="Times New Roman"/>
        </w:rPr>
        <w:t>Największym udziałem zdanych egzaminów maturalnych w HOF charakteryzują się licea ogólnokształcące, poziom zdawalności to około 95% i więcej. Szkoły dla dorosłych oraz Technikum Zakładu Doskonalenia Zawodowego charakteryzują się niewielką liczbą osób przystępujących do egzaminów maturalnych, naj</w:t>
      </w:r>
      <w:r>
        <w:rPr>
          <w:rFonts w:ascii="Calibri" w:eastAsia="Candara" w:hAnsi="Calibri" w:cs="Times New Roman"/>
        </w:rPr>
        <w:t>mniejszą zdawalność egzaminów w </w:t>
      </w:r>
      <w:r w:rsidR="00E320BC" w:rsidRPr="00E320BC">
        <w:rPr>
          <w:rFonts w:ascii="Calibri" w:eastAsia="Candara" w:hAnsi="Calibri" w:cs="Times New Roman"/>
        </w:rPr>
        <w:t>analizowanym okresie czasu zanotowano w Liceum Ogólnokształcącym dla Dorosłych Edukacji Innowacyjnej w Hrubieszowie.</w:t>
      </w:r>
    </w:p>
    <w:p w:rsidR="00DC3012" w:rsidRPr="00E320BC" w:rsidRDefault="00E320BC" w:rsidP="00DC3012">
      <w:pPr>
        <w:spacing w:after="240"/>
        <w:ind w:firstLine="357"/>
        <w:rPr>
          <w:rFonts w:ascii="Calibri" w:eastAsia="Candara" w:hAnsi="Calibri" w:cs="Times New Roman"/>
        </w:rPr>
      </w:pPr>
      <w:r w:rsidRPr="00E320BC">
        <w:rPr>
          <w:rFonts w:ascii="Calibri" w:eastAsia="Candara" w:hAnsi="Calibri" w:cs="Times New Roman"/>
        </w:rPr>
        <w:t xml:space="preserve">W 2020 roku do egzaminów zawodowych w HOF przystąpiło dużo mniej osób w porównaniu do  egzaminów przeprowadzonych w dwóch poprzednich latach. Sytuacja ta prawdopodobnie ma związek z panującą w Polsce i na świecie pandemią COVID-19 i związanymi z tym licznymi ograniczeniami. Najwięcej świadectw uzyskali absolwenci w zawodach: prowadzenie produkcji rolniczej oraz organizacja i prowadzenie przedsiębiorstwa w agrobiznesie. </w:t>
      </w:r>
      <w:r w:rsidR="000501EB">
        <w:rPr>
          <w:rFonts w:ascii="Calibri" w:eastAsia="Candara" w:hAnsi="Calibri" w:cs="Times New Roman"/>
          <w:b/>
        </w:rPr>
        <w:t>Należy wnioskować, że </w:t>
      </w:r>
      <w:r w:rsidR="00935A99" w:rsidRPr="00770E2B">
        <w:rPr>
          <w:rFonts w:ascii="Calibri" w:eastAsia="Candara" w:hAnsi="Calibri" w:cs="Times New Roman"/>
          <w:b/>
        </w:rPr>
        <w:t xml:space="preserve">wybór tego zawodu </w:t>
      </w:r>
      <w:r w:rsidR="00DC3012" w:rsidRPr="00770E2B">
        <w:rPr>
          <w:rFonts w:ascii="Calibri" w:eastAsia="Candara" w:hAnsi="Calibri" w:cs="Times New Roman"/>
          <w:b/>
        </w:rPr>
        <w:t>pokierowany jest zapotrzebowaniem na wykwalifikowanych pracowników w branży rolniczej</w:t>
      </w:r>
      <w:r w:rsidR="009E59BD" w:rsidRPr="00770E2B">
        <w:rPr>
          <w:rFonts w:ascii="Calibri" w:eastAsia="Candara" w:hAnsi="Calibri" w:cs="Times New Roman"/>
          <w:b/>
        </w:rPr>
        <w:t>, jak również chęcią kontynuacji prowa</w:t>
      </w:r>
      <w:r w:rsidR="000501EB">
        <w:rPr>
          <w:rFonts w:ascii="Calibri" w:eastAsia="Candara" w:hAnsi="Calibri" w:cs="Times New Roman"/>
          <w:b/>
        </w:rPr>
        <w:t>dzenia działalności rolniczej w </w:t>
      </w:r>
      <w:r w:rsidR="009E59BD" w:rsidRPr="00770E2B">
        <w:rPr>
          <w:rFonts w:ascii="Calibri" w:eastAsia="Candara" w:hAnsi="Calibri" w:cs="Times New Roman"/>
          <w:b/>
        </w:rPr>
        <w:t>gospodarstwach rodzinnych, ale opartej na wiedzy i dobrych praktykach</w:t>
      </w:r>
      <w:r w:rsidR="00935A99" w:rsidRPr="00770E2B">
        <w:rPr>
          <w:rFonts w:ascii="Calibri" w:eastAsia="Candara" w:hAnsi="Calibri" w:cs="Times New Roman"/>
          <w:b/>
        </w:rPr>
        <w:t xml:space="preserve"> (</w:t>
      </w:r>
      <w:r w:rsidR="009E59BD" w:rsidRPr="00770E2B">
        <w:rPr>
          <w:rFonts w:ascii="Calibri" w:eastAsia="Candara" w:hAnsi="Calibri" w:cs="Times New Roman"/>
          <w:b/>
        </w:rPr>
        <w:t xml:space="preserve">znaczenie </w:t>
      </w:r>
      <w:r w:rsidR="00E06A7C" w:rsidRPr="00770E2B">
        <w:rPr>
          <w:rFonts w:ascii="Calibri" w:eastAsia="Candara" w:hAnsi="Calibri" w:cs="Times New Roman"/>
          <w:b/>
        </w:rPr>
        <w:t xml:space="preserve">przy wyborze kierunku kształcenia </w:t>
      </w:r>
      <w:r w:rsidR="009E59BD" w:rsidRPr="00770E2B">
        <w:rPr>
          <w:rFonts w:ascii="Calibri" w:eastAsia="Candara" w:hAnsi="Calibri" w:cs="Times New Roman"/>
          <w:b/>
        </w:rPr>
        <w:t xml:space="preserve">ma </w:t>
      </w:r>
      <w:r w:rsidR="00935A99" w:rsidRPr="00770E2B">
        <w:rPr>
          <w:rFonts w:ascii="Calibri" w:eastAsia="Candara" w:hAnsi="Calibri" w:cs="Times New Roman"/>
          <w:b/>
        </w:rPr>
        <w:t xml:space="preserve">przekazywanie gospodarstw rolnych, obrót ziemią, </w:t>
      </w:r>
      <w:r w:rsidR="00E06A7C" w:rsidRPr="00770E2B">
        <w:rPr>
          <w:rFonts w:ascii="Calibri" w:eastAsia="Candara" w:hAnsi="Calibri" w:cs="Times New Roman"/>
          <w:b/>
        </w:rPr>
        <w:t>możliwość pozyskania różnorodnych środków unijnych,</w:t>
      </w:r>
      <w:r w:rsidR="00935A99" w:rsidRPr="00770E2B">
        <w:rPr>
          <w:rFonts w:ascii="Calibri" w:eastAsia="Candara" w:hAnsi="Calibri" w:cs="Times New Roman"/>
          <w:b/>
        </w:rPr>
        <w:t xml:space="preserve"> itp.)</w:t>
      </w:r>
      <w:r w:rsidR="00DC3012" w:rsidRPr="00770E2B">
        <w:rPr>
          <w:rFonts w:ascii="Calibri" w:eastAsia="Candara" w:hAnsi="Calibri" w:cs="Times New Roman"/>
          <w:b/>
        </w:rPr>
        <w:t xml:space="preserve">, głównego kierunku rozwojowego HOF zgodnie z założeniami </w:t>
      </w:r>
      <w:r w:rsidR="00ED7675" w:rsidRPr="00770E2B">
        <w:rPr>
          <w:rFonts w:ascii="Calibri" w:eastAsia="Candara" w:hAnsi="Calibri" w:cs="Times New Roman"/>
          <w:b/>
        </w:rPr>
        <w:t>OSI Żywicielskiego zapisanego w </w:t>
      </w:r>
      <w:r w:rsidR="00DC3012" w:rsidRPr="00770E2B">
        <w:rPr>
          <w:rFonts w:ascii="Calibri" w:eastAsia="Candara" w:hAnsi="Calibri" w:cs="Times New Roman"/>
          <w:b/>
        </w:rPr>
        <w:t>Strategii Rozwoju Województwa Lubelskiego.</w:t>
      </w:r>
      <w:r w:rsidR="00DC3012" w:rsidRPr="00E320BC">
        <w:rPr>
          <w:rFonts w:ascii="Calibri" w:eastAsia="Candara" w:hAnsi="Calibri" w:cs="Times New Roman"/>
        </w:rPr>
        <w:t xml:space="preserve"> </w:t>
      </w:r>
    </w:p>
    <w:p w:rsidR="00E320BC" w:rsidRDefault="00E320BC" w:rsidP="00E320BC">
      <w:pPr>
        <w:spacing w:after="240"/>
        <w:ind w:firstLine="357"/>
        <w:rPr>
          <w:rFonts w:ascii="Calibri" w:eastAsia="Book Antiqua" w:hAnsi="Calibri" w:cs="Candara"/>
          <w:b/>
        </w:rPr>
      </w:pPr>
      <w:r w:rsidRPr="00E320BC">
        <w:rPr>
          <w:rFonts w:ascii="Calibri" w:eastAsia="Candara" w:hAnsi="Calibri" w:cs="Candara"/>
        </w:rPr>
        <w:lastRenderedPageBreak/>
        <w:t xml:space="preserve">W przedziale wiekowym odpowiadającym edukacji w szkołach wyższych (19-24 lata) w 2019 roku znajdowało się 1 961 osób i w porównaniu do roku 2014 nastąpił spadek o 20,55%. </w:t>
      </w:r>
      <w:r w:rsidRPr="00E320BC">
        <w:rPr>
          <w:rFonts w:ascii="Calibri" w:eastAsia="Book Antiqua" w:hAnsi="Calibri" w:cs="Candara"/>
          <w:b/>
        </w:rPr>
        <w:t>Ze względu na trendy demograficzne przewiduje się spadek tej liczby w kolejnych latach.</w:t>
      </w:r>
    </w:p>
    <w:p w:rsidR="000501EB" w:rsidRDefault="000501EB" w:rsidP="00E320BC">
      <w:pPr>
        <w:spacing w:after="240"/>
        <w:ind w:firstLine="357"/>
      </w:pPr>
      <w:r>
        <w:t>Na terenie</w:t>
      </w:r>
      <w:r w:rsidRPr="00851D42">
        <w:t xml:space="preserve"> miasta nie funkcjonuje żadna placówka szkolnictwa wyżs</w:t>
      </w:r>
      <w:r>
        <w:t xml:space="preserve">zego. Szacuje się, ze około </w:t>
      </w:r>
      <w:r w:rsidRPr="00851D42">
        <w:t>(</w:t>
      </w:r>
      <w:r>
        <w:t xml:space="preserve">45% absolwentów szkół średnich </w:t>
      </w:r>
      <w:r w:rsidRPr="00851D42">
        <w:t>kontynuuje naukę na poziomie wyższym – głównie na uczelniach wyższych w Zamościu, Chełmie, Lublinie, Rzeszowie, Kr</w:t>
      </w:r>
      <w:r>
        <w:t>akowie i Warszawie. Większość z </w:t>
      </w:r>
      <w:r w:rsidRPr="00851D42">
        <w:t>tych osób nie powraca już na stałe do rodzinnego</w:t>
      </w:r>
      <w:r>
        <w:t xml:space="preserve"> miejsca zamieszkania</w:t>
      </w:r>
      <w:r w:rsidRPr="00851D42">
        <w:t xml:space="preserve">, przyczyniając się w ten sposób do negatywnych trendów demograficznych </w:t>
      </w:r>
      <w:r>
        <w:t>na terenie HOF</w:t>
      </w:r>
      <w:r w:rsidRPr="00851D42">
        <w:t>.</w:t>
      </w:r>
    </w:p>
    <w:p w:rsidR="00E320BC" w:rsidRPr="00E320BC" w:rsidRDefault="007B33A1" w:rsidP="00E320BC">
      <w:pPr>
        <w:spacing w:after="0"/>
        <w:ind w:firstLine="357"/>
        <w:rPr>
          <w:rFonts w:ascii="Calibri" w:eastAsia="Candara" w:hAnsi="Calibri" w:cs="Times New Roman"/>
          <w:b/>
          <w:i/>
          <w:color w:val="936A07"/>
        </w:rPr>
      </w:pPr>
      <w:r w:rsidRPr="00E320BC">
        <w:rPr>
          <w:rFonts w:ascii="Calibri" w:eastAsia="Candara" w:hAnsi="Calibri" w:cs="Times New Roman"/>
          <w:b/>
          <w:bCs/>
          <w:i/>
          <w:iCs/>
          <w:noProof/>
          <w:color w:val="F5C040"/>
          <w:lang w:eastAsia="pl-PL"/>
        </w:rPr>
        <mc:AlternateContent>
          <mc:Choice Requires="wps">
            <w:drawing>
              <wp:anchor distT="0" distB="0" distL="114300" distR="114300" simplePos="0" relativeHeight="251679744" behindDoc="0" locked="0" layoutInCell="1" allowOverlap="1" wp14:anchorId="321D2C4C" wp14:editId="24393BD9">
                <wp:simplePos x="0" y="0"/>
                <wp:positionH relativeFrom="column">
                  <wp:posOffset>-79180</wp:posOffset>
                </wp:positionH>
                <wp:positionV relativeFrom="paragraph">
                  <wp:posOffset>-20564</wp:posOffset>
                </wp:positionV>
                <wp:extent cx="5922645" cy="4478215"/>
                <wp:effectExtent l="0" t="0" r="20955" b="17780"/>
                <wp:wrapNone/>
                <wp:docPr id="488" name="Prostokąt 488"/>
                <wp:cNvGraphicFramePr/>
                <a:graphic xmlns:a="http://schemas.openxmlformats.org/drawingml/2006/main">
                  <a:graphicData uri="http://schemas.microsoft.com/office/word/2010/wordprocessingShape">
                    <wps:wsp>
                      <wps:cNvSpPr/>
                      <wps:spPr>
                        <a:xfrm>
                          <a:off x="0" y="0"/>
                          <a:ext cx="5922645" cy="4478215"/>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488" o:spid="_x0000_s1026" style="position:absolute;margin-left:-6.25pt;margin-top:-1.6pt;width:466.35pt;height:352.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" filled="f" strokecolor="#dc9f0c" strokeweight="1.25pt"/>
            </w:pict>
          </mc:Fallback>
        </mc:AlternateContent>
      </w:r>
      <w:r w:rsidR="00E320BC"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Wyniki badań ankietowych przeprowadzone wśród młodzieży szkół ponadpodstawowych wydają się potwierdzać tezę o </w:t>
      </w:r>
      <w:proofErr w:type="gramStart"/>
      <w:r w:rsidRPr="00E320BC">
        <w:rPr>
          <w:rFonts w:ascii="Calibri" w:eastAsia="Candara" w:hAnsi="Calibri" w:cs="Times New Roman"/>
          <w:i/>
          <w:color w:val="936A07"/>
        </w:rPr>
        <w:t>niezadawalającej jakości</w:t>
      </w:r>
      <w:proofErr w:type="gramEnd"/>
      <w:r w:rsidRPr="00E320BC">
        <w:rPr>
          <w:rFonts w:ascii="Calibri" w:eastAsia="Candara" w:hAnsi="Calibri" w:cs="Times New Roman"/>
          <w:i/>
          <w:color w:val="936A07"/>
        </w:rPr>
        <w:t xml:space="preserve"> kształcenia w szkołach działających na terenie miasta Hrubieszów</w:t>
      </w:r>
      <w:r w:rsidRPr="00E320BC">
        <w:rPr>
          <w:rFonts w:ascii="Calibri" w:eastAsia="Candara" w:hAnsi="Calibri" w:cs="Times New Roman"/>
          <w:i/>
          <w:color w:val="936A07"/>
          <w:vertAlign w:val="superscript"/>
        </w:rPr>
        <w:footnoteReference w:id="6"/>
      </w:r>
      <w:r w:rsidRPr="00E320BC">
        <w:rPr>
          <w:rFonts w:ascii="Calibri" w:eastAsia="Candara" w:hAnsi="Calibri" w:cs="Times New Roman"/>
          <w:i/>
          <w:color w:val="936A07"/>
        </w:rPr>
        <w:t>. Na pytanie dotyczące potrzeb uzupełnienia bądź pogłębienia wiedzy zdobywanej w szkołach młodzież najczęściej zgłasza takie potrzeby w zakresie: znajomości praktycznej języków obcych (62% ankietowanych); praktycznych umiejętności zawodowych (53%), wiedzy specjalistycznej związanej z zawodem (37%) oraz wiedzy z zakresu planowania i prowadzenia własnej firmy (28%). W tym samym badaniu uczniowie wskazują na dość niskie wykorzystywanie doradztwa zawodowego prowadzonego w szkołach, oceniając jego przydatność na poziomie 9% i twierdząc, że w planowaniu swojej dalszej edukacji i rozwoju zawodowego najczęściej kierują się podpowiedziami rodziny (74% badanych), opiniami swoich rówieśników (53%) oraz informacjami zaczerpniętymi z mediów (27%).</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Młodzieży szkolnej z terenu HOF brakuje również atrakcyjnej oferty korzystania z zajęć pozalekcyjnych, w tym te związane z nowymi technologiami. Ponad 80% badanych uczniów twierdzi, że nie ma możliwości skorzystania z takich zajęć jak: robotyka, inteligentne klocki, komputery i oprogramowanie</w:t>
      </w:r>
      <w:r w:rsidRPr="00E320BC">
        <w:rPr>
          <w:rFonts w:ascii="Calibri" w:eastAsia="Candara" w:hAnsi="Calibri" w:cs="Times New Roman"/>
          <w:i/>
          <w:color w:val="936A07"/>
          <w:vertAlign w:val="superscript"/>
        </w:rPr>
        <w:footnoteReference w:id="7"/>
      </w:r>
      <w:r w:rsidRPr="00E320BC">
        <w:rPr>
          <w:rFonts w:ascii="Calibri" w:eastAsia="Candara" w:hAnsi="Calibri" w:cs="Times New Roman"/>
          <w:i/>
          <w:color w:val="936A07"/>
        </w:rPr>
        <w:t xml:space="preserve">. Brak oferty zajęć dodatkowych i pozalekcyjnych (naukowych i sportowych) potwierdzają również wyniki ankiety oceny stanu i potencjału Hrubieszowskiego Obszaru Funkcjonalnego przeprowadzonej wśród mieszkańców w 2021 roku. Dostęp do dodatkowej oferty edukacyjnej został najniżej oceniony pośród elementów edukacji i kultury. Kategorię oceny „bardzo zły” wybrało 10,4% ankietowanych przy jednoczesnym udziale oceny „zły” rzędu 17,9%. 4,85% </w:t>
      </w:r>
      <w:proofErr w:type="gramStart"/>
      <w:r w:rsidRPr="00E320BC">
        <w:rPr>
          <w:rFonts w:ascii="Calibri" w:eastAsia="Candara" w:hAnsi="Calibri" w:cs="Times New Roman"/>
          <w:i/>
          <w:color w:val="936A07"/>
        </w:rPr>
        <w:t>odpowiedzi</w:t>
      </w:r>
      <w:proofErr w:type="gramEnd"/>
      <w:r w:rsidRPr="00E320BC">
        <w:rPr>
          <w:rFonts w:ascii="Calibri" w:eastAsia="Candara" w:hAnsi="Calibri" w:cs="Times New Roman"/>
          <w:i/>
          <w:color w:val="936A07"/>
        </w:rPr>
        <w:t xml:space="preserve"> dotyczących zagadnienia edukacji zgłaszało potrzebę </w:t>
      </w:r>
      <w:r w:rsidRPr="00E320BC">
        <w:rPr>
          <w:rFonts w:ascii="Calibri" w:eastAsia="Candara" w:hAnsi="Calibri" w:cs="Calibri"/>
          <w:i/>
          <w:color w:val="936A07"/>
          <w:szCs w:val="20"/>
        </w:rPr>
        <w:t>stworzenia odpowiedniej bazy kulturalno-naukowej dla dzieci i młodzieży, prowadzenie zajęć dodatkowych naukowych i sportowych dla dzieci.</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Instytucje kultury oraz infrastruktura rekreacyjno-sportowa</w:t>
      </w:r>
    </w:p>
    <w:p w:rsidR="006B30E9" w:rsidRPr="005B2590" w:rsidRDefault="002959DA" w:rsidP="007E56DF">
      <w:pPr>
        <w:spacing w:after="0"/>
        <w:ind w:firstLine="357"/>
        <w:rPr>
          <w:rFonts w:ascii="Calibri" w:eastAsia="Candara" w:hAnsi="Calibri" w:cs="Candara"/>
          <w:b/>
        </w:rPr>
      </w:pPr>
      <w:r w:rsidRPr="005B2590">
        <w:rPr>
          <w:rFonts w:ascii="Calibri" w:eastAsia="Candara" w:hAnsi="Calibri" w:cs="Times New Roman"/>
          <w:b/>
        </w:rPr>
        <w:t>Na terenie HOF funkcjonuje sieć obiektów i miejsc pozwalaj</w:t>
      </w:r>
      <w:r w:rsidR="00ED7675" w:rsidRPr="005B2590">
        <w:rPr>
          <w:rFonts w:ascii="Calibri" w:eastAsia="Candara" w:hAnsi="Calibri" w:cs="Times New Roman"/>
          <w:b/>
        </w:rPr>
        <w:t>ących na </w:t>
      </w:r>
      <w:r w:rsidRPr="005B2590">
        <w:rPr>
          <w:rFonts w:ascii="Calibri" w:eastAsia="Candara" w:hAnsi="Calibri" w:cs="Times New Roman"/>
          <w:b/>
        </w:rPr>
        <w:t>zaspokajanie przez mieszkańców szeroko rozumianych potrzeb kulturalnych, rozrywkowych i rekreacyjnych mieszkańców i turystów.</w:t>
      </w:r>
      <w:r w:rsidR="007E56DF" w:rsidRPr="005B2590">
        <w:rPr>
          <w:rFonts w:ascii="Calibri" w:eastAsia="Candara" w:hAnsi="Calibri" w:cs="Times New Roman"/>
          <w:b/>
        </w:rPr>
        <w:t xml:space="preserve"> Jednakże większość obiektów oferujących wydarzenia kulturalne skupiona jest w centrum HOF – na </w:t>
      </w:r>
      <w:r w:rsidR="006B30E9" w:rsidRPr="005B2590">
        <w:rPr>
          <w:rFonts w:ascii="Calibri" w:eastAsia="Candara" w:hAnsi="Calibri" w:cs="Times New Roman"/>
          <w:b/>
        </w:rPr>
        <w:t>obszarze M</w:t>
      </w:r>
      <w:r w:rsidR="007E56DF" w:rsidRPr="005B2590">
        <w:rPr>
          <w:rFonts w:ascii="Calibri" w:eastAsia="Candara" w:hAnsi="Calibri" w:cs="Times New Roman"/>
          <w:b/>
        </w:rPr>
        <w:t>iasta</w:t>
      </w:r>
      <w:r w:rsidR="006B30E9" w:rsidRPr="005B2590">
        <w:rPr>
          <w:rFonts w:ascii="Calibri" w:eastAsia="Candara" w:hAnsi="Calibri" w:cs="Times New Roman"/>
          <w:b/>
        </w:rPr>
        <w:t xml:space="preserve"> Hrubieszów</w:t>
      </w:r>
      <w:r w:rsidR="007E56DF" w:rsidRPr="005B2590">
        <w:rPr>
          <w:rFonts w:ascii="Calibri" w:eastAsia="Candara" w:hAnsi="Calibri" w:cs="Times New Roman"/>
          <w:b/>
        </w:rPr>
        <w:t xml:space="preserve"> oraz w Gminnym Ośrodku Kultury z siedzibą w Wołajowicach. </w:t>
      </w:r>
      <w:r w:rsidRPr="005B2590">
        <w:rPr>
          <w:rFonts w:ascii="Calibri" w:eastAsia="Candara" w:hAnsi="Calibri" w:cs="Times New Roman"/>
          <w:b/>
        </w:rPr>
        <w:t>Głównymi organizatorami wydarzeń kulturalnych oraz pro</w:t>
      </w:r>
      <w:r w:rsidR="00C62E31" w:rsidRPr="005B2590">
        <w:rPr>
          <w:rFonts w:ascii="Calibri" w:eastAsia="Candara" w:hAnsi="Calibri" w:cs="Times New Roman"/>
          <w:b/>
        </w:rPr>
        <w:t xml:space="preserve">wadzącymi </w:t>
      </w:r>
      <w:r w:rsidR="00C62E31" w:rsidRPr="005B2590">
        <w:rPr>
          <w:rFonts w:ascii="Calibri" w:eastAsia="Candara" w:hAnsi="Calibri" w:cs="Times New Roman"/>
          <w:b/>
        </w:rPr>
        <w:lastRenderedPageBreak/>
        <w:t>działalność kulturowo-edukacyjną</w:t>
      </w:r>
      <w:r w:rsidRPr="005B2590">
        <w:rPr>
          <w:rFonts w:ascii="Calibri" w:eastAsia="Candara" w:hAnsi="Calibri" w:cs="Times New Roman"/>
          <w:b/>
        </w:rPr>
        <w:t xml:space="preserve"> są: </w:t>
      </w:r>
      <w:r w:rsidRPr="005B2590">
        <w:rPr>
          <w:rFonts w:ascii="Calibri" w:eastAsia="Candara" w:hAnsi="Calibri" w:cs="Candara"/>
        </w:rPr>
        <w:t xml:space="preserve">Hrubieszowski Dom Kultury, </w:t>
      </w:r>
      <w:r w:rsidR="007B33A1" w:rsidRPr="005B2590">
        <w:rPr>
          <w:rFonts w:ascii="Calibri" w:eastAsia="Candara" w:hAnsi="Calibri" w:cs="Candara"/>
        </w:rPr>
        <w:t>Miejska Biblioteka Publiczna</w:t>
      </w:r>
      <w:r w:rsidR="00D837F7" w:rsidRPr="005B2590">
        <w:rPr>
          <w:rFonts w:ascii="Calibri" w:eastAsia="Candara" w:hAnsi="Calibri" w:cs="Candara"/>
        </w:rPr>
        <w:t xml:space="preserve"> (</w:t>
      </w:r>
      <w:r w:rsidR="00D837F7" w:rsidRPr="005B2590">
        <w:t xml:space="preserve">od 2023 r. </w:t>
      </w:r>
      <w:r w:rsidR="00D837F7" w:rsidRPr="005B2590">
        <w:rPr>
          <w:rStyle w:val="Pogrubienie"/>
          <w:b w:val="0"/>
        </w:rPr>
        <w:t xml:space="preserve">Miejska Biblioteka Publiczna – Hrubieszowskie Centrum Dziedzictwa im. Krystyny i Stefana </w:t>
      </w:r>
      <w:proofErr w:type="spellStart"/>
      <w:r w:rsidR="00D837F7" w:rsidRPr="005B2590">
        <w:rPr>
          <w:rStyle w:val="Pogrubienie"/>
          <w:b w:val="0"/>
        </w:rPr>
        <w:t>Du</w:t>
      </w:r>
      <w:proofErr w:type="spellEnd"/>
      <w:r w:rsidR="00D837F7" w:rsidRPr="005B2590">
        <w:rPr>
          <w:rStyle w:val="Pogrubienie"/>
          <w:b w:val="0"/>
        </w:rPr>
        <w:t xml:space="preserve"> </w:t>
      </w:r>
      <w:proofErr w:type="spellStart"/>
      <w:r w:rsidR="00D837F7" w:rsidRPr="005B2590">
        <w:rPr>
          <w:rStyle w:val="Pogrubienie"/>
          <w:b w:val="0"/>
        </w:rPr>
        <w:t>Chateau</w:t>
      </w:r>
      <w:proofErr w:type="spellEnd"/>
      <w:r w:rsidR="00D837F7" w:rsidRPr="005B2590">
        <w:rPr>
          <w:rStyle w:val="Pogrubienie"/>
          <w:b w:val="0"/>
        </w:rPr>
        <w:t>)</w:t>
      </w:r>
      <w:r w:rsidR="00D837F7" w:rsidRPr="005B2590">
        <w:rPr>
          <w:rStyle w:val="Pogrubienie"/>
        </w:rPr>
        <w:t xml:space="preserve"> </w:t>
      </w:r>
      <w:r w:rsidRPr="005B2590">
        <w:rPr>
          <w:rFonts w:ascii="Calibri" w:eastAsia="Candara" w:hAnsi="Calibri" w:cs="Candara"/>
        </w:rPr>
        <w:t xml:space="preserve">wraz z filiami, </w:t>
      </w:r>
      <w:r w:rsidRPr="005B2590">
        <w:rPr>
          <w:rFonts w:ascii="Calibri" w:eastAsia="Candara" w:hAnsi="Calibri" w:cs="Times New Roman"/>
        </w:rPr>
        <w:t xml:space="preserve">Muzeum im. ks. Stanisława Staszica, Gminny Ośrodek Kultury w Hrubieszowie z siedzibą w Wołajowicach. </w:t>
      </w:r>
      <w:r w:rsidR="00ED7675" w:rsidRPr="005B2590">
        <w:rPr>
          <w:rFonts w:ascii="Calibri" w:eastAsia="Candara" w:hAnsi="Calibri" w:cs="Times New Roman"/>
          <w:lang w:eastAsia="pl-PL"/>
        </w:rPr>
        <w:t>Na </w:t>
      </w:r>
      <w:r w:rsidRPr="005B2590">
        <w:rPr>
          <w:rFonts w:ascii="Calibri" w:eastAsia="Candara" w:hAnsi="Calibri" w:cs="Times New Roman"/>
          <w:lang w:eastAsia="pl-PL"/>
        </w:rPr>
        <w:t xml:space="preserve">obszarze gminy Hrubieszów bardzo szeroko rozwinięty jest Amatorski Ruch Artystyczny </w:t>
      </w:r>
      <w:r w:rsidRPr="005B2590">
        <w:rPr>
          <w:lang w:eastAsia="pl-PL"/>
        </w:rPr>
        <w:t>skupiający ogółem 210 osób w zespołach: śpiewaczych, teatralno-woka</w:t>
      </w:r>
      <w:r w:rsidR="00ED7675" w:rsidRPr="005B2590">
        <w:rPr>
          <w:lang w:eastAsia="pl-PL"/>
        </w:rPr>
        <w:t>lnym, kabaretowych, tanecznym i </w:t>
      </w:r>
      <w:r w:rsidRPr="005B2590">
        <w:rPr>
          <w:lang w:eastAsia="pl-PL"/>
        </w:rPr>
        <w:t>muzycznym</w:t>
      </w:r>
      <w:r w:rsidR="00DC3012" w:rsidRPr="005B2590">
        <w:rPr>
          <w:rStyle w:val="Odwoanieprzypisudolnego"/>
          <w:lang w:eastAsia="pl-PL"/>
        </w:rPr>
        <w:footnoteReference w:id="8"/>
      </w:r>
      <w:r w:rsidRPr="005B2590">
        <w:rPr>
          <w:rFonts w:ascii="Calibri" w:eastAsia="Candara" w:hAnsi="Calibri" w:cs="Times New Roman"/>
          <w:lang w:eastAsia="pl-PL"/>
        </w:rPr>
        <w:t xml:space="preserve">. </w:t>
      </w:r>
      <w:r w:rsidRPr="005B2590">
        <w:rPr>
          <w:rFonts w:ascii="Calibri" w:eastAsia="Candara" w:hAnsi="Calibri" w:cs="Candara"/>
          <w:b/>
        </w:rPr>
        <w:t xml:space="preserve">Ważną rolę dla Hrubieszowskiego Obszaru Funkcjonalnego pełni również </w:t>
      </w:r>
      <w:proofErr w:type="spellStart"/>
      <w:r w:rsidRPr="005B2590">
        <w:rPr>
          <w:rFonts w:ascii="Calibri" w:eastAsia="Candara" w:hAnsi="Calibri" w:cs="Candara"/>
          <w:b/>
        </w:rPr>
        <w:t>Masłomęckie</w:t>
      </w:r>
      <w:proofErr w:type="spellEnd"/>
      <w:r w:rsidRPr="005B2590">
        <w:rPr>
          <w:rFonts w:ascii="Calibri" w:eastAsia="Candara" w:hAnsi="Calibri" w:cs="Candara"/>
          <w:b/>
        </w:rPr>
        <w:t xml:space="preserve"> Stowarzyszenie Wioska Gotów.</w:t>
      </w:r>
    </w:p>
    <w:p w:rsidR="006B30E9" w:rsidRDefault="007E56DF" w:rsidP="006B30E9">
      <w:r w:rsidRPr="005B2590">
        <w:rPr>
          <w:rFonts w:ascii="Calibri" w:eastAsia="Candara" w:hAnsi="Calibri" w:cs="Candara"/>
        </w:rPr>
        <w:t xml:space="preserve">Ze względu na duże skupienie usług kultury mieszkańcy HOF borykają się z problemem małej dostępności </w:t>
      </w:r>
      <w:r w:rsidRPr="005B2590">
        <w:t>do kultury</w:t>
      </w:r>
      <w:r w:rsidR="006B30E9" w:rsidRPr="005B2590">
        <w:t>, w szczególności</w:t>
      </w:r>
      <w:r w:rsidRPr="005B2590">
        <w:t xml:space="preserve"> </w:t>
      </w:r>
      <w:r w:rsidR="006B30E9" w:rsidRPr="005B2590">
        <w:t>mieszkańcy</w:t>
      </w:r>
      <w:r w:rsidRPr="005B2590">
        <w:t xml:space="preserve"> obszarów wiejskich</w:t>
      </w:r>
      <w:r w:rsidR="006B30E9" w:rsidRPr="005B2590">
        <w:t xml:space="preserve"> (peryferyjnych sołectw)</w:t>
      </w:r>
      <w:r w:rsidRPr="005B2590">
        <w:t>. Ograniczona mobilność głównie</w:t>
      </w:r>
      <w:r w:rsidR="006B30E9" w:rsidRPr="005B2590">
        <w:t xml:space="preserve"> osób</w:t>
      </w:r>
      <w:r w:rsidRPr="005B2590">
        <w:t xml:space="preserve"> starszych oraz </w:t>
      </w:r>
      <w:r w:rsidR="006B30E9" w:rsidRPr="005B2590">
        <w:t>młodych w wieku szkolnym</w:t>
      </w:r>
      <w:r w:rsidRPr="005B2590">
        <w:t xml:space="preserve"> w miejscowościach wiejskich uniemożliwia ich aktywizację kulturową i przyczynia się do wykluczenia społecznego.</w:t>
      </w:r>
      <w:r w:rsidR="006B30E9" w:rsidRPr="005B2590">
        <w:t xml:space="preserve"> Niezwykle istotne jest dotarcie do małych miejscowości wiejskich, oddalonych od Miasta Hrubieszów, z ofertą kulturową </w:t>
      </w:r>
      <w:r w:rsidR="007B33A1" w:rsidRPr="005B2590">
        <w:t>HOF</w:t>
      </w:r>
      <w:r w:rsidR="006B30E9" w:rsidRPr="005B2590">
        <w:t xml:space="preserve">.  W wyniku centralizacji usług kultury, w miejscowościach peryferyjnych rzadziej dochodzi do organizowania różnorodnych „imprez” przez urzędy gmin bądź inne instytucje. Wiąże się to z przekonaniem, że w tym miejscowościach nie ma wystarczającej liczby potencjalnych odbiorców. Wpływa to na ograniczenie integracji społeczeństwa oraz ograniczenie możliwości rozwoju (brak możliwości uczestniczenia m.in. w zajęciach dodatkowych, rozwojowych). Istotną kwestią jest również zły stan techniczny </w:t>
      </w:r>
      <w:r w:rsidR="007B33A1" w:rsidRPr="005B2590">
        <w:t xml:space="preserve">Hrubieszowskiego Domu </w:t>
      </w:r>
      <w:proofErr w:type="gramStart"/>
      <w:r w:rsidR="007B33A1" w:rsidRPr="005B2590">
        <w:t xml:space="preserve">Kultury  </w:t>
      </w:r>
      <w:r w:rsidR="006B30E9" w:rsidRPr="005B2590">
        <w:t>(jedynego</w:t>
      </w:r>
      <w:proofErr w:type="gramEnd"/>
      <w:r w:rsidR="006B30E9" w:rsidRPr="005B2590">
        <w:t xml:space="preserve"> takiego obiektu na obszarze </w:t>
      </w:r>
      <w:r w:rsidR="007B33A1" w:rsidRPr="005B2590">
        <w:t>powiatu hrubieszowskiego</w:t>
      </w:r>
      <w:r w:rsidR="006B30E9" w:rsidRPr="005B2590">
        <w:t>)</w:t>
      </w:r>
      <w:r w:rsidR="007B33A1" w:rsidRPr="005B2590">
        <w:t xml:space="preserve">, który pełni funkcje </w:t>
      </w:r>
      <w:r w:rsidR="007B33A1" w:rsidRPr="005B2590">
        <w:rPr>
          <w:rFonts w:cstheme="minorHAnsi"/>
        </w:rPr>
        <w:t>społeczno-kulturalne, edukacyjne, szkoleniowe i wystawiennicze</w:t>
      </w:r>
      <w:r w:rsidR="006B30E9" w:rsidRPr="005B2590">
        <w:rPr>
          <w:rFonts w:cstheme="minorHAnsi"/>
        </w:rPr>
        <w:t>.</w:t>
      </w:r>
      <w:r w:rsidR="007B33A1" w:rsidRPr="005B2590">
        <w:t xml:space="preserve"> W Hrubieszowskim Domu Kultury znajduje się kino i sala widowiskowa/koncertowa, w której odbywają się cykliczne imprezy, w tym również imprezy o zasięgu krajowym.</w:t>
      </w:r>
      <w:r w:rsidR="006B30E9" w:rsidRPr="005B2590">
        <w:t xml:space="preserve"> </w:t>
      </w:r>
      <w:r w:rsidR="007B33A1" w:rsidRPr="005B2590">
        <w:t xml:space="preserve">Budynek, w którym mieści się Hrubieszowski Dom Kultury został wybudowany w połowie lat 80 i obecnie jest w złym stanie technicznym i obiekt znacznie stracił na swojej atrakcyjności. Brakuje w nim również nowoczesnego wyposażenia. Coraz częściej staje się to barierą zamykającą drogę do innowacyjnych form kulturalnych. </w:t>
      </w:r>
      <w:r w:rsidR="006B30E9" w:rsidRPr="005B2590">
        <w:t>Aktualny stan techniczny obiektu uniemożliwia  wykorzystanie jego pełnego potencjału lokalowego i kulturowego, a to przekłada się na m</w:t>
      </w:r>
      <w:r w:rsidR="007B33A1" w:rsidRPr="005B2590">
        <w:t>ało atrakcyjną ofertę kulturową, na którą, zgodnie z ankietyzacją mieszkańców HOF, istnieje duże zapotrzebowanie. Aby umożliwić poprawę obecnego stanu należy głównie dostosować salę widowiskową wraz z zapleczem, tak, aby zapewnić wyższy standard usług i rozszerzyć ofertę kulturową</w:t>
      </w:r>
      <w:r w:rsidR="00717E7D" w:rsidRPr="005B2590">
        <w:t xml:space="preserve">. Działania te wpłyną </w:t>
      </w:r>
      <w:proofErr w:type="gramStart"/>
      <w:r w:rsidR="00717E7D" w:rsidRPr="005B2590">
        <w:t>pozytywnie na jakość</w:t>
      </w:r>
      <w:proofErr w:type="gramEnd"/>
      <w:r w:rsidR="00717E7D" w:rsidRPr="005B2590">
        <w:t xml:space="preserve"> i wachlarz</w:t>
      </w:r>
      <w:r w:rsidR="007B33A1" w:rsidRPr="005B2590">
        <w:t xml:space="preserve"> usług kulturalnych oferowanych w HDK, a tym samym </w:t>
      </w:r>
      <w:r w:rsidR="00717E7D" w:rsidRPr="005B2590">
        <w:t>na wzrost</w:t>
      </w:r>
      <w:r w:rsidR="007B33A1" w:rsidRPr="005B2590">
        <w:t xml:space="preserve"> aktywności społecznej mieszkańców MOF. Należy również podjąć działania zmierzające do upowszechnienia dostępu do wydarzeń kulturowych na obszarze całego HOF.</w:t>
      </w:r>
    </w:p>
    <w:p w:rsidR="00C62E31" w:rsidRDefault="002959DA" w:rsidP="002959DA">
      <w:pPr>
        <w:spacing w:after="0"/>
        <w:ind w:firstLine="357"/>
        <w:rPr>
          <w:rFonts w:ascii="Calibri" w:eastAsia="Candara" w:hAnsi="Calibri" w:cs="Times New Roman"/>
        </w:rPr>
      </w:pPr>
      <w:r w:rsidRPr="00E320BC">
        <w:rPr>
          <w:rFonts w:ascii="Calibri" w:eastAsia="Candara" w:hAnsi="Calibri" w:cs="Times New Roman"/>
        </w:rPr>
        <w:t xml:space="preserve">Chociaż w ciągu ostatnich lat </w:t>
      </w:r>
      <w:r w:rsidRPr="00E320BC">
        <w:rPr>
          <w:rFonts w:ascii="Calibri" w:eastAsia="Candara" w:hAnsi="Calibri" w:cs="Times New Roman"/>
          <w:b/>
        </w:rPr>
        <w:t>oferta kalendarza imprezowego obszaru HOF ciągle się poszerza i wprowadzane są nowe inicjatywy,</w:t>
      </w:r>
      <w:r w:rsidR="0068799A" w:rsidRPr="00E320BC">
        <w:rPr>
          <w:rFonts w:ascii="Calibri" w:eastAsia="Candara" w:hAnsi="Calibri" w:cs="Times New Roman"/>
        </w:rPr>
        <w:t xml:space="preserve"> </w:t>
      </w:r>
      <w:r w:rsidR="0068799A" w:rsidRPr="00E320BC">
        <w:rPr>
          <w:rFonts w:ascii="Calibri" w:eastAsia="Candara" w:hAnsi="Calibri" w:cs="Times New Roman"/>
          <w:b/>
        </w:rPr>
        <w:t xml:space="preserve">to od 2016 roku zauważalny jest spadek wskaźnika liczby </w:t>
      </w:r>
      <w:r w:rsidR="0068799A" w:rsidRPr="00770E2B">
        <w:rPr>
          <w:rFonts w:ascii="Calibri" w:eastAsia="Candara" w:hAnsi="Calibri" w:cs="Times New Roman"/>
          <w:b/>
        </w:rPr>
        <w:t>imprez na</w:t>
      </w:r>
      <w:r w:rsidRPr="00770E2B">
        <w:rPr>
          <w:rFonts w:ascii="Calibri" w:eastAsia="Candara" w:hAnsi="Calibri" w:cs="Times New Roman"/>
          <w:b/>
        </w:rPr>
        <w:t xml:space="preserve"> 1000 mieszkańców.</w:t>
      </w:r>
      <w:r w:rsidRPr="00770E2B">
        <w:rPr>
          <w:rFonts w:ascii="Calibri" w:eastAsia="Candara" w:hAnsi="Calibri" w:cs="Times New Roman"/>
        </w:rPr>
        <w:t xml:space="preserve"> </w:t>
      </w:r>
      <w:r w:rsidRPr="00770E2B">
        <w:rPr>
          <w:rFonts w:ascii="Calibri" w:eastAsia="Candara" w:hAnsi="Calibri" w:cs="Times New Roman"/>
          <w:b/>
        </w:rPr>
        <w:t>Stopień uczestnictwa mieszkańców HOF w imprezach jest znacznie niższy od tego, co</w:t>
      </w:r>
      <w:r w:rsidRPr="00E320BC">
        <w:rPr>
          <w:rFonts w:ascii="Calibri" w:eastAsia="Candara" w:hAnsi="Calibri" w:cs="Times New Roman"/>
          <w:b/>
        </w:rPr>
        <w:t xml:space="preserve"> można zaobserwować dla MOF z grupy porównawczej.</w:t>
      </w:r>
      <w:r w:rsidRPr="00E320BC">
        <w:rPr>
          <w:rFonts w:ascii="Calibri" w:eastAsia="Candara" w:hAnsi="Calibri" w:cs="Times New Roman"/>
        </w:rPr>
        <w:t xml:space="preserve"> </w:t>
      </w:r>
      <w:r w:rsidR="00493CF4">
        <w:rPr>
          <w:rFonts w:ascii="Calibri" w:eastAsia="Candara" w:hAnsi="Calibri" w:cs="Times New Roman"/>
        </w:rPr>
        <w:t>Przypuszczalnie wynika to</w:t>
      </w:r>
      <w:r w:rsidRPr="00E320BC">
        <w:rPr>
          <w:rFonts w:ascii="Calibri" w:eastAsia="Candara" w:hAnsi="Calibri" w:cs="Times New Roman"/>
        </w:rPr>
        <w:t xml:space="preserve"> </w:t>
      </w:r>
      <w:r w:rsidRPr="00E320BC">
        <w:rPr>
          <w:rFonts w:ascii="Calibri" w:eastAsia="Candara" w:hAnsi="Calibri" w:cs="Times New Roman"/>
        </w:rPr>
        <w:lastRenderedPageBreak/>
        <w:t>z niskiej atrakcyjności oferty kulturalnej miasta i gminy czy słabego promowania imprez wśród mieszkańców</w:t>
      </w:r>
      <w:r w:rsidR="00493CF4">
        <w:rPr>
          <w:rFonts w:ascii="Calibri" w:eastAsia="Candara" w:hAnsi="Calibri" w:cs="Times New Roman"/>
        </w:rPr>
        <w:t>,</w:t>
      </w:r>
      <w:r w:rsidRPr="00E320BC">
        <w:rPr>
          <w:rFonts w:ascii="Calibri" w:eastAsia="Candara" w:hAnsi="Calibri" w:cs="Times New Roman"/>
        </w:rPr>
        <w:t xml:space="preserve"> </w:t>
      </w:r>
      <w:r w:rsidR="00493CF4">
        <w:rPr>
          <w:rFonts w:ascii="Calibri" w:eastAsia="Candara" w:hAnsi="Calibri" w:cs="Times New Roman"/>
        </w:rPr>
        <w:t>co skutkuje</w:t>
      </w:r>
      <w:r w:rsidRPr="00E320BC">
        <w:rPr>
          <w:rFonts w:ascii="Calibri" w:eastAsia="Candara" w:hAnsi="Calibri" w:cs="Times New Roman"/>
        </w:rPr>
        <w:t xml:space="preserve"> bierności</w:t>
      </w:r>
      <w:r w:rsidR="00493CF4">
        <w:rPr>
          <w:rFonts w:ascii="Calibri" w:eastAsia="Candara" w:hAnsi="Calibri" w:cs="Times New Roman"/>
        </w:rPr>
        <w:t>ą</w:t>
      </w:r>
      <w:r w:rsidRPr="00E320BC">
        <w:rPr>
          <w:rFonts w:ascii="Calibri" w:eastAsia="Candara" w:hAnsi="Calibri" w:cs="Times New Roman"/>
        </w:rPr>
        <w:t xml:space="preserve"> </w:t>
      </w:r>
      <w:r w:rsidR="00493CF4">
        <w:rPr>
          <w:rFonts w:ascii="Calibri" w:eastAsia="Candara" w:hAnsi="Calibri" w:cs="Times New Roman"/>
        </w:rPr>
        <w:t xml:space="preserve">do uczestnictwa w imprezach masowych </w:t>
      </w:r>
      <w:r w:rsidRPr="00E320BC">
        <w:rPr>
          <w:rFonts w:ascii="Calibri" w:eastAsia="Candara" w:hAnsi="Calibri" w:cs="Times New Roman"/>
        </w:rPr>
        <w:t>samych mieszkańców, którzy z różnych przyczyn nie chcą lub nie mogą uczestniczyć w organizowanych wydarzeniach.</w:t>
      </w:r>
    </w:p>
    <w:p w:rsidR="002959DA" w:rsidRPr="00E320BC" w:rsidRDefault="0068799A" w:rsidP="002959DA">
      <w:pPr>
        <w:spacing w:after="0"/>
        <w:ind w:firstLine="357"/>
        <w:rPr>
          <w:rFonts w:ascii="Calibri" w:eastAsia="Candara" w:hAnsi="Calibri" w:cs="Times New Roman"/>
        </w:rPr>
      </w:pPr>
      <w:r>
        <w:rPr>
          <w:rFonts w:ascii="Calibri" w:eastAsia="Candara" w:hAnsi="Calibri" w:cs="Times New Roman"/>
        </w:rPr>
        <w:t>Należy mieć na uwadze fakt, iż opisywany stan rzeczy dotyczy okresu z przed pandemii COVID-19. W latach 2020-2021 większość imprez ze względu na wprowadzone obostrzenia nie mogła się odbyć.</w:t>
      </w:r>
    </w:p>
    <w:p w:rsidR="002959DA" w:rsidRPr="00E320BC" w:rsidRDefault="00493CF4" w:rsidP="002959DA">
      <w:pPr>
        <w:spacing w:after="0"/>
        <w:ind w:firstLine="357"/>
        <w:rPr>
          <w:rFonts w:ascii="Calibri" w:eastAsia="Candara" w:hAnsi="Calibri" w:cs="Times New Roman"/>
        </w:rPr>
      </w:pPr>
      <w:r>
        <w:rPr>
          <w:rFonts w:ascii="Calibri" w:eastAsia="Candara" w:hAnsi="Calibri" w:cs="Times New Roman"/>
          <w:b/>
        </w:rPr>
        <w:t>Pomimo małego zainteresowania uczestnictwem w wydarzeniach organizowanych przez instytucje kultury należy stwierdzić, że mieszkańcy c</w:t>
      </w:r>
      <w:r w:rsidR="002959DA" w:rsidRPr="00E320BC">
        <w:rPr>
          <w:rFonts w:ascii="Calibri" w:eastAsia="Candara" w:hAnsi="Calibri" w:cs="Times New Roman"/>
          <w:b/>
        </w:rPr>
        <w:t>h</w:t>
      </w:r>
      <w:r>
        <w:rPr>
          <w:rFonts w:ascii="Calibri" w:eastAsia="Candara" w:hAnsi="Calibri" w:cs="Times New Roman"/>
          <w:b/>
        </w:rPr>
        <w:t>ętnie uczestniczą</w:t>
      </w:r>
      <w:r w:rsidR="002959DA" w:rsidRPr="00E320BC">
        <w:rPr>
          <w:rFonts w:ascii="Calibri" w:eastAsia="Candara" w:hAnsi="Calibri" w:cs="Times New Roman"/>
          <w:b/>
        </w:rPr>
        <w:t xml:space="preserve"> w zajęciach dodatkowych </w:t>
      </w:r>
      <w:r w:rsidR="00ED7675">
        <w:rPr>
          <w:rFonts w:ascii="Calibri" w:eastAsia="Candara" w:hAnsi="Calibri" w:cs="Times New Roman"/>
          <w:b/>
        </w:rPr>
        <w:t>i </w:t>
      </w:r>
      <w:r>
        <w:rPr>
          <w:rFonts w:ascii="Calibri" w:eastAsia="Candara" w:hAnsi="Calibri" w:cs="Times New Roman"/>
          <w:b/>
        </w:rPr>
        <w:t>rozwijają swoje pasje. Świadczy o tym</w:t>
      </w:r>
      <w:r w:rsidR="002959DA" w:rsidRPr="00E320BC">
        <w:rPr>
          <w:rFonts w:ascii="Calibri" w:eastAsia="Candara" w:hAnsi="Calibri" w:cs="Times New Roman"/>
          <w:b/>
        </w:rPr>
        <w:t xml:space="preserve"> wskaźnik liczby kół, klubów i sekcji na 1000 mieszkańców, który generalnie rośnie</w:t>
      </w:r>
      <w:r w:rsidR="00AA33D3">
        <w:rPr>
          <w:rFonts w:ascii="Calibri" w:eastAsia="Candara" w:hAnsi="Calibri" w:cs="Times New Roman"/>
          <w:b/>
        </w:rPr>
        <w:t xml:space="preserve"> (w 2019 roku w HOF wynosił 1,89 na 1000 mieszkańców)</w:t>
      </w:r>
      <w:r w:rsidR="002959DA" w:rsidRPr="00E320BC">
        <w:rPr>
          <w:rFonts w:ascii="Calibri" w:eastAsia="Candara" w:hAnsi="Calibri" w:cs="Times New Roman"/>
          <w:b/>
        </w:rPr>
        <w:t xml:space="preserve"> i jest relatywnie wysoki w porównaniu z MOF grupy porównawczej</w:t>
      </w:r>
      <w:r w:rsidR="00AA33D3">
        <w:rPr>
          <w:rFonts w:ascii="Calibri" w:eastAsia="Candara" w:hAnsi="Calibri" w:cs="Times New Roman"/>
          <w:b/>
        </w:rPr>
        <w:t xml:space="preserve"> (MOF Krasnystaw 1,75, MOF Włodawa 0,54)</w:t>
      </w:r>
      <w:r w:rsidR="002959DA" w:rsidRPr="00E320BC">
        <w:rPr>
          <w:rFonts w:ascii="Calibri" w:eastAsia="Candara" w:hAnsi="Calibri" w:cs="Times New Roman"/>
        </w:rPr>
        <w:t>. Przekłada się to również na wzrastającą liczbę członków tychże organizacji</w:t>
      </w:r>
      <w:r w:rsidR="00AA33D3">
        <w:rPr>
          <w:rFonts w:ascii="Calibri" w:eastAsia="Candara" w:hAnsi="Calibri" w:cs="Times New Roman"/>
        </w:rPr>
        <w:t xml:space="preserve"> (W 2019 roku wskaźnik dla HOF wynosił 32,9 na 1000 mieszkańców)</w:t>
      </w:r>
      <w:r w:rsidR="002959DA" w:rsidRPr="00E320BC">
        <w:rPr>
          <w:rFonts w:ascii="Calibri" w:eastAsia="Candara" w:hAnsi="Calibri" w:cs="Times New Roman"/>
        </w:rPr>
        <w:t>.</w:t>
      </w:r>
    </w:p>
    <w:p w:rsidR="002959DA" w:rsidRPr="00E320BC" w:rsidRDefault="002959DA" w:rsidP="002959DA">
      <w:pPr>
        <w:spacing w:after="120"/>
        <w:ind w:firstLine="357"/>
        <w:rPr>
          <w:rFonts w:ascii="Calibri" w:eastAsia="Candara" w:hAnsi="Calibri" w:cs="Times New Roman"/>
        </w:rPr>
      </w:pPr>
      <w:r w:rsidRPr="00E320BC">
        <w:rPr>
          <w:rFonts w:ascii="Calibri" w:eastAsia="Candara" w:hAnsi="Calibri" w:cs="Times New Roman"/>
          <w:b/>
        </w:rPr>
        <w:t xml:space="preserve">Na terenie HOF infrastruktura rekreacyjno-sportowa jest rozbudowana i oferuje szeroki </w:t>
      </w:r>
      <w:r w:rsidRPr="00770E2B">
        <w:rPr>
          <w:rFonts w:ascii="Calibri" w:eastAsia="Candara" w:hAnsi="Calibri" w:cs="Times New Roman"/>
          <w:b/>
          <w:shd w:val="clear" w:color="auto" w:fill="FFFFFF" w:themeFill="background1"/>
        </w:rPr>
        <w:t>wachlarz zajęć dodatkowych</w:t>
      </w:r>
      <w:r w:rsidR="00B36889">
        <w:rPr>
          <w:rStyle w:val="Odwoanieprzypisudolnego"/>
          <w:rFonts w:ascii="Calibri" w:eastAsia="Candara" w:hAnsi="Calibri" w:cs="Times New Roman"/>
          <w:b/>
          <w:shd w:val="clear" w:color="auto" w:fill="FFFFFF" w:themeFill="background1"/>
        </w:rPr>
        <w:footnoteReference w:id="9"/>
      </w:r>
      <w:r w:rsidRPr="00770E2B">
        <w:rPr>
          <w:rFonts w:ascii="Calibri" w:eastAsia="Candara" w:hAnsi="Calibri" w:cs="Times New Roman"/>
          <w:b/>
          <w:shd w:val="clear" w:color="auto" w:fill="FFFFFF" w:themeFill="background1"/>
        </w:rPr>
        <w:t>.</w:t>
      </w:r>
      <w:r w:rsidRPr="00770E2B">
        <w:rPr>
          <w:rFonts w:ascii="Calibri" w:eastAsia="Candara" w:hAnsi="Calibri" w:cs="Times New Roman"/>
          <w:shd w:val="clear" w:color="auto" w:fill="FFFFFF" w:themeFill="background1"/>
        </w:rPr>
        <w:t xml:space="preserve"> Infrastruktura wciąż jest rozwijana. Powstają również nowe place zabaw oraz siłownie na świeżym powietrzu.</w:t>
      </w:r>
      <w:r w:rsidR="00B3286A" w:rsidRPr="00770E2B">
        <w:rPr>
          <w:rFonts w:ascii="Calibri" w:eastAsia="Candara" w:hAnsi="Calibri" w:cs="Times New Roman"/>
          <w:shd w:val="clear" w:color="auto" w:fill="FFFFFF" w:themeFill="background1"/>
        </w:rPr>
        <w:t xml:space="preserve"> Infrastruktura rekreacyjno-sportowa HOF została dokładnie opisana w podrozdziale „Aktywność obywatelska” w </w:t>
      </w:r>
      <w:r w:rsidR="00683363">
        <w:rPr>
          <w:rFonts w:ascii="Calibri" w:eastAsia="Candara" w:hAnsi="Calibri" w:cs="Times New Roman"/>
          <w:shd w:val="clear" w:color="auto" w:fill="FFFFFF" w:themeFill="background1"/>
        </w:rPr>
        <w:t xml:space="preserve">„diagnozie </w:t>
      </w:r>
      <w:r w:rsidR="00683363" w:rsidRPr="00683363">
        <w:rPr>
          <w:rFonts w:ascii="Calibri" w:eastAsia="Candara" w:hAnsi="Calibri" w:cs="Times New Roman"/>
          <w:shd w:val="clear" w:color="auto" w:fill="FFFFFF" w:themeFill="background1"/>
        </w:rPr>
        <w:t>sytuacji społecznej, gospodarczej i przestrzennej Hrubieszowskiego Obszaru Funkcjonalnego</w:t>
      </w:r>
      <w:r w:rsidR="00683363">
        <w:rPr>
          <w:rFonts w:ascii="Calibri" w:eastAsia="Candara" w:hAnsi="Calibri" w:cs="Times New Roman"/>
          <w:shd w:val="clear" w:color="auto" w:fill="FFFFFF" w:themeFill="background1"/>
        </w:rPr>
        <w:t>”</w:t>
      </w:r>
      <w:r w:rsidR="00B3286A" w:rsidRPr="00770E2B">
        <w:rPr>
          <w:rFonts w:ascii="Calibri" w:eastAsia="Candara" w:hAnsi="Calibri" w:cs="Times New Roman"/>
          <w:shd w:val="clear" w:color="auto" w:fill="FFFFFF" w:themeFill="background1"/>
        </w:rPr>
        <w:t xml:space="preserve">. </w:t>
      </w:r>
      <w:r w:rsidRPr="00770E2B">
        <w:rPr>
          <w:rFonts w:ascii="Calibri" w:eastAsia="Candara" w:hAnsi="Calibri" w:cs="Times New Roman"/>
          <w:shd w:val="clear" w:color="auto" w:fill="FFFFFF" w:themeFill="background1"/>
        </w:rPr>
        <w:t xml:space="preserve"> Na terenie HOF działa</w:t>
      </w:r>
      <w:r w:rsidR="00572A39" w:rsidRPr="00770E2B">
        <w:rPr>
          <w:rFonts w:ascii="Calibri" w:eastAsia="Candara" w:hAnsi="Calibri" w:cs="Times New Roman"/>
          <w:shd w:val="clear" w:color="auto" w:fill="FFFFFF" w:themeFill="background1"/>
        </w:rPr>
        <w:t>ją 4 kluby sportowe</w:t>
      </w:r>
      <w:r w:rsidRPr="00E320BC">
        <w:rPr>
          <w:rFonts w:ascii="Calibri" w:eastAsia="Candara" w:hAnsi="Calibri" w:cs="Times New Roman"/>
        </w:rPr>
        <w:t xml:space="preserve"> oraz </w:t>
      </w:r>
      <w:r w:rsidR="00572A39">
        <w:rPr>
          <w:rFonts w:ascii="Calibri" w:eastAsia="Candara" w:hAnsi="Calibri" w:cs="Times New Roman"/>
        </w:rPr>
        <w:t xml:space="preserve">kilka </w:t>
      </w:r>
      <w:r w:rsidRPr="00E320BC">
        <w:rPr>
          <w:rFonts w:ascii="Calibri" w:eastAsia="Candara" w:hAnsi="Calibri" w:cs="Times New Roman"/>
        </w:rPr>
        <w:t>sekcji sportowych. Również rokrocznie organizowanych jest wiele wydarzeń sportowych.</w:t>
      </w:r>
      <w:r w:rsidR="00572A39">
        <w:rPr>
          <w:rFonts w:ascii="Calibri" w:eastAsia="Candara" w:hAnsi="Calibri" w:cs="Times New Roman"/>
        </w:rPr>
        <w:t xml:space="preserve"> </w:t>
      </w:r>
      <w:r w:rsidRPr="00E320BC">
        <w:rPr>
          <w:rFonts w:ascii="Calibri" w:eastAsia="Candara" w:hAnsi="Calibri" w:cs="Times New Roman"/>
        </w:rPr>
        <w:t>HOF posiada także zasób lokali i budynków komunalnych do udostępniania na spotkania podmiotów prowadzących działal</w:t>
      </w:r>
      <w:r w:rsidR="00B3286A">
        <w:rPr>
          <w:rFonts w:ascii="Calibri" w:eastAsia="Candara" w:hAnsi="Calibri" w:cs="Times New Roman"/>
        </w:rPr>
        <w:t>ność pożytku publicznego (dla 8 </w:t>
      </w:r>
      <w:r w:rsidRPr="00E320BC">
        <w:rPr>
          <w:rFonts w:ascii="Calibri" w:eastAsia="Candara" w:hAnsi="Calibri" w:cs="Times New Roman"/>
        </w:rPr>
        <w:t>organizacji pozarządowych).</w:t>
      </w:r>
    </w:p>
    <w:p w:rsidR="00E320BC" w:rsidRDefault="00E320BC" w:rsidP="00E320BC">
      <w:pPr>
        <w:spacing w:after="120"/>
        <w:ind w:firstLine="357"/>
        <w:rPr>
          <w:rFonts w:ascii="Calibri" w:eastAsia="Candara" w:hAnsi="Calibri" w:cs="Times New Roman"/>
          <w:b/>
        </w:rPr>
      </w:pPr>
      <w:r w:rsidRPr="00E320BC">
        <w:rPr>
          <w:rFonts w:ascii="Calibri" w:eastAsia="Candara" w:hAnsi="Calibri" w:cs="Times New Roman"/>
          <w:b/>
        </w:rPr>
        <w:t>Wciąż rozbudowy wymaga sieć ścieżek rowerowych w granicach HOF jak również istnieje konieczność uzupełnienia oznaczeń w terenie szlaków pieszych.</w:t>
      </w:r>
    </w:p>
    <w:p w:rsidR="00405114" w:rsidRDefault="005B2590" w:rsidP="007B33A1">
      <w:pPr>
        <w:rPr>
          <w:rFonts w:ascii="Calibri" w:eastAsia="Candara" w:hAnsi="Calibri" w:cs="Times New Roman"/>
          <w:b/>
          <w:i/>
          <w:color w:val="936A07"/>
        </w:rPr>
      </w:pPr>
      <w:r w:rsidRPr="00606FF5">
        <w:rPr>
          <w:rFonts w:eastAsia="Candara" w:cstheme="minorHAnsi"/>
          <w:b/>
          <w:noProof/>
          <w:lang w:eastAsia="pl-PL"/>
        </w:rPr>
        <mc:AlternateContent>
          <mc:Choice Requires="wps">
            <w:drawing>
              <wp:anchor distT="0" distB="0" distL="114300" distR="114300" simplePos="0" relativeHeight="251726848" behindDoc="0" locked="0" layoutInCell="1" allowOverlap="1" wp14:anchorId="25DC05EC" wp14:editId="04DBEEBA">
                <wp:simplePos x="0" y="0"/>
                <wp:positionH relativeFrom="column">
                  <wp:posOffset>-86995</wp:posOffset>
                </wp:positionH>
                <wp:positionV relativeFrom="paragraph">
                  <wp:posOffset>1441450</wp:posOffset>
                </wp:positionV>
                <wp:extent cx="5922645" cy="755650"/>
                <wp:effectExtent l="0" t="0" r="20955" b="25400"/>
                <wp:wrapNone/>
                <wp:docPr id="48" name="Prostokąt 48"/>
                <wp:cNvGraphicFramePr/>
                <a:graphic xmlns:a="http://schemas.openxmlformats.org/drawingml/2006/main">
                  <a:graphicData uri="http://schemas.microsoft.com/office/word/2010/wordprocessingShape">
                    <wps:wsp>
                      <wps:cNvSpPr/>
                      <wps:spPr>
                        <a:xfrm>
                          <a:off x="0" y="0"/>
                          <a:ext cx="5922645" cy="755650"/>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Prostokąt 48" o:spid="_x0000_s1026" style="position:absolute;margin-left:-6.85pt;margin-top:113.5pt;width:466.35pt;height:59.5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" filled="f" strokecolor="#dc9f0c" strokeweight="1.25pt"/>
            </w:pict>
          </mc:Fallback>
        </mc:AlternateContent>
      </w:r>
      <w:r w:rsidR="00606FF5" w:rsidRPr="00770E2B">
        <w:rPr>
          <w:rFonts w:cstheme="minorHAnsi"/>
        </w:rPr>
        <w:t xml:space="preserve">Na terenie Miasta Hrubieszów obecnie realizowany jest projekt polegający na odnowie zdegradowanej przestrzeni miejskiej w Hrubieszowie oraz utworzeniu Hrubieszowskiego Centrum Dziedzictwa (HCD), który ma na celu rozwiązanie zdiagnozowanych problemów społecznych tego obszaru. Projekt współfinansowany jest ze </w:t>
      </w:r>
      <w:r w:rsidR="00606FF5" w:rsidRPr="00770E2B">
        <w:rPr>
          <w:rFonts w:cstheme="minorHAnsi"/>
          <w:shd w:val="clear" w:color="auto" w:fill="FFFFFF"/>
        </w:rPr>
        <w:t>środków Europejskiego Funduszu Rozwoju Regionalnego w ramach Osi Priorytetowej 13 Infrastruktura Społeczna Działania 13.3 Rewitalizacja obszarów miejskich Regionalnego Programu Operacyjnego Województwa Lubelskiego na lata 2014-2020 i ma zostać ukończony do końca 2022 roku</w:t>
      </w:r>
      <w:r w:rsidR="00606FF5" w:rsidRPr="00770E2B">
        <w:rPr>
          <w:rStyle w:val="Odwoanieprzypisudolnego"/>
          <w:rFonts w:cstheme="minorHAnsi"/>
          <w:shd w:val="clear" w:color="auto" w:fill="FFFFFF"/>
        </w:rPr>
        <w:footnoteReference w:id="10"/>
      </w:r>
      <w:r w:rsidR="00606FF5" w:rsidRPr="00770E2B">
        <w:rPr>
          <w:rFonts w:cstheme="minorHAnsi"/>
          <w:shd w:val="clear" w:color="auto" w:fill="FFFFFF"/>
        </w:rPr>
        <w:t>.</w:t>
      </w:r>
    </w:p>
    <w:p w:rsidR="00E320BC" w:rsidRPr="00E320BC" w:rsidRDefault="00E320BC" w:rsidP="00E320BC">
      <w:pPr>
        <w:spacing w:after="0"/>
        <w:ind w:firstLine="357"/>
        <w:rPr>
          <w:rFonts w:ascii="Calibri" w:eastAsia="Candara" w:hAnsi="Calibri" w:cs="Times New Roman"/>
          <w:b/>
          <w:i/>
          <w:color w:val="936A07"/>
        </w:rPr>
      </w:pPr>
      <w:r w:rsidRPr="00E320BC">
        <w:rPr>
          <w:rFonts w:ascii="Calibri" w:eastAsia="Candara" w:hAnsi="Calibri" w:cs="Times New Roman"/>
          <w:b/>
          <w:i/>
          <w:color w:val="936A07"/>
        </w:rPr>
        <w:t>W opinii mieszkańców:</w:t>
      </w:r>
    </w:p>
    <w:p w:rsidR="00E320BC" w:rsidRPr="00E320BC" w:rsidRDefault="00DC3012"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W ankiecie skierowanej do mieszkańców respondenci zwracają uwagę na potrzebę tworzenia nowych miejsc spotkań dla dorosłych i młodzieży zachęcających do aktywności i integracji </w:t>
      </w:r>
      <w:r w:rsidRPr="00E320BC">
        <w:rPr>
          <w:rFonts w:ascii="Calibri" w:eastAsia="Candara" w:hAnsi="Calibri" w:cs="Times New Roman"/>
          <w:i/>
          <w:color w:val="936A07"/>
        </w:rPr>
        <w:lastRenderedPageBreak/>
        <w:t xml:space="preserve">z rówieśnikami. </w:t>
      </w:r>
      <w:r w:rsidR="00E320BC" w:rsidRPr="00E320BC">
        <w:rPr>
          <w:rFonts w:ascii="Calibri" w:eastAsia="Candara" w:hAnsi="Calibri" w:cs="Times New Roman"/>
          <w:i/>
          <w:color w:val="936A07"/>
        </w:rPr>
        <w:t>Brak miejsc spotkań jest najczęściej wybieraną odpowiedzią w pytaniu dotyczącym problemów społecznych młodzieży na terenie HOF.</w:t>
      </w:r>
    </w:p>
    <w:p w:rsidR="00E320BC" w:rsidRPr="00E320BC" w:rsidRDefault="005B2590" w:rsidP="00E320BC">
      <w:pPr>
        <w:spacing w:after="0"/>
        <w:ind w:firstLine="357"/>
        <w:rPr>
          <w:rFonts w:ascii="Calibri" w:eastAsia="Candara" w:hAnsi="Calibri" w:cs="Times New Roman"/>
          <w:i/>
          <w:color w:val="936A07"/>
        </w:rPr>
      </w:pPr>
      <w:r w:rsidRPr="00606FF5">
        <w:rPr>
          <w:rFonts w:eastAsia="Candara" w:cstheme="minorHAnsi"/>
          <w:b/>
          <w:noProof/>
          <w:lang w:eastAsia="pl-PL"/>
        </w:rPr>
        <mc:AlternateContent>
          <mc:Choice Requires="wps">
            <w:drawing>
              <wp:anchor distT="0" distB="0" distL="114300" distR="114300" simplePos="0" relativeHeight="251779072" behindDoc="0" locked="0" layoutInCell="1" allowOverlap="1" wp14:anchorId="25963994" wp14:editId="0F2BBBB5">
                <wp:simplePos x="0" y="0"/>
                <wp:positionH relativeFrom="column">
                  <wp:posOffset>-118745</wp:posOffset>
                </wp:positionH>
                <wp:positionV relativeFrom="paragraph">
                  <wp:posOffset>-396875</wp:posOffset>
                </wp:positionV>
                <wp:extent cx="5922645" cy="908050"/>
                <wp:effectExtent l="0" t="0" r="20955" b="25400"/>
                <wp:wrapNone/>
                <wp:docPr id="28" name="Prostokąt 28"/>
                <wp:cNvGraphicFramePr/>
                <a:graphic xmlns:a="http://schemas.openxmlformats.org/drawingml/2006/main">
                  <a:graphicData uri="http://schemas.microsoft.com/office/word/2010/wordprocessingShape">
                    <wps:wsp>
                      <wps:cNvSpPr/>
                      <wps:spPr>
                        <a:xfrm>
                          <a:off x="0" y="0"/>
                          <a:ext cx="5922645" cy="908050"/>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Prostokąt 28" o:spid="_x0000_s1026" style="position:absolute;margin-left:-9.35pt;margin-top:-31.25pt;width:466.35pt;height:71.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" filled="f" strokecolor="#dc9f0c" strokeweight="1.25pt"/>
            </w:pict>
          </mc:Fallback>
        </mc:AlternateContent>
      </w:r>
      <w:r w:rsidR="00E320BC" w:rsidRPr="00E320BC">
        <w:rPr>
          <w:rFonts w:ascii="Calibri" w:eastAsia="Candara" w:hAnsi="Calibri" w:cs="Times New Roman"/>
          <w:i/>
          <w:color w:val="936A07"/>
        </w:rPr>
        <w:t xml:space="preserve">Mieszkańcy wysoko ocenili wyposażenie placów zabaw i siłowni zewnętrznych jak </w:t>
      </w:r>
      <w:proofErr w:type="gramStart"/>
      <w:r w:rsidR="00E320BC" w:rsidRPr="00E320BC">
        <w:rPr>
          <w:rFonts w:ascii="Calibri" w:eastAsia="Candara" w:hAnsi="Calibri" w:cs="Times New Roman"/>
          <w:i/>
          <w:color w:val="936A07"/>
        </w:rPr>
        <w:t>również jakość</w:t>
      </w:r>
      <w:proofErr w:type="gramEnd"/>
      <w:r w:rsidR="00E320BC" w:rsidRPr="00E320BC">
        <w:rPr>
          <w:rFonts w:ascii="Calibri" w:eastAsia="Candara" w:hAnsi="Calibri" w:cs="Times New Roman"/>
          <w:i/>
          <w:color w:val="936A07"/>
        </w:rPr>
        <w:t xml:space="preserve"> działalności domów kultury i bibliotek.</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Aktywność obywatelska</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rPr>
        <w:t xml:space="preserve">Według danych GUS w 2019 r. na terenie HOF działały 102 podmioty, do których należą fundacje, stowarzyszenia i organizacje społeczne, które stanowiły 44,93% wszystkich organizacji pozarządowych działających na terenie powiatu hrubieszowskiego. </w:t>
      </w:r>
      <w:r w:rsidRPr="00E320BC">
        <w:rPr>
          <w:rFonts w:ascii="Calibri" w:eastAsia="Candara" w:hAnsi="Calibri" w:cs="Times New Roman"/>
          <w:b/>
        </w:rPr>
        <w:t xml:space="preserve">W latach 2014-2019 ich liczba ulegała systematycznemu wzrostowi. </w:t>
      </w:r>
      <w:r w:rsidR="00B36889">
        <w:rPr>
          <w:rFonts w:ascii="Calibri" w:eastAsia="Candara" w:hAnsi="Calibri" w:cs="Times New Roman"/>
        </w:rPr>
        <w:t>Na wykresie nr 6 zaprezentowane zostały</w:t>
      </w:r>
      <w:r w:rsidRPr="00E320BC">
        <w:rPr>
          <w:rFonts w:ascii="Calibri" w:eastAsia="Candara" w:hAnsi="Calibri" w:cs="Times New Roman"/>
        </w:rPr>
        <w:t xml:space="preserve"> je</w:t>
      </w:r>
      <w:r w:rsidR="00B36889">
        <w:rPr>
          <w:rFonts w:ascii="Calibri" w:eastAsia="Candara" w:hAnsi="Calibri" w:cs="Times New Roman"/>
        </w:rPr>
        <w:t xml:space="preserve">dynie podmioty zarejestrowane w </w:t>
      </w:r>
      <w:r w:rsidRPr="00E320BC">
        <w:rPr>
          <w:rFonts w:ascii="Calibri" w:eastAsia="Candara" w:hAnsi="Calibri" w:cs="Times New Roman"/>
        </w:rPr>
        <w:t>Krajowym Rejestrze Sądowym. Główny Urząd Statystyczny nie gromadzi danych związanych w liczbą tzw. stowarzyszeń zwykłyc</w:t>
      </w:r>
      <w:r w:rsidRPr="00B36889">
        <w:rPr>
          <w:rFonts w:ascii="Calibri" w:eastAsia="Candara" w:hAnsi="Calibri" w:cs="Times New Roman"/>
        </w:rPr>
        <w:t xml:space="preserve">h. Analizując całość zasobu organizacji pozarządowych </w:t>
      </w:r>
      <w:r w:rsidR="00B36889" w:rsidRPr="00B36889">
        <w:rPr>
          <w:rFonts w:ascii="Calibri" w:eastAsia="Candara" w:hAnsi="Calibri" w:cs="Times New Roman"/>
        </w:rPr>
        <w:t>(zarówno stowarzyszenia pos</w:t>
      </w:r>
      <w:r w:rsidR="00B36889">
        <w:rPr>
          <w:rFonts w:ascii="Calibri" w:eastAsia="Candara" w:hAnsi="Calibri" w:cs="Times New Roman"/>
        </w:rPr>
        <w:t>iadające osobowość prawną jak i </w:t>
      </w:r>
      <w:r w:rsidR="00B36889" w:rsidRPr="00B36889">
        <w:rPr>
          <w:rFonts w:ascii="Calibri" w:eastAsia="Candara" w:hAnsi="Calibri" w:cs="Times New Roman"/>
        </w:rPr>
        <w:t xml:space="preserve">stowarzyszenia zwykłe) </w:t>
      </w:r>
      <w:r w:rsidRPr="00B36889">
        <w:rPr>
          <w:rFonts w:ascii="Calibri" w:eastAsia="Candara" w:hAnsi="Calibri" w:cs="Times New Roman"/>
          <w:b/>
        </w:rPr>
        <w:t>na terenie HOF w 2019 roku działało 117</w:t>
      </w:r>
      <w:r w:rsidRPr="00E320BC">
        <w:rPr>
          <w:rFonts w:ascii="Calibri" w:eastAsia="Candara" w:hAnsi="Calibri" w:cs="Times New Roman"/>
          <w:b/>
        </w:rPr>
        <w:t xml:space="preserve"> organizacji. </w:t>
      </w:r>
      <w:proofErr w:type="gramStart"/>
      <w:r w:rsidR="00DC3012" w:rsidRPr="00E320BC">
        <w:rPr>
          <w:rFonts w:ascii="Calibri" w:eastAsia="Candara" w:hAnsi="Calibri" w:cs="Times New Roman"/>
        </w:rPr>
        <w:t xml:space="preserve">Wszystkie </w:t>
      </w:r>
      <w:r w:rsidRPr="00E320BC">
        <w:rPr>
          <w:rFonts w:ascii="Calibri" w:eastAsia="Candara" w:hAnsi="Calibri" w:cs="Times New Roman"/>
        </w:rPr>
        <w:t xml:space="preserve"> funkcjonujące</w:t>
      </w:r>
      <w:proofErr w:type="gramEnd"/>
      <w:r w:rsidRPr="00E320BC">
        <w:rPr>
          <w:rFonts w:ascii="Calibri" w:eastAsia="Candara" w:hAnsi="Calibri" w:cs="Times New Roman"/>
        </w:rPr>
        <w:t xml:space="preserve"> organizacje w istotny sposób wpływają na integrację i wzrost aktywności obywatelskiej mieszkańców. Obie gminy HOF współpracują z organizacjami pozarządowymi zarówno w formie finansowej jak i pozafinansowej. </w:t>
      </w:r>
      <w:r w:rsidRPr="00E320BC">
        <w:rPr>
          <w:rFonts w:ascii="Calibri" w:eastAsia="Candara" w:hAnsi="Calibri" w:cs="Times New Roman"/>
          <w:b/>
        </w:rPr>
        <w:t>Rezultatem zawiązanej współpra</w:t>
      </w:r>
      <w:r w:rsidR="00ED7675">
        <w:rPr>
          <w:rFonts w:ascii="Calibri" w:eastAsia="Candara" w:hAnsi="Calibri" w:cs="Times New Roman"/>
          <w:b/>
        </w:rPr>
        <w:t>cy jest lepsze zdiagnozowanie i </w:t>
      </w:r>
      <w:r w:rsidRPr="00E320BC">
        <w:rPr>
          <w:rFonts w:ascii="Calibri" w:eastAsia="Candara" w:hAnsi="Calibri" w:cs="Times New Roman"/>
          <w:b/>
        </w:rPr>
        <w:t xml:space="preserve">zaspokajanie potrzeb społeczności lokalnej, co przyczynia się do poprawy warunków życia mieszkańców oraz realizacji wizji trwałego i zrównoważonego rozwoju HOF. </w:t>
      </w:r>
    </w:p>
    <w:p w:rsidR="00E320BC" w:rsidRPr="00E320BC" w:rsidRDefault="006B30E9" w:rsidP="00E320BC">
      <w:pPr>
        <w:spacing w:after="0"/>
        <w:ind w:firstLine="357"/>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683840" behindDoc="0" locked="0" layoutInCell="1" allowOverlap="1" wp14:anchorId="39AA3AA3" wp14:editId="52985010">
                <wp:simplePos x="0" y="0"/>
                <wp:positionH relativeFrom="column">
                  <wp:posOffset>2259330</wp:posOffset>
                </wp:positionH>
                <wp:positionV relativeFrom="paragraph">
                  <wp:posOffset>-605790</wp:posOffset>
                </wp:positionV>
                <wp:extent cx="3538855" cy="2712720"/>
                <wp:effectExtent l="0" t="0" r="4445" b="0"/>
                <wp:wrapSquare wrapText="bothSides"/>
                <wp:docPr id="2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8855" cy="2712720"/>
                        </a:xfrm>
                        <a:prstGeom prst="rect">
                          <a:avLst/>
                        </a:prstGeom>
                        <a:solidFill>
                          <a:srgbClr val="FFFFFF"/>
                        </a:solidFill>
                        <a:ln w="9525">
                          <a:noFill/>
                          <a:miter lim="800000"/>
                          <a:headEnd/>
                          <a:tailEnd/>
                        </a:ln>
                      </wps:spPr>
                      <wps:txbx>
                        <w:txbxContent>
                          <w:p w:rsidR="002441D5" w:rsidRPr="00163727" w:rsidRDefault="002441D5" w:rsidP="00ED7675">
                            <w:pPr>
                              <w:pStyle w:val="Legenda"/>
                              <w:keepNext/>
                              <w:ind w:firstLine="0"/>
                              <w:rPr>
                                <w:color w:val="31B6FD" w:themeColor="accent1"/>
                              </w:rPr>
                            </w:pPr>
                            <w:bookmarkStart w:id="15" w:name="_Toc138068614"/>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6</w:t>
                            </w:r>
                            <w:r w:rsidRPr="00163727">
                              <w:rPr>
                                <w:noProof/>
                                <w:color w:val="31B6FD" w:themeColor="accent1"/>
                              </w:rPr>
                              <w:fldChar w:fldCharType="end"/>
                            </w:r>
                            <w:r w:rsidRPr="00163727">
                              <w:rPr>
                                <w:color w:val="31B6FD" w:themeColor="accent1"/>
                              </w:rPr>
                              <w:t>. Wskaźnik liczby fundacji, stowarzyszeń i organizacji społecznych na 10 000 mieszkańców w latach 2014-2019 funkcjonujących w HOF i grupie porównawczej</w:t>
                            </w:r>
                            <w:bookmarkEnd w:id="15"/>
                          </w:p>
                          <w:p w:rsidR="002441D5" w:rsidRDefault="002441D5" w:rsidP="00ED7675">
                            <w:pPr>
                              <w:spacing w:before="0" w:after="0"/>
                              <w:ind w:firstLine="0"/>
                            </w:pPr>
                            <w:r>
                              <w:rPr>
                                <w:noProof/>
                                <w:lang w:eastAsia="pl-PL"/>
                              </w:rPr>
                              <w:drawing>
                                <wp:inline distT="0" distB="0" distL="0" distR="0" wp14:anchorId="38ABF42D" wp14:editId="37C32CC1">
                                  <wp:extent cx="3020291" cy="1811729"/>
                                  <wp:effectExtent l="0" t="0" r="8890" b="0"/>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12393" cy="1806991"/>
                                          </a:xfrm>
                                          <a:prstGeom prst="rect">
                                            <a:avLst/>
                                          </a:prstGeom>
                                          <a:noFill/>
                                        </pic:spPr>
                                      </pic:pic>
                                    </a:graphicData>
                                  </a:graphic>
                                </wp:inline>
                              </w:drawing>
                            </w:r>
                          </w:p>
                          <w:p w:rsidR="002441D5" w:rsidRPr="0003196F" w:rsidRDefault="002441D5" w:rsidP="00ED7675">
                            <w:pPr>
                              <w:spacing w:before="0"/>
                              <w:rPr>
                                <w:rFonts w:cs="Calibri"/>
                                <w:b/>
                                <w:i/>
                                <w:sz w:val="18"/>
                                <w:szCs w:val="18"/>
                              </w:rPr>
                            </w:pPr>
                            <w:r w:rsidRPr="0003196F">
                              <w:rPr>
                                <w:rFonts w:cs="Calibri"/>
                                <w:i/>
                                <w:sz w:val="18"/>
                                <w:szCs w:val="18"/>
                              </w:rPr>
                              <w:t>Źródło: BDL GUS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77.9pt;margin-top:-47.7pt;width:278.65pt;height:213.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" stroked="f">
                <v:textbox>
                  <w:txbxContent>
                    <w:p w:rsidR="002441D5" w:rsidRPr="00163727" w:rsidRDefault="002441D5" w:rsidP="00ED7675">
                      <w:pPr>
                        <w:pStyle w:val="Legenda"/>
                        <w:keepNext/>
                        <w:ind w:firstLine="0"/>
                        <w:rPr>
                          <w:color w:val="31B6FD" w:themeColor="accent1"/>
                        </w:rPr>
                      </w:pPr>
                      <w:bookmarkStart w:id="16" w:name="_Toc138068614"/>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6</w:t>
                      </w:r>
                      <w:r w:rsidRPr="00163727">
                        <w:rPr>
                          <w:noProof/>
                          <w:color w:val="31B6FD" w:themeColor="accent1"/>
                        </w:rPr>
                        <w:fldChar w:fldCharType="end"/>
                      </w:r>
                      <w:r w:rsidRPr="00163727">
                        <w:rPr>
                          <w:color w:val="31B6FD" w:themeColor="accent1"/>
                        </w:rPr>
                        <w:t>. Wskaźnik liczby fundacji, stowarzyszeń i organizacji społecznych na 10 000 mieszkańców w latach 2014-2019 funkcjonujących w HOF i grupie porównawczej</w:t>
                      </w:r>
                      <w:bookmarkEnd w:id="16"/>
                    </w:p>
                    <w:p w:rsidR="002441D5" w:rsidRDefault="002441D5" w:rsidP="00ED7675">
                      <w:pPr>
                        <w:spacing w:before="0" w:after="0"/>
                        <w:ind w:firstLine="0"/>
                      </w:pPr>
                      <w:r>
                        <w:rPr>
                          <w:noProof/>
                          <w:lang w:eastAsia="pl-PL"/>
                        </w:rPr>
                        <w:drawing>
                          <wp:inline distT="0" distB="0" distL="0" distR="0" wp14:anchorId="38ABF42D" wp14:editId="37C32CC1">
                            <wp:extent cx="3020291" cy="1811729"/>
                            <wp:effectExtent l="0" t="0" r="8890" b="0"/>
                            <wp:docPr id="486" name="Obraz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12393" cy="1806991"/>
                                    </a:xfrm>
                                    <a:prstGeom prst="rect">
                                      <a:avLst/>
                                    </a:prstGeom>
                                    <a:noFill/>
                                  </pic:spPr>
                                </pic:pic>
                              </a:graphicData>
                            </a:graphic>
                          </wp:inline>
                        </w:drawing>
                      </w:r>
                    </w:p>
                    <w:p w:rsidR="002441D5" w:rsidRPr="0003196F" w:rsidRDefault="002441D5" w:rsidP="00ED7675">
                      <w:pPr>
                        <w:spacing w:before="0"/>
                        <w:rPr>
                          <w:rFonts w:cs="Calibri"/>
                          <w:b/>
                          <w:i/>
                          <w:sz w:val="18"/>
                          <w:szCs w:val="18"/>
                        </w:rPr>
                      </w:pPr>
                      <w:r w:rsidRPr="0003196F">
                        <w:rPr>
                          <w:rFonts w:cs="Calibri"/>
                          <w:i/>
                          <w:sz w:val="18"/>
                          <w:szCs w:val="18"/>
                        </w:rPr>
                        <w:t>Źródło: BDL GUS</w:t>
                      </w:r>
                    </w:p>
                  </w:txbxContent>
                </v:textbox>
                <w10:wrap type="square"/>
              </v:shape>
            </w:pict>
          </mc:Fallback>
        </mc:AlternateContent>
      </w:r>
      <w:r w:rsidR="00E320BC" w:rsidRPr="00E320BC">
        <w:rPr>
          <w:rFonts w:ascii="Calibri" w:eastAsia="Candara" w:hAnsi="Calibri" w:cs="Times New Roman"/>
        </w:rPr>
        <w:t>Obie gminy HOF udzielają również organizacjom pozarządowym pomocy finansowej na realizację zadań statutowych. Współpraca finansowa odbywa się na zasadach i w trybie określonym w ustawie o działalności pożytku publicznego i o wolontariacie, a także w odpowiednich przepisach organów gmin. Drugą formą jest współpraca pozafinansowa w szczególności użyczanie bądź wynajmowanie na preferencyjnych warunkach  lokali i budynków komunalnych oraz udostępnianie lokali na spotkania podmiotów prowadzących działalność pożytku publicznego.</w:t>
      </w:r>
    </w:p>
    <w:p w:rsidR="00E320BC" w:rsidRPr="009C17FB" w:rsidRDefault="00E320BC" w:rsidP="00E320BC">
      <w:pPr>
        <w:spacing w:after="0"/>
        <w:ind w:firstLine="357"/>
        <w:rPr>
          <w:rFonts w:ascii="Calibri" w:eastAsia="Candara" w:hAnsi="Calibri" w:cs="Times New Roman"/>
        </w:rPr>
      </w:pPr>
      <w:r w:rsidRPr="00E320BC">
        <w:rPr>
          <w:rFonts w:ascii="Calibri" w:eastAsia="Candara" w:hAnsi="Calibri" w:cs="Times New Roman"/>
          <w:b/>
        </w:rPr>
        <w:t>Działalność organizacji pozarządowych na obszarze HOF przyczynia się do poszerzania oferty czasu wolnego dla mieszkańców m.in. poprzez organizację różnego rodzaju spotkań i wydarzeń. O jakości lokalnego kapitału obywatelskiego świadczą inicjatywy mieszkańców ukierunkowane na poprawę sytuacji w swoim otoczeniu, organizację wydarzeń i imprez integrujących społeczność.</w:t>
      </w:r>
      <w:r w:rsidR="009C17FB">
        <w:rPr>
          <w:rFonts w:ascii="Calibri" w:eastAsia="Candara" w:hAnsi="Calibri" w:cs="Times New Roman"/>
          <w:b/>
        </w:rPr>
        <w:t xml:space="preserve"> </w:t>
      </w:r>
    </w:p>
    <w:p w:rsidR="00E320BC" w:rsidRPr="00E320BC" w:rsidRDefault="008C22A6" w:rsidP="00E320BC">
      <w:pPr>
        <w:spacing w:after="0"/>
        <w:ind w:firstLine="357"/>
        <w:rPr>
          <w:rFonts w:ascii="Calibri" w:eastAsia="Candara" w:hAnsi="Calibri" w:cs="Times New Roman"/>
        </w:rPr>
      </w:pPr>
      <w:r w:rsidRPr="00E320BC">
        <w:rPr>
          <w:rFonts w:ascii="Calibri" w:eastAsia="Candara" w:hAnsi="Calibri" w:cs="Times New Roman"/>
        </w:rPr>
        <w:t>Wsparciem dla organizacji działających na obszarze HOF są: Hrubieszowska Rada Seniorów, Młodzieżowa Rada Miejska, Miejska Rada Sportu, Hrubieszowska Rada Kobiet, Pełnomocnik Burmistrza Miasta Hrubieszowa ds. Młodzieży</w:t>
      </w:r>
      <w:r w:rsidR="00E320BC" w:rsidRPr="00E320BC">
        <w:rPr>
          <w:rFonts w:ascii="Calibri" w:eastAsia="Candara" w:hAnsi="Calibri" w:cs="Times New Roman"/>
        </w:rPr>
        <w:t xml:space="preserve">, Rada Gminna Kół Gospodyń Wiejskich, Gmina Rada </w:t>
      </w:r>
      <w:r w:rsidR="00E320BC" w:rsidRPr="00E320BC">
        <w:rPr>
          <w:rFonts w:ascii="Calibri" w:eastAsia="Candara" w:hAnsi="Calibri" w:cs="Times New Roman"/>
        </w:rPr>
        <w:lastRenderedPageBreak/>
        <w:t>Seniorów</w:t>
      </w:r>
      <w:r>
        <w:rPr>
          <w:rFonts w:ascii="Calibri" w:eastAsia="Candara" w:hAnsi="Calibri" w:cs="Times New Roman"/>
        </w:rPr>
        <w:t>, Gminna Rada Pożytku Publicznego</w:t>
      </w:r>
      <w:r w:rsidR="00E320BC" w:rsidRPr="00E320BC">
        <w:rPr>
          <w:rFonts w:ascii="Calibri" w:eastAsia="Candara" w:hAnsi="Calibri" w:cs="Times New Roman"/>
        </w:rPr>
        <w:t xml:space="preserve"> oraz Centrum Integracji Społecznej w</w:t>
      </w:r>
      <w:r w:rsidR="00ED7675">
        <w:rPr>
          <w:rFonts w:ascii="Calibri" w:eastAsia="Candara" w:hAnsi="Calibri" w:cs="Times New Roman"/>
        </w:rPr>
        <w:t> </w:t>
      </w:r>
      <w:proofErr w:type="spellStart"/>
      <w:r w:rsidR="00ED7675">
        <w:rPr>
          <w:rFonts w:ascii="Calibri" w:eastAsia="Candara" w:hAnsi="Calibri" w:cs="Times New Roman"/>
        </w:rPr>
        <w:t>Mienianach</w:t>
      </w:r>
      <w:proofErr w:type="spellEnd"/>
      <w:r w:rsidR="00ED7675">
        <w:rPr>
          <w:rFonts w:ascii="Calibri" w:eastAsia="Candara" w:hAnsi="Calibri" w:cs="Times New Roman"/>
        </w:rPr>
        <w:t xml:space="preserve"> i </w:t>
      </w:r>
      <w:r w:rsidR="00E320BC" w:rsidRPr="00E320BC">
        <w:rPr>
          <w:rFonts w:ascii="Calibri" w:eastAsia="Candara" w:hAnsi="Calibri" w:cs="Times New Roman"/>
        </w:rPr>
        <w:t>Fundacja „Czasoprzestrzeń” w Koble. Od 2016 roku w gminie funkcjonuje Gminna Rada Pożytku Publicznego (GRPP).</w:t>
      </w:r>
    </w:p>
    <w:p w:rsidR="00E320BC" w:rsidRPr="00E320BC" w:rsidRDefault="00E320BC" w:rsidP="00E320BC">
      <w:pPr>
        <w:spacing w:after="120"/>
        <w:ind w:firstLine="357"/>
        <w:rPr>
          <w:rFonts w:ascii="Calibri" w:eastAsia="Candara" w:hAnsi="Calibri" w:cs="Times New Roman"/>
          <w:b/>
        </w:rPr>
      </w:pPr>
      <w:r w:rsidRPr="00E320BC">
        <w:rPr>
          <w:rFonts w:ascii="Calibri" w:eastAsia="Candara" w:hAnsi="Calibri" w:cs="Times New Roman"/>
        </w:rPr>
        <w:t xml:space="preserve">Na terenie HOF w Gminie Miejskiej Hrubieszów od kilku lat funkcjonuje budżet obywatelski, w którym mieszkańcy decydują o tym, na co przeznaczyć część budżetu miasta. </w:t>
      </w:r>
      <w:r w:rsidRPr="00E320BC">
        <w:rPr>
          <w:rFonts w:ascii="Calibri" w:eastAsia="Candara" w:hAnsi="Calibri" w:cs="Times New Roman"/>
          <w:b/>
        </w:rPr>
        <w:t xml:space="preserve">W ten sposób wspólnie decydują o tym, co powstanie w najbliższej okolicy, w dzielnicach i w całym mieście. Rok rocznie wzrasta liczba osób biorących udział w głosowaniu. </w:t>
      </w:r>
      <w:r w:rsidRPr="00E320BC">
        <w:rPr>
          <w:rFonts w:ascii="Calibri" w:eastAsia="Candara" w:hAnsi="Calibri" w:cs="Times New Roman"/>
        </w:rPr>
        <w:t>Statystyki pokazują</w:t>
      </w:r>
      <w:r w:rsidRPr="00E320BC">
        <w:rPr>
          <w:rFonts w:ascii="Calibri" w:eastAsia="Candara" w:hAnsi="Calibri" w:cs="Times New Roman"/>
          <w:b/>
        </w:rPr>
        <w:t>, że zwiększa się świadomość i wiedza społeczności lokalnej o możliwości współdecydowania i </w:t>
      </w:r>
      <w:proofErr w:type="gramStart"/>
      <w:r w:rsidRPr="00E320BC">
        <w:rPr>
          <w:rFonts w:ascii="Calibri" w:eastAsia="Candara" w:hAnsi="Calibri" w:cs="Times New Roman"/>
          <w:b/>
        </w:rPr>
        <w:t>kształtowania jakości</w:t>
      </w:r>
      <w:proofErr w:type="gramEnd"/>
      <w:r w:rsidRPr="00E320BC">
        <w:rPr>
          <w:rFonts w:ascii="Calibri" w:eastAsia="Candara" w:hAnsi="Calibri" w:cs="Times New Roman"/>
          <w:b/>
        </w:rPr>
        <w:t xml:space="preserve"> życia w swoim miejscu </w:t>
      </w:r>
      <w:r w:rsidR="00126334" w:rsidRPr="00E320BC">
        <w:rPr>
          <w:rFonts w:ascii="Calibri" w:eastAsia="Candara" w:hAnsi="Calibri" w:cs="Times New Roman"/>
          <w:b/>
        </w:rPr>
        <w:t>zamieszkania.</w:t>
      </w:r>
      <w:r w:rsidR="00126334">
        <w:rPr>
          <w:rFonts w:ascii="Calibri" w:eastAsia="Candara" w:hAnsi="Calibri" w:cs="Times New Roman"/>
          <w:b/>
        </w:rPr>
        <w:t xml:space="preserve"> </w:t>
      </w:r>
      <w:r w:rsidR="00687FE4" w:rsidRPr="00687FE4">
        <w:rPr>
          <w:rFonts w:ascii="Calibri" w:hAnsi="Calibri" w:cs="Calibri"/>
        </w:rPr>
        <w:t>Na obszarze wiejskim Gminy we wszystkich miejscowościach funkcjonuje fundusz sołecki. To również forma budżetu partycypacyjnego</w:t>
      </w:r>
      <w:r w:rsidR="00687FE4">
        <w:rPr>
          <w:rFonts w:ascii="Calibri" w:hAnsi="Calibri" w:cs="Calibri"/>
        </w:rPr>
        <w:t>.</w:t>
      </w:r>
    </w:p>
    <w:p w:rsidR="00E320BC" w:rsidRPr="00E320BC" w:rsidRDefault="00E320BC" w:rsidP="00E320BC">
      <w:pPr>
        <w:spacing w:after="120"/>
        <w:ind w:firstLine="357"/>
        <w:rPr>
          <w:rFonts w:ascii="Calibri" w:eastAsia="Candara" w:hAnsi="Calibri" w:cs="Times New Roman"/>
        </w:rPr>
      </w:pPr>
      <w:r w:rsidRPr="00E320BC">
        <w:rPr>
          <w:rFonts w:ascii="Calibri" w:eastAsia="Candara" w:hAnsi="Calibri" w:cs="Times New Roman"/>
          <w:b/>
        </w:rPr>
        <w:t>W odniesieniu do wyników wyborów mieszkańcy HOF charakteryzują się dość niską aktywnością obywatelską,</w:t>
      </w:r>
      <w:r w:rsidRPr="00E320BC">
        <w:rPr>
          <w:rFonts w:ascii="Calibri" w:eastAsia="Candara" w:hAnsi="Calibri" w:cs="Times New Roman"/>
        </w:rPr>
        <w:t xml:space="preserve"> pomimo że mieszkańcy chętnie angażują się w sprawy gmin mające </w:t>
      </w:r>
      <w:proofErr w:type="gramStart"/>
      <w:r w:rsidRPr="00E320BC">
        <w:rPr>
          <w:rFonts w:ascii="Calibri" w:eastAsia="Candara" w:hAnsi="Calibri" w:cs="Times New Roman"/>
        </w:rPr>
        <w:t>wpływ na jakość</w:t>
      </w:r>
      <w:proofErr w:type="gramEnd"/>
      <w:r w:rsidRPr="00E320BC">
        <w:rPr>
          <w:rFonts w:ascii="Calibri" w:eastAsia="Candara" w:hAnsi="Calibri" w:cs="Times New Roman"/>
        </w:rPr>
        <w:t xml:space="preserve"> życia.</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b/>
        </w:rPr>
        <w:t>Wychodząc naprzeciw rosnącemu zainteresowaniu przez mieszkańców sprawami lokalnej społeczności, gminy HOF podejmują działania zmierzające do zwiększenia zaangażowania mieszkańców w sprawy lokalne. Również współpraca gmin z organizacjami pozarządowymi rok rocznie ulega poprawie, dzięki czemu proponowana oferta społeczno-kulturalna coraz trafniej odpowiada na potrzeby mieszkańców.</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Ochrona zdrowia i pomoc społeczna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Ze względu na uwarunkowania wewnętrzne HOF </w:t>
      </w:r>
      <w:r w:rsidRPr="00E320BC">
        <w:rPr>
          <w:rFonts w:ascii="Calibri" w:eastAsia="Candara" w:hAnsi="Calibri" w:cs="Times New Roman"/>
          <w:b/>
        </w:rPr>
        <w:t xml:space="preserve">większość mieszkańców korzysta z usług oferowanych przez podmioty </w:t>
      </w:r>
      <w:r w:rsidR="008C22A6">
        <w:rPr>
          <w:rFonts w:ascii="Calibri" w:eastAsia="Candara" w:hAnsi="Calibri" w:cs="Times New Roman"/>
          <w:b/>
        </w:rPr>
        <w:t>systemu ochrony zdrowia</w:t>
      </w:r>
      <w:r w:rsidRPr="00E320BC">
        <w:rPr>
          <w:rFonts w:ascii="Calibri" w:eastAsia="Candara" w:hAnsi="Calibri" w:cs="Times New Roman"/>
          <w:b/>
        </w:rPr>
        <w:t xml:space="preserve"> zlokalizowane na terenie miasta.</w:t>
      </w:r>
      <w:r w:rsidRPr="00E320BC">
        <w:rPr>
          <w:rFonts w:ascii="Calibri" w:eastAsia="Candara" w:hAnsi="Calibri" w:cs="Times New Roman"/>
        </w:rPr>
        <w:t xml:space="preserve"> Wskaźnik określający dostępność usług medycznych, tj. </w:t>
      </w:r>
      <w:bookmarkStart w:id="17" w:name="OLE_LINK2"/>
      <w:r w:rsidRPr="00E320BC">
        <w:rPr>
          <w:rFonts w:ascii="Calibri" w:eastAsia="Candara" w:hAnsi="Calibri" w:cs="Times New Roman"/>
        </w:rPr>
        <w:t>liczba placówek ambulatoryjnej opieki zdrowotnej na 10 tys. mieszkańców</w:t>
      </w:r>
      <w:bookmarkEnd w:id="17"/>
      <w:r w:rsidRPr="00E320BC">
        <w:rPr>
          <w:rFonts w:ascii="Calibri" w:eastAsia="Candara" w:hAnsi="Calibri" w:cs="Times New Roman"/>
        </w:rPr>
        <w:t xml:space="preserve">, w 2019 r. wg danych GUS dla terenu HOF wyniósł 5, podobnie jak dla powiatu hrubieszowskiego. Do roku 2017 HOF osiągał najwyższe wartości wskaźnika w grupie porównawczej. Od 2018 roku sytuacja się pogorszyła i wartość wskaźnika dla HOF znacznie spadła. </w:t>
      </w:r>
      <w:r w:rsidRPr="00E320BC">
        <w:rPr>
          <w:rFonts w:ascii="Calibri" w:eastAsia="Candara" w:hAnsi="Calibri" w:cs="Times New Roman"/>
          <w:b/>
        </w:rPr>
        <w:t xml:space="preserve">W HOF udziela się średnio więcej porad lekarskich w zakresie podstawowej opieki zdrowotnej na jednego mieszkańca (w 2019 roku wg GUS 5,5 porad) niż w całym powiecie hrubieszowskim </w:t>
      </w:r>
      <w:r w:rsidRPr="00E320BC">
        <w:rPr>
          <w:rFonts w:ascii="Calibri" w:eastAsia="Candara" w:hAnsi="Calibri" w:cs="Times New Roman"/>
        </w:rPr>
        <w:t>(w 2019 roku wg GUS 4,9 porad) i z wyjątkiem roku 2015 wartość wskaźnika regularnie wzrasta. W porównaniu do MOF grupy porównawczej mieszkańcy HOF potrzebują znacząco mniej pomocy lekarskiej.</w:t>
      </w:r>
    </w:p>
    <w:p w:rsid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Zarówno proces starzenia się społeczeństwa, jak i coraz powszechniej występujące choroby cywilizacyjne (otyłość, cukrzyca, nadciśnienie, choroby serca), </w:t>
      </w:r>
      <w:r w:rsidRPr="00E320BC">
        <w:rPr>
          <w:rFonts w:ascii="Calibri" w:eastAsia="Candara" w:hAnsi="Calibri" w:cs="Times New Roman"/>
          <w:b/>
        </w:rPr>
        <w:t>będą miały coraz większy wpływ na rosnące zapotrzebowanie mieszkańców na dostęp do opieki zdrowotnej oraz profilaktyki chorób.</w:t>
      </w:r>
      <w:r w:rsidRPr="00E320BC">
        <w:rPr>
          <w:rFonts w:ascii="Calibri" w:eastAsia="Candara" w:hAnsi="Calibri" w:cs="Times New Roman"/>
        </w:rPr>
        <w:t xml:space="preserve"> Ze względu na procesy demograficzne nale</w:t>
      </w:r>
      <w:r w:rsidRPr="00E320BC">
        <w:rPr>
          <w:rFonts w:ascii="Calibri" w:eastAsia="Candara" w:hAnsi="Calibri" w:cs="Times New Roman" w:hint="eastAsia"/>
        </w:rPr>
        <w:t>ż</w:t>
      </w:r>
      <w:r w:rsidRPr="00E320BC">
        <w:rPr>
          <w:rFonts w:ascii="Calibri" w:eastAsia="Candara" w:hAnsi="Calibri" w:cs="Times New Roman"/>
        </w:rPr>
        <w:t>y spodziewa</w:t>
      </w:r>
      <w:r w:rsidRPr="00E320BC">
        <w:rPr>
          <w:rFonts w:ascii="Calibri" w:eastAsia="Candara" w:hAnsi="Calibri" w:cs="Times New Roman" w:hint="eastAsia"/>
        </w:rPr>
        <w:t>ć</w:t>
      </w:r>
      <w:r w:rsidRPr="00E320BC">
        <w:rPr>
          <w:rFonts w:ascii="Calibri" w:eastAsia="Candara" w:hAnsi="Calibri" w:cs="Times New Roman"/>
        </w:rPr>
        <w:t xml:space="preserve"> si</w:t>
      </w:r>
      <w:r w:rsidRPr="00E320BC">
        <w:rPr>
          <w:rFonts w:ascii="Calibri" w:eastAsia="Candara" w:hAnsi="Calibri" w:cs="Times New Roman" w:hint="eastAsia"/>
        </w:rPr>
        <w:t>ę</w:t>
      </w:r>
      <w:r w:rsidRPr="00E320BC">
        <w:rPr>
          <w:rFonts w:ascii="Calibri" w:eastAsia="Candara" w:hAnsi="Calibri" w:cs="Times New Roman"/>
        </w:rPr>
        <w:t xml:space="preserve"> wzrostu znaczenia tzw. </w:t>
      </w:r>
      <w:r w:rsidRPr="00E320BC">
        <w:rPr>
          <w:rFonts w:ascii="Calibri" w:eastAsia="Candara" w:hAnsi="Calibri" w:cs="Times New Roman"/>
          <w:b/>
        </w:rPr>
        <w:t xml:space="preserve">srebrnej </w:t>
      </w:r>
      <w:proofErr w:type="gramStart"/>
      <w:r w:rsidRPr="00E320BC">
        <w:rPr>
          <w:rFonts w:ascii="Calibri" w:eastAsia="Candara" w:hAnsi="Calibri" w:cs="Times New Roman"/>
          <w:b/>
        </w:rPr>
        <w:t>gospodarki</w:t>
      </w:r>
      <w:r w:rsidRPr="00E320BC">
        <w:rPr>
          <w:rFonts w:ascii="Calibri" w:eastAsia="Candara" w:hAnsi="Calibri" w:cs="Times New Roman"/>
        </w:rPr>
        <w:t xml:space="preserve"> </w:t>
      </w:r>
      <w:r w:rsidRPr="00E320BC">
        <w:rPr>
          <w:rFonts w:ascii="Calibri" w:eastAsia="Candara" w:hAnsi="Calibri" w:cs="Times New Roman" w:hint="eastAsia"/>
        </w:rPr>
        <w:t>–</w:t>
      </w:r>
      <w:r w:rsidRPr="00E320BC">
        <w:rPr>
          <w:rFonts w:ascii="Calibri" w:eastAsia="Candara" w:hAnsi="Calibri" w:cs="Times New Roman"/>
        </w:rPr>
        <w:t xml:space="preserve"> jako</w:t>
      </w:r>
      <w:proofErr w:type="gramEnd"/>
      <w:r w:rsidRPr="00E320BC">
        <w:rPr>
          <w:rFonts w:ascii="Calibri" w:eastAsia="Candara" w:hAnsi="Calibri" w:cs="Times New Roman"/>
        </w:rPr>
        <w:t xml:space="preserve"> potencja</w:t>
      </w:r>
      <w:r w:rsidRPr="00E320BC">
        <w:rPr>
          <w:rFonts w:ascii="Calibri" w:eastAsia="Candara" w:hAnsi="Calibri" w:cs="Times New Roman" w:hint="eastAsia"/>
        </w:rPr>
        <w:t>ł</w:t>
      </w:r>
      <w:r w:rsidRPr="00E320BC">
        <w:rPr>
          <w:rFonts w:ascii="Calibri" w:eastAsia="Candara" w:hAnsi="Calibri" w:cs="Times New Roman"/>
        </w:rPr>
        <w:t>u w zakresie us</w:t>
      </w:r>
      <w:r w:rsidRPr="00E320BC">
        <w:rPr>
          <w:rFonts w:ascii="Calibri" w:eastAsia="Candara" w:hAnsi="Calibri" w:cs="Times New Roman" w:hint="eastAsia"/>
        </w:rPr>
        <w:t>ł</w:t>
      </w:r>
      <w:r w:rsidRPr="00E320BC">
        <w:rPr>
          <w:rFonts w:ascii="Calibri" w:eastAsia="Candara" w:hAnsi="Calibri" w:cs="Times New Roman"/>
        </w:rPr>
        <w:t xml:space="preserve">ug, aktywizacji i opieki nad osobami w wieku senioralnym, działania na rzecz profilaktyki </w:t>
      </w:r>
      <w:r w:rsidR="00505AAA" w:rsidRPr="00E320BC">
        <w:rPr>
          <w:rFonts w:ascii="Calibri" w:eastAsia="Candara" w:hAnsi="Calibri" w:cs="Times New Roman"/>
        </w:rPr>
        <w:t>zdrowotnej.</w:t>
      </w:r>
    </w:p>
    <w:p w:rsidR="00716C71" w:rsidRDefault="00716C71" w:rsidP="00E320BC">
      <w:pPr>
        <w:spacing w:after="0"/>
        <w:ind w:firstLine="357"/>
        <w:rPr>
          <w:rFonts w:cstheme="minorHAnsi"/>
        </w:rPr>
      </w:pPr>
      <w:r w:rsidRPr="00716C71">
        <w:rPr>
          <w:rFonts w:ascii="Calibri" w:eastAsia="Candara" w:hAnsi="Calibri" w:cs="Times New Roman"/>
          <w:b/>
        </w:rPr>
        <w:t>Generalnie dostęp mieszkańców do usług medycznych na terenie HOF jest dobry.</w:t>
      </w:r>
      <w:r>
        <w:rPr>
          <w:rFonts w:ascii="Calibri" w:eastAsia="Candara" w:hAnsi="Calibri" w:cs="Times New Roman"/>
        </w:rPr>
        <w:t xml:space="preserve"> </w:t>
      </w:r>
      <w:r w:rsidRPr="00716C71">
        <w:rPr>
          <w:rFonts w:cstheme="minorHAnsi"/>
          <w:b/>
        </w:rPr>
        <w:t>Wskaźnik określający dostępność usług medycznych,</w:t>
      </w:r>
      <w:r w:rsidRPr="00716C71">
        <w:rPr>
          <w:rFonts w:cstheme="minorHAnsi"/>
        </w:rPr>
        <w:t xml:space="preserve"> tj. liczba placówek ambu</w:t>
      </w:r>
      <w:r w:rsidR="00ED7675">
        <w:rPr>
          <w:rFonts w:cstheme="minorHAnsi"/>
        </w:rPr>
        <w:t>latoryjnej opieki zdrowotnej na </w:t>
      </w:r>
      <w:r w:rsidRPr="00716C71">
        <w:rPr>
          <w:rFonts w:cstheme="minorHAnsi"/>
        </w:rPr>
        <w:t xml:space="preserve">10 tys. mieszkańców, w 2019 r. wg danych GUS dla terenu HOF </w:t>
      </w:r>
      <w:r w:rsidRPr="00716C71">
        <w:rPr>
          <w:rFonts w:cstheme="minorHAnsi"/>
          <w:b/>
        </w:rPr>
        <w:t xml:space="preserve">wyniósł 5, podobnie jak dla powiatu hrubieszowskiego. </w:t>
      </w:r>
      <w:r w:rsidRPr="00716C71">
        <w:rPr>
          <w:rFonts w:cstheme="minorHAnsi"/>
        </w:rPr>
        <w:t xml:space="preserve">W województwie lubelskim był nieco wyższy i równał się 6. Do roku 2017 HOF osiągał najwyższe wartości wskaźnika w grupie porównawczej. Od 2018 roku sytuacja się </w:t>
      </w:r>
      <w:r w:rsidRPr="00716C71">
        <w:rPr>
          <w:rFonts w:cstheme="minorHAnsi"/>
        </w:rPr>
        <w:lastRenderedPageBreak/>
        <w:t xml:space="preserve">pogorszyła i wartość wskaźnika dla HOF znacznie spadła, co pociągnęło również za sobą spadek </w:t>
      </w:r>
      <w:r w:rsidR="00ED7675">
        <w:rPr>
          <w:rFonts w:cstheme="minorHAnsi"/>
        </w:rPr>
        <w:t>w </w:t>
      </w:r>
      <w:r w:rsidRPr="00716C71">
        <w:rPr>
          <w:rFonts w:cstheme="minorHAnsi"/>
        </w:rPr>
        <w:t>rankingu w grupie porównawczej.</w:t>
      </w:r>
    </w:p>
    <w:p w:rsidR="00ED7675" w:rsidRDefault="00ED7675" w:rsidP="00ED7675">
      <w:pPr>
        <w:pStyle w:val="Legenda"/>
        <w:keepNext/>
        <w:spacing w:after="0"/>
        <w:ind w:firstLine="0"/>
      </w:pPr>
      <w:bookmarkStart w:id="18" w:name="_Toc138068615"/>
      <w:r>
        <w:t xml:space="preserve">Wykres </w:t>
      </w:r>
      <w:r w:rsidR="00E20FF4">
        <w:fldChar w:fldCharType="begin"/>
      </w:r>
      <w:r w:rsidR="00E20FF4">
        <w:instrText xml:space="preserve"> SEQ Wykres \* ARABIC </w:instrText>
      </w:r>
      <w:r w:rsidR="00E20FF4">
        <w:fldChar w:fldCharType="separate"/>
      </w:r>
      <w:r w:rsidR="0022657A">
        <w:rPr>
          <w:noProof/>
        </w:rPr>
        <w:t>7</w:t>
      </w:r>
      <w:r w:rsidR="00E20FF4">
        <w:rPr>
          <w:noProof/>
        </w:rPr>
        <w:fldChar w:fldCharType="end"/>
      </w:r>
      <w:r>
        <w:t xml:space="preserve">. </w:t>
      </w:r>
      <w:r w:rsidRPr="00DD7291">
        <w:t>Liczba placówek ambulatoryjnej opieki zdrowotnej na 10 tys. mieszkańców w HOF oraz grupie porównawczej dla lat 2014-2019</w:t>
      </w:r>
      <w:bookmarkEnd w:id="18"/>
    </w:p>
    <w:p w:rsidR="00ED7675" w:rsidRDefault="00ED7675" w:rsidP="00ED7675">
      <w:pPr>
        <w:spacing w:after="0"/>
        <w:ind w:firstLine="0"/>
        <w:jc w:val="center"/>
        <w:rPr>
          <w:rFonts w:ascii="Calibri" w:eastAsia="Candara" w:hAnsi="Calibri" w:cs="Times New Roman"/>
        </w:rPr>
      </w:pPr>
      <w:r>
        <w:rPr>
          <w:noProof/>
          <w:lang w:eastAsia="pl-PL"/>
        </w:rPr>
        <w:drawing>
          <wp:inline distT="0" distB="0" distL="0" distR="0" wp14:anchorId="38444F47" wp14:editId="2FA22BFD">
            <wp:extent cx="4295185" cy="2575560"/>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08655" cy="2583637"/>
                    </a:xfrm>
                    <a:prstGeom prst="rect">
                      <a:avLst/>
                    </a:prstGeom>
                    <a:noFill/>
                  </pic:spPr>
                </pic:pic>
              </a:graphicData>
            </a:graphic>
          </wp:inline>
        </w:drawing>
      </w:r>
    </w:p>
    <w:p w:rsidR="00ED7675" w:rsidRPr="0003196F" w:rsidRDefault="00ED7675" w:rsidP="00ED7675">
      <w:pPr>
        <w:spacing w:before="0"/>
        <w:rPr>
          <w:rFonts w:cs="Calibri"/>
          <w:b/>
          <w:i/>
          <w:sz w:val="18"/>
          <w:szCs w:val="18"/>
        </w:rPr>
      </w:pPr>
      <w:r w:rsidRPr="0003196F">
        <w:rPr>
          <w:rFonts w:cs="Calibri"/>
          <w:i/>
          <w:sz w:val="18"/>
          <w:szCs w:val="18"/>
        </w:rPr>
        <w:t>Źródło: BDL GUS</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rPr>
        <w:t xml:space="preserve">Na terenie HOF działa 9 jednostek realizujących zadania z zakresu szeroko rozumianej pomocy społecznej. </w:t>
      </w:r>
      <w:r w:rsidRPr="00E320BC">
        <w:rPr>
          <w:rFonts w:ascii="Calibri" w:eastAsia="Candara" w:hAnsi="Calibri" w:cs="Times New Roman"/>
          <w:b/>
        </w:rPr>
        <w:t>Najczęściej wymienianymi powodami trudnej sytuacji społecznej na terenie HOF są: bezrobocie, długotrwała i ciężka choroba, ubóstwo, bezradność w sprawach opiekuńczo – wychowawczych, niepełnosprawność oraz alkoholizm.</w:t>
      </w:r>
    </w:p>
    <w:p w:rsidR="009C17FB" w:rsidRDefault="00E320BC" w:rsidP="00E320BC">
      <w:pPr>
        <w:spacing w:after="0"/>
        <w:ind w:firstLine="357"/>
        <w:rPr>
          <w:rFonts w:ascii="Calibri" w:eastAsia="Candara" w:hAnsi="Calibri" w:cs="Times New Roman"/>
        </w:rPr>
      </w:pPr>
      <w:r w:rsidRPr="005B2590">
        <w:rPr>
          <w:rFonts w:ascii="Calibri" w:eastAsia="Candara" w:hAnsi="Calibri" w:cs="Times New Roman"/>
          <w:b/>
        </w:rPr>
        <w:t>Starzenie się społeczeństwa wpływa na zmianę struktury problemów społecznych.</w:t>
      </w:r>
      <w:r w:rsidRPr="005B2590">
        <w:rPr>
          <w:rFonts w:ascii="Calibri" w:eastAsia="Candara" w:hAnsi="Calibri" w:cs="Times New Roman"/>
        </w:rPr>
        <w:t xml:space="preserve"> W </w:t>
      </w:r>
      <w:r w:rsidR="00D96A44" w:rsidRPr="005B2590">
        <w:rPr>
          <w:rFonts w:ascii="Calibri" w:eastAsia="Candara" w:hAnsi="Calibri" w:cs="Times New Roman"/>
        </w:rPr>
        <w:t xml:space="preserve">HOF </w:t>
      </w:r>
      <w:r w:rsidRPr="005B2590">
        <w:rPr>
          <w:rFonts w:ascii="Calibri" w:eastAsia="Candara" w:hAnsi="Calibri" w:cs="Times New Roman"/>
        </w:rPr>
        <w:t>wzrasta ilość osób samotnych, z niepełnosprawnościami i starszych</w:t>
      </w:r>
      <w:r w:rsidR="009C17FB" w:rsidRPr="005B2590">
        <w:rPr>
          <w:rFonts w:ascii="Calibri" w:eastAsia="Candara" w:hAnsi="Calibri" w:cs="Times New Roman"/>
        </w:rPr>
        <w:t>. Wraz z procesem starzenia się społeczeństwa</w:t>
      </w:r>
      <w:r w:rsidR="00DA43F6" w:rsidRPr="005B2590">
        <w:rPr>
          <w:rFonts w:ascii="Calibri" w:eastAsia="Candara" w:hAnsi="Calibri" w:cs="Times New Roman"/>
        </w:rPr>
        <w:t>, zmianą modelu rodziny oraz wzrostem migracji zarobkowych ludzi młodych</w:t>
      </w:r>
      <w:r w:rsidR="009C17FB" w:rsidRPr="005B2590">
        <w:rPr>
          <w:rFonts w:ascii="Calibri" w:eastAsia="Candara" w:hAnsi="Calibri" w:cs="Times New Roman"/>
        </w:rPr>
        <w:t xml:space="preserve"> pogłębia się również problem wzrastającej grupy osób niesamodzielnych, osób z niepełnosprawnościami oraz wzrost zapotrzebowania na usługi opiekuńczo-pielęgnacyjne i rehabilitacyjne. </w:t>
      </w:r>
      <w:r w:rsidRPr="005B2590">
        <w:rPr>
          <w:rFonts w:ascii="Calibri" w:eastAsia="Candara" w:hAnsi="Calibri" w:cs="Times New Roman"/>
        </w:rPr>
        <w:t xml:space="preserve"> </w:t>
      </w:r>
      <w:r w:rsidR="009C17FB" w:rsidRPr="005B2590">
        <w:rPr>
          <w:rFonts w:ascii="Calibri" w:eastAsia="Candara" w:hAnsi="Calibri" w:cs="Times New Roman"/>
        </w:rPr>
        <w:t>W nowym podejściu do rozwiązywania problemów społecznych (pluralizm usług społecznych) za wskazane uznaje się prowadzenie działań aktywizacyjnych i dążących do usamodzielnienia osób wykluczonych społecznie. Niezwykle istotne jest prowadzenie bardziej różnorodnych i kompleksowych usług społecznych</w:t>
      </w:r>
      <w:r w:rsidR="00DA43F6" w:rsidRPr="005B2590">
        <w:rPr>
          <w:rFonts w:ascii="Calibri" w:eastAsia="Candara" w:hAnsi="Calibri" w:cs="Times New Roman"/>
        </w:rPr>
        <w:t xml:space="preserve">. </w:t>
      </w:r>
      <w:r w:rsidR="00A92CF3" w:rsidRPr="005B2590">
        <w:t>Przeprowadzone badanie w ramach tworzenia mapy potrzeb w zakresie infrastruktury edukacyjnej i społecznej w województwie lubelskim wskazuje na potrzebę tworzenia tego typu jednostek, w których osoby wymagające z powodu wieku, choroby lub niepełnosprawności wsparcia mają zapewnioną codzienną opiekę, a także możliwość samodzielnego i godnego funkcjonowania na miarę swoich potrzeb.</w:t>
      </w:r>
      <w:r w:rsidR="00D96A44" w:rsidRPr="005B2590">
        <w:rPr>
          <w:rFonts w:ascii="Calibri" w:eastAsia="Candara" w:hAnsi="Calibri" w:cs="Times New Roman"/>
        </w:rPr>
        <w:t xml:space="preserve"> W granicach HOF występuje zapotrzebowanie w zakresie infrastruktury społecznej (różne typy jednostek/placówek), </w:t>
      </w:r>
      <w:r w:rsidR="00D96A44" w:rsidRPr="005B2590">
        <w:t xml:space="preserve">stwierdzono barierę dostępu – mała liczba miejsc do dziennych usług opiekuńczo-pielęgnacyjnych i aktywizujących dla osób niesamodzielnych, osób z niepełnosprawnościami oraz obecnego braku </w:t>
      </w:r>
      <w:r w:rsidR="007B33A1" w:rsidRPr="005B2590">
        <w:t>Dziennego Domu Pobytu</w:t>
      </w:r>
      <w:r w:rsidR="00D96A44" w:rsidRPr="005B2590">
        <w:t>.</w:t>
      </w:r>
      <w:r w:rsidR="007E56DF" w:rsidRPr="005B2590">
        <w:t xml:space="preserve"> Możliwości </w:t>
      </w:r>
      <w:r w:rsidR="007E56DF" w:rsidRPr="005B2590">
        <w:rPr>
          <w:rFonts w:ascii="Calibri" w:eastAsia="Candara" w:hAnsi="Calibri" w:cs="Times New Roman"/>
        </w:rPr>
        <w:t xml:space="preserve">jednostek realizujących zadania z zakresu szeroko rozumianej pomocy społecznej </w:t>
      </w:r>
      <w:r w:rsidR="007E56DF" w:rsidRPr="005B2590">
        <w:t xml:space="preserve">są ograniczone i niewystarczające do ogólnego zapotrzebowania. Konieczne staje się podejmowanie działań zmierzających do zapewnienia godnych warunków życia osobom borykającym się z problemami wynikającymi z wieku. Usamodzielnienie życiowe powinno dotyczyć os. w wieku od 16 - 40 r.ż. Osoby te wkraczają w dorosłość, a ich opiekunowie (rodzice) z racji wieku nie są w stanie sprawować już </w:t>
      </w:r>
      <w:r w:rsidR="007E56DF" w:rsidRPr="005B2590">
        <w:lastRenderedPageBreak/>
        <w:t>opieki nad osobami z niepełnosprawnościami.</w:t>
      </w:r>
      <w:r w:rsidR="007B33A1" w:rsidRPr="005B2590">
        <w:t xml:space="preserve"> W HOF brakuje również wypożyczalni sprzętu rehabilitacyjnego. Trwała niepełnosprawność ruchowa czy rekonwalescencja po urazach często wiąże się z potrzebą używania specjalistycznego sprzętu do rehabilitacji. Niekiedy jednak</w:t>
      </w:r>
      <w:r w:rsidR="00C9436C" w:rsidRPr="005B2590">
        <w:t xml:space="preserve"> ze względu na duże koszty lub brak odpowiedniego punktu zlokalizowanego w pobliżu i oferującego tego typu usługi,</w:t>
      </w:r>
      <w:r w:rsidR="007B33A1" w:rsidRPr="005B2590">
        <w:t xml:space="preserve"> dostęp do takiego sprzętu lub jego zakup jest utrudniony, co przekłada się na wydłużony proces powrotu do zdrowia. Jednocześnie zakup sprzętu pociąga za sobą wysokie nakłady finansowe, co może stanowić barierę dla części osób potrzebujących. Szeroka dostępność sprzętu dla wszystkich potrzebujących mieszkańców HOF pozytywnie wpłynie na poprawę samodzielności, aktywności i mobilności osób z niepełnosprawnościami oraz osób po wsze</w:t>
      </w:r>
      <w:r w:rsidR="00C9436C" w:rsidRPr="005B2590">
        <w:t xml:space="preserve">lkiego typu urazach i wypadkach. To z kolei przekłada się na zmniejszenie problemu wykluczenia społecznego oraz </w:t>
      </w:r>
      <w:proofErr w:type="gramStart"/>
      <w:r w:rsidR="00C9436C" w:rsidRPr="005B2590">
        <w:t>wzrost jakości</w:t>
      </w:r>
      <w:proofErr w:type="gramEnd"/>
      <w:r w:rsidR="007B33A1" w:rsidRPr="005B2590">
        <w:t xml:space="preserve"> życia mieszkańców HOF.</w:t>
      </w:r>
    </w:p>
    <w:p w:rsidR="00E320BC" w:rsidRPr="00E320BC" w:rsidRDefault="00D96A44" w:rsidP="00E320BC">
      <w:pPr>
        <w:spacing w:after="0"/>
        <w:ind w:firstLine="357"/>
        <w:rPr>
          <w:rFonts w:ascii="Calibri" w:eastAsia="Candara" w:hAnsi="Calibri" w:cs="Times New Roman"/>
          <w:b/>
        </w:rPr>
      </w:pPr>
      <w:r>
        <w:rPr>
          <w:rFonts w:ascii="Calibri" w:eastAsia="Candara" w:hAnsi="Calibri" w:cs="Times New Roman"/>
          <w:b/>
        </w:rPr>
        <w:t xml:space="preserve">W HOF </w:t>
      </w:r>
      <w:r w:rsidR="00E320BC" w:rsidRPr="00E320BC">
        <w:rPr>
          <w:rFonts w:ascii="Calibri" w:eastAsia="Candara" w:hAnsi="Calibri" w:cs="Times New Roman"/>
          <w:b/>
        </w:rPr>
        <w:t>maleje na</w:t>
      </w:r>
      <w:r w:rsidR="00CD4BD6">
        <w:rPr>
          <w:rFonts w:ascii="Calibri" w:eastAsia="Candara" w:hAnsi="Calibri" w:cs="Times New Roman"/>
          <w:b/>
        </w:rPr>
        <w:t>tomiast corocznie liczba rodzin</w:t>
      </w:r>
      <w:r w:rsidR="00E320BC" w:rsidRPr="00E320BC">
        <w:rPr>
          <w:rFonts w:ascii="Calibri" w:eastAsia="Candara" w:hAnsi="Calibri" w:cs="Times New Roman"/>
          <w:b/>
        </w:rPr>
        <w:t xml:space="preserve"> z dziećmi objętych pomocą społeczną.</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W oparciu o analizę danych Głównego Urzędu Statystycznego w 2019 rok z zasiłków rodzinnych w HOF korzystało 773 rodzin i jest to o 188 rodzin (19,56%) mniej niż w 2014 roku.</w:t>
      </w:r>
    </w:p>
    <w:p w:rsidR="00E320BC" w:rsidRPr="00E320BC" w:rsidRDefault="00E320BC" w:rsidP="00E320BC">
      <w:pPr>
        <w:spacing w:after="0"/>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684864" behindDoc="0" locked="0" layoutInCell="1" allowOverlap="1" wp14:anchorId="7B7E508A" wp14:editId="37E4B0D9">
                <wp:simplePos x="0" y="0"/>
                <wp:positionH relativeFrom="column">
                  <wp:posOffset>-8255</wp:posOffset>
                </wp:positionH>
                <wp:positionV relativeFrom="paragraph">
                  <wp:posOffset>19685</wp:posOffset>
                </wp:positionV>
                <wp:extent cx="3506470" cy="2689860"/>
                <wp:effectExtent l="0" t="0" r="0" b="0"/>
                <wp:wrapSquare wrapText="bothSides"/>
                <wp:docPr id="48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6470" cy="2689860"/>
                        </a:xfrm>
                        <a:prstGeom prst="rect">
                          <a:avLst/>
                        </a:prstGeom>
                        <a:solidFill>
                          <a:srgbClr val="FFFFFF"/>
                        </a:solidFill>
                        <a:ln w="9525">
                          <a:noFill/>
                          <a:miter lim="800000"/>
                          <a:headEnd/>
                          <a:tailEnd/>
                        </a:ln>
                      </wps:spPr>
                      <wps:txbx>
                        <w:txbxContent>
                          <w:p w:rsidR="002441D5" w:rsidRPr="00163727" w:rsidRDefault="002441D5" w:rsidP="00ED7675">
                            <w:pPr>
                              <w:pStyle w:val="Legenda"/>
                              <w:keepNext/>
                              <w:ind w:firstLine="0"/>
                              <w:rPr>
                                <w:color w:val="31B6FD" w:themeColor="accent1"/>
                              </w:rPr>
                            </w:pPr>
                            <w:bookmarkStart w:id="19" w:name="_Toc138068616"/>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8</w:t>
                            </w:r>
                            <w:r w:rsidRPr="00163727">
                              <w:rPr>
                                <w:noProof/>
                                <w:color w:val="31B6FD" w:themeColor="accent1"/>
                              </w:rPr>
                              <w:fldChar w:fldCharType="end"/>
                            </w:r>
                            <w:r w:rsidRPr="00163727">
                              <w:rPr>
                                <w:color w:val="31B6FD" w:themeColor="accent1"/>
                              </w:rPr>
                              <w:t>. Osoby korzystające ze środowiskowej pomocy społecznej wg kryterium dochodowego</w:t>
                            </w:r>
                            <w:bookmarkEnd w:id="19"/>
                          </w:p>
                          <w:p w:rsidR="002441D5" w:rsidRDefault="002441D5" w:rsidP="00ED7675">
                            <w:pPr>
                              <w:spacing w:after="0"/>
                              <w:ind w:firstLine="0"/>
                            </w:pPr>
                            <w:r w:rsidRPr="00A032CA">
                              <w:rPr>
                                <w:noProof/>
                                <w:lang w:eastAsia="pl-PL"/>
                              </w:rPr>
                              <w:drawing>
                                <wp:inline distT="0" distB="0" distL="0" distR="0" wp14:anchorId="3908491E" wp14:editId="0DE9C730">
                                  <wp:extent cx="3314700" cy="1976616"/>
                                  <wp:effectExtent l="0" t="0" r="0" b="508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4700" cy="1976616"/>
                                          </a:xfrm>
                                          <a:prstGeom prst="rect">
                                            <a:avLst/>
                                          </a:prstGeom>
                                          <a:noFill/>
                                          <a:ln>
                                            <a:noFill/>
                                          </a:ln>
                                        </pic:spPr>
                                      </pic:pic>
                                    </a:graphicData>
                                  </a:graphic>
                                </wp:inline>
                              </w:drawing>
                            </w:r>
                          </w:p>
                          <w:p w:rsidR="002441D5" w:rsidRPr="0003196F" w:rsidRDefault="002441D5" w:rsidP="009D6230">
                            <w:pPr>
                              <w:spacing w:before="0"/>
                              <w:rPr>
                                <w:rFonts w:cs="Calibri"/>
                                <w:b/>
                                <w:i/>
                                <w:sz w:val="18"/>
                                <w:szCs w:val="18"/>
                              </w:rPr>
                            </w:pPr>
                            <w:r w:rsidRPr="0003196F">
                              <w:rPr>
                                <w:rFonts w:cs="Calibri"/>
                                <w:i/>
                                <w:sz w:val="18"/>
                                <w:szCs w:val="18"/>
                              </w:rPr>
                              <w:t>Źródło: BDL GUS</w:t>
                            </w:r>
                          </w:p>
                          <w:p w:rsidR="002441D5" w:rsidRDefault="002441D5" w:rsidP="00E320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65pt;margin-top:1.55pt;width:276.1pt;height:211.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" stroked="f">
                <v:textbox>
                  <w:txbxContent>
                    <w:p w:rsidR="002441D5" w:rsidRPr="00163727" w:rsidRDefault="002441D5" w:rsidP="00ED7675">
                      <w:pPr>
                        <w:pStyle w:val="Legenda"/>
                        <w:keepNext/>
                        <w:ind w:firstLine="0"/>
                        <w:rPr>
                          <w:color w:val="31B6FD" w:themeColor="accent1"/>
                        </w:rPr>
                      </w:pPr>
                      <w:bookmarkStart w:id="20" w:name="_Toc138068616"/>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8</w:t>
                      </w:r>
                      <w:r w:rsidRPr="00163727">
                        <w:rPr>
                          <w:noProof/>
                          <w:color w:val="31B6FD" w:themeColor="accent1"/>
                        </w:rPr>
                        <w:fldChar w:fldCharType="end"/>
                      </w:r>
                      <w:r w:rsidRPr="00163727">
                        <w:rPr>
                          <w:color w:val="31B6FD" w:themeColor="accent1"/>
                        </w:rPr>
                        <w:t>. Osoby korzystające ze środowiskowej pomocy społecznej wg kryterium dochodowego</w:t>
                      </w:r>
                      <w:bookmarkEnd w:id="20"/>
                    </w:p>
                    <w:p w:rsidR="002441D5" w:rsidRDefault="002441D5" w:rsidP="00ED7675">
                      <w:pPr>
                        <w:spacing w:after="0"/>
                        <w:ind w:firstLine="0"/>
                      </w:pPr>
                      <w:r w:rsidRPr="00A032CA">
                        <w:rPr>
                          <w:noProof/>
                          <w:lang w:eastAsia="pl-PL"/>
                        </w:rPr>
                        <w:drawing>
                          <wp:inline distT="0" distB="0" distL="0" distR="0" wp14:anchorId="3908491E" wp14:editId="0DE9C730">
                            <wp:extent cx="3314700" cy="1976616"/>
                            <wp:effectExtent l="0" t="0" r="0" b="5080"/>
                            <wp:docPr id="491" name="Obraz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4700" cy="1976616"/>
                                    </a:xfrm>
                                    <a:prstGeom prst="rect">
                                      <a:avLst/>
                                    </a:prstGeom>
                                    <a:noFill/>
                                    <a:ln>
                                      <a:noFill/>
                                    </a:ln>
                                  </pic:spPr>
                                </pic:pic>
                              </a:graphicData>
                            </a:graphic>
                          </wp:inline>
                        </w:drawing>
                      </w:r>
                    </w:p>
                    <w:p w:rsidR="002441D5" w:rsidRPr="0003196F" w:rsidRDefault="002441D5" w:rsidP="009D6230">
                      <w:pPr>
                        <w:spacing w:before="0"/>
                        <w:rPr>
                          <w:rFonts w:cs="Calibri"/>
                          <w:b/>
                          <w:i/>
                          <w:sz w:val="18"/>
                          <w:szCs w:val="18"/>
                        </w:rPr>
                      </w:pPr>
                      <w:r w:rsidRPr="0003196F">
                        <w:rPr>
                          <w:rFonts w:cs="Calibri"/>
                          <w:i/>
                          <w:sz w:val="18"/>
                          <w:szCs w:val="18"/>
                        </w:rPr>
                        <w:t>Źródło: BDL GUS</w:t>
                      </w:r>
                    </w:p>
                    <w:p w:rsidR="002441D5" w:rsidRDefault="002441D5" w:rsidP="00E320BC"/>
                  </w:txbxContent>
                </v:textbox>
                <w10:wrap type="square"/>
              </v:shape>
            </w:pict>
          </mc:Fallback>
        </mc:AlternateContent>
      </w:r>
      <w:r w:rsidRPr="00E320BC">
        <w:rPr>
          <w:rFonts w:ascii="Calibri" w:eastAsia="Candara" w:hAnsi="Calibri" w:cs="Times New Roman"/>
        </w:rPr>
        <w:t xml:space="preserve"> W 2019 roku ze środowiskowej pomocy społecznej w HOF skorzystały 1154 osoby, jest to wartość ponad dwukrotnie niższa niż w 2014 roku (2377 osób). Ponad połowa (61,52%) z tych osób to osoby poniżej obowiązujących kryteriów dochodowych decydujących o przyznaniu świadczeń środowiskowej pomocy społecznej.</w:t>
      </w:r>
    </w:p>
    <w:p w:rsidR="00E320BC" w:rsidRDefault="00E320BC" w:rsidP="00E320BC">
      <w:pPr>
        <w:spacing w:after="0"/>
        <w:ind w:firstLine="357"/>
        <w:rPr>
          <w:rFonts w:ascii="Calibri" w:eastAsia="Candara" w:hAnsi="Calibri" w:cs="Times New Roman"/>
        </w:rPr>
      </w:pPr>
      <w:r w:rsidRPr="00E320BC">
        <w:rPr>
          <w:rFonts w:ascii="Calibri" w:eastAsia="Candara" w:hAnsi="Calibri" w:cs="Times New Roman"/>
        </w:rPr>
        <w:t>W Hrubieszowskim Obszarze Funkcjonalnym statystycznie mniej osób korzysta z pomocy społecznej niż średnio na obszarze powiatu hrubieszowskiego</w:t>
      </w:r>
      <w:r w:rsidRPr="00E320BC">
        <w:rPr>
          <w:rFonts w:ascii="Calibri" w:eastAsia="Candara" w:hAnsi="Calibri" w:cs="Times New Roman"/>
          <w:b/>
        </w:rPr>
        <w:t>. Wartość dla HOF w 2019 roku wynosiła 42 osoby na 1000 mieszkańców</w:t>
      </w:r>
      <w:r w:rsidR="009D6230">
        <w:rPr>
          <w:rFonts w:ascii="Calibri" w:eastAsia="Candara" w:hAnsi="Calibri" w:cs="Times New Roman"/>
        </w:rPr>
        <w:t>, jest to </w:t>
      </w:r>
      <w:r w:rsidRPr="00E320BC">
        <w:rPr>
          <w:rFonts w:ascii="Calibri" w:eastAsia="Candara" w:hAnsi="Calibri" w:cs="Times New Roman"/>
        </w:rPr>
        <w:t>wartość niższa o 16 osób od średniej dla powiatu. Również w porównaniu z obszarami funkcjonalnymi grupy porównawczej w MOF statystycznie najmniej mieszkańców korzysta ze</w:t>
      </w:r>
      <w:r w:rsidR="009D6230">
        <w:rPr>
          <w:rFonts w:ascii="Calibri" w:eastAsia="Candara" w:hAnsi="Calibri" w:cs="Times New Roman"/>
        </w:rPr>
        <w:t> </w:t>
      </w:r>
      <w:r w:rsidRPr="00E320BC">
        <w:rPr>
          <w:rFonts w:ascii="Calibri" w:eastAsia="Candara" w:hAnsi="Calibri" w:cs="Times New Roman"/>
        </w:rPr>
        <w:t>społecznego wsparcia państwa. Średnia dla HOF w analizowanym okresie czasu wynosi 62, przy średniej dla grupy porównawczej 85.</w:t>
      </w:r>
    </w:p>
    <w:p w:rsidR="00E320BC" w:rsidRPr="00E320BC" w:rsidRDefault="004D5110" w:rsidP="004F6FE0">
      <w:pPr>
        <w:rPr>
          <w:rFonts w:ascii="Calibri" w:eastAsia="Candara" w:hAnsi="Calibri" w:cs="Times New Roman"/>
          <w:b/>
          <w:i/>
          <w:color w:val="936A07"/>
        </w:rPr>
      </w:pPr>
      <w:r w:rsidRPr="00E320BC">
        <w:rPr>
          <w:rFonts w:ascii="Calibri" w:eastAsia="Candara" w:hAnsi="Calibri" w:cs="Times New Roman"/>
          <w:b/>
          <w:i/>
          <w:noProof/>
          <w:color w:val="936A07"/>
          <w:lang w:eastAsia="pl-PL"/>
        </w:rPr>
        <mc:AlternateContent>
          <mc:Choice Requires="wps">
            <w:drawing>
              <wp:anchor distT="0" distB="0" distL="114300" distR="114300" simplePos="0" relativeHeight="251681792" behindDoc="0" locked="0" layoutInCell="1" allowOverlap="1" wp14:anchorId="5B615244" wp14:editId="3F9DE7F3">
                <wp:simplePos x="0" y="0"/>
                <wp:positionH relativeFrom="column">
                  <wp:posOffset>-93345</wp:posOffset>
                </wp:positionH>
                <wp:positionV relativeFrom="paragraph">
                  <wp:posOffset>45086</wp:posOffset>
                </wp:positionV>
                <wp:extent cx="5949950" cy="1797050"/>
                <wp:effectExtent l="0" t="0" r="12700" b="12700"/>
                <wp:wrapNone/>
                <wp:docPr id="16" name="Prostokąt 16"/>
                <wp:cNvGraphicFramePr/>
                <a:graphic xmlns:a="http://schemas.openxmlformats.org/drawingml/2006/main">
                  <a:graphicData uri="http://schemas.microsoft.com/office/word/2010/wordprocessingShape">
                    <wps:wsp>
                      <wps:cNvSpPr/>
                      <wps:spPr>
                        <a:xfrm>
                          <a:off x="0" y="0"/>
                          <a:ext cx="5949950" cy="1797050"/>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16" o:spid="_x0000_s1026" style="position:absolute;margin-left:-7.35pt;margin-top:3.55pt;width:468.5pt;height:14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" filled="f" strokecolor="#dc9f0c" strokeweight="1.25pt"/>
            </w:pict>
          </mc:Fallback>
        </mc:AlternateContent>
      </w:r>
      <w:r w:rsidR="00E320BC"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Mieszkańcy HOF zwracali uwagę na problemy osób starszych oraz konieczność przystosowania i rozszerzenia infrastruktury odpowiednio przygotowanej dla wciąż powiększającej się grupy społecznej. Według 71,6% respondentów najważniejszym problemem społecznym wobec osób starszych są problemy zdrowotne oraz niesamodzielność, według 62,7% samotność i izolacja. Istotnym problemem </w:t>
      </w:r>
      <w:r w:rsidRPr="007F7205">
        <w:rPr>
          <w:rFonts w:ascii="Calibri" w:eastAsia="Candara" w:hAnsi="Calibri" w:cs="Times New Roman"/>
          <w:i/>
          <w:color w:val="936A07"/>
        </w:rPr>
        <w:t xml:space="preserve">dla 53,7% ankietowanych jest również niewystarczający zakres usług opiekuńczych i zdrowotnych. Mieszkańcy zwracają </w:t>
      </w:r>
      <w:r w:rsidRPr="00E320BC">
        <w:rPr>
          <w:rFonts w:ascii="Calibri" w:eastAsia="Candara" w:hAnsi="Calibri" w:cs="Times New Roman"/>
          <w:i/>
          <w:color w:val="936A07"/>
        </w:rPr>
        <w:t xml:space="preserve">uwagę na problem występowania barier w przestrzeni publicznej oraz konieczność budowy domu opieki dla osób starszych oferującego </w:t>
      </w:r>
      <w:r w:rsidRPr="00E320BC">
        <w:rPr>
          <w:rFonts w:ascii="Calibri" w:eastAsia="Candara" w:hAnsi="Calibri" w:cs="Times New Roman"/>
          <w:i/>
          <w:color w:val="936A07"/>
        </w:rPr>
        <w:lastRenderedPageBreak/>
        <w:t>całodobową i dzienną opiekę. W odpowiedziach zauważalna jest także potrzeba tworzenia organizacji wspierających osoby starsze.</w:t>
      </w:r>
    </w:p>
    <w:p w:rsidR="00643390" w:rsidRPr="00E320BC" w:rsidRDefault="005B2590" w:rsidP="00643390">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i/>
          <w:noProof/>
          <w:color w:val="936A07"/>
          <w:lang w:eastAsia="pl-PL"/>
        </w:rPr>
        <mc:AlternateContent>
          <mc:Choice Requires="wps">
            <w:drawing>
              <wp:anchor distT="0" distB="0" distL="114300" distR="114300" simplePos="0" relativeHeight="251781120" behindDoc="0" locked="0" layoutInCell="1" allowOverlap="1" wp14:anchorId="5117BDAB" wp14:editId="16D42210">
                <wp:simplePos x="0" y="0"/>
                <wp:positionH relativeFrom="column">
                  <wp:posOffset>-55245</wp:posOffset>
                </wp:positionH>
                <wp:positionV relativeFrom="paragraph">
                  <wp:posOffset>-473075</wp:posOffset>
                </wp:positionV>
                <wp:extent cx="5949950" cy="482600"/>
                <wp:effectExtent l="0" t="0" r="12700" b="12700"/>
                <wp:wrapNone/>
                <wp:docPr id="31" name="Prostokąt 31"/>
                <wp:cNvGraphicFramePr/>
                <a:graphic xmlns:a="http://schemas.openxmlformats.org/drawingml/2006/main">
                  <a:graphicData uri="http://schemas.microsoft.com/office/word/2010/wordprocessingShape">
                    <wps:wsp>
                      <wps:cNvSpPr/>
                      <wps:spPr>
                        <a:xfrm>
                          <a:off x="0" y="0"/>
                          <a:ext cx="5949950" cy="482600"/>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31" o:spid="_x0000_s1026" style="position:absolute;margin-left:-4.35pt;margin-top:-37.25pt;width:468.5pt;height:38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" filled="f" strokecolor="#dc9f0c" strokeweight="1.25pt"/>
            </w:pict>
          </mc:Fallback>
        </mc:AlternateContent>
      </w:r>
      <w:r w:rsidR="00643390" w:rsidRPr="00E320BC">
        <w:rPr>
          <w:rFonts w:ascii="Calibri" w:eastAsia="Candara" w:hAnsi="Calibri" w:cs="Times New Roman"/>
          <w:b/>
          <w:bCs/>
          <w:i/>
          <w:iCs/>
          <w:color w:val="31B6FD"/>
        </w:rPr>
        <w:t>Bezpieczeństwo publiczne</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W zakresie ochrony bezpieczeństwa publicznego na terenie HOF </w:t>
      </w:r>
      <w:r w:rsidRPr="00E320BC">
        <w:rPr>
          <w:rFonts w:ascii="Calibri" w:eastAsia="Candara" w:hAnsi="Calibri" w:cs="Times New Roman"/>
          <w:b/>
        </w:rPr>
        <w:t>działa szereg instytucji</w:t>
      </w:r>
      <w:r w:rsidRPr="00E320BC">
        <w:rPr>
          <w:rFonts w:ascii="Calibri" w:eastAsia="Candara" w:hAnsi="Calibri" w:cs="Times New Roman"/>
        </w:rPr>
        <w:t>.</w:t>
      </w:r>
    </w:p>
    <w:p w:rsid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Z rocznych raportów Komendy Powiatowej Policji w Hrubieszowie oraz informacji Straży Miejskiej w Hrubieszowie wynika, iż </w:t>
      </w:r>
      <w:r w:rsidRPr="00E320BC">
        <w:rPr>
          <w:rFonts w:ascii="Calibri" w:eastAsia="Candara" w:hAnsi="Calibri" w:cs="Times New Roman"/>
          <w:b/>
        </w:rPr>
        <w:t xml:space="preserve">przestępczość w ostatnim czasie maleje. </w:t>
      </w:r>
      <w:r w:rsidRPr="00E320BC">
        <w:rPr>
          <w:rFonts w:ascii="Calibri" w:eastAsia="Candara" w:hAnsi="Calibri" w:cs="Times New Roman"/>
        </w:rPr>
        <w:t xml:space="preserve">Średnia wykrytych sprawców zgłoszonych przestępstw w HOF kształtowała się w roku 2019 na poziomie 86% i była nieco niższa niż średnia uzyskana w roku 2018, która wynosiła nieco ponad 89%. W roku 2019 na terenie HOF odnotowano 782 przestępstwa w 16 kategoriach (382 – 48,84% na terenie miasta). Na terenie Gminy Miejskiej Hrubieszów najwięcej przestępstw dotyczyło: </w:t>
      </w:r>
      <w:r w:rsidRPr="000950E3">
        <w:rPr>
          <w:rFonts w:ascii="Calibri" w:eastAsia="Candara" w:hAnsi="Calibri" w:cs="Times New Roman"/>
          <w:b/>
        </w:rPr>
        <w:t>oszustw, kradzieży i przywłaszczenia, gróźb karalnych oraz znęcania się</w:t>
      </w:r>
      <w:r w:rsidRPr="00E320BC">
        <w:rPr>
          <w:rFonts w:ascii="Calibri" w:eastAsia="Candara" w:hAnsi="Calibri" w:cs="Times New Roman"/>
        </w:rPr>
        <w:t xml:space="preserve">. Nieco inaczej rysował się obraz Gminy Hrubieszów, gdzie dominowały przestępstwa w kategoriach: </w:t>
      </w:r>
      <w:r w:rsidRPr="000950E3">
        <w:rPr>
          <w:rFonts w:ascii="Calibri" w:eastAsia="Candara" w:hAnsi="Calibri" w:cs="Times New Roman"/>
          <w:b/>
        </w:rPr>
        <w:t>w ruchu drogowym, uszczerbek na zdrowiu, kradzież z włamaniem</w:t>
      </w:r>
      <w:r w:rsidRPr="00E320BC">
        <w:rPr>
          <w:rFonts w:ascii="Calibri" w:eastAsia="Candara" w:hAnsi="Calibri" w:cs="Times New Roman"/>
        </w:rPr>
        <w:t>.</w:t>
      </w:r>
    </w:p>
    <w:p w:rsidR="000950E3" w:rsidRPr="00E320BC" w:rsidRDefault="000950E3" w:rsidP="00E320BC">
      <w:pPr>
        <w:spacing w:after="0"/>
        <w:ind w:firstLine="357"/>
        <w:rPr>
          <w:rFonts w:ascii="Calibri" w:eastAsia="Candara" w:hAnsi="Calibri" w:cs="Times New Roman"/>
        </w:rPr>
      </w:pPr>
      <w:r w:rsidRPr="00770E2B">
        <w:rPr>
          <w:rFonts w:ascii="Calibri" w:eastAsia="Candara" w:hAnsi="Calibri" w:cs="Times New Roman"/>
        </w:rPr>
        <w:t xml:space="preserve">Gmina Miejska Hrubieszów prowadzi działania zmierzające do poprawy poziomu bezpieczeństwa poprzez rozbudowę systemu monitoringu. Projekt ma za zadanie wspieranie realizacji innych działań z zakresu rewitalizacji, </w:t>
      </w:r>
      <w:r w:rsidR="00C52509" w:rsidRPr="00770E2B">
        <w:rPr>
          <w:rFonts w:ascii="Calibri" w:eastAsia="Candara" w:hAnsi="Calibri" w:cs="Times New Roman"/>
        </w:rPr>
        <w:t>jak również wzmocnienie poczucia bez</w:t>
      </w:r>
      <w:r w:rsidR="009D6230" w:rsidRPr="00770E2B">
        <w:rPr>
          <w:rFonts w:ascii="Calibri" w:eastAsia="Candara" w:hAnsi="Calibri" w:cs="Times New Roman"/>
        </w:rPr>
        <w:t>pieczeństwa wśród mieszkańców i </w:t>
      </w:r>
      <w:r w:rsidR="00C52509" w:rsidRPr="00770E2B">
        <w:rPr>
          <w:rFonts w:ascii="Calibri" w:eastAsia="Candara" w:hAnsi="Calibri" w:cs="Times New Roman"/>
        </w:rPr>
        <w:t>turystów.</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rPr>
        <w:t xml:space="preserve">Na stan bezpieczeństwa na teranie Gminy Miejskiej Hrubieszów miały również wpływ zdarzenia w ruchu drogowym. W 2019 roku doszło do 291 zdarzeń (2018 – 331). </w:t>
      </w:r>
      <w:r w:rsidRPr="00E320BC">
        <w:rPr>
          <w:rFonts w:ascii="Calibri" w:eastAsia="Candara" w:hAnsi="Calibri" w:cs="Times New Roman"/>
          <w:b/>
        </w:rPr>
        <w:t xml:space="preserve">Aby ograniczyć liczbę zdarzeń drogowych z udziałem pieszych przeprowadzono cykl spotkań z dziećmi i młodzieżą w szkołach, podczas których omawiano zasady bezpiecznego poruszania się po drogach. Na omawianym obszarze prowadzony jest również szereg działań w formie programów zmierzających do eliminacji i przeciwdziałaniu negatywnym zrachowaniom wśród </w:t>
      </w:r>
      <w:r w:rsidR="00643390" w:rsidRPr="00E320BC">
        <w:rPr>
          <w:rFonts w:ascii="Calibri" w:eastAsia="Candara" w:hAnsi="Calibri" w:cs="Times New Roman"/>
          <w:b/>
        </w:rPr>
        <w:t>młodzieży.</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O stanie bezpieczeństwa publicznego na obszarze HOF świadczą również interwencje podejmowane przez służby pożarnicze w odpowiedzi na występujące zagrożenia. Według danych z ostatnich lat na terenie powiatu - a tym samym w Obszarze Funkcjonalnym - </w:t>
      </w:r>
      <w:r w:rsidRPr="00E320BC">
        <w:rPr>
          <w:rFonts w:ascii="Calibri" w:eastAsia="Candara" w:hAnsi="Calibri" w:cs="Times New Roman"/>
          <w:b/>
        </w:rPr>
        <w:t>nastąpił spadek ogólnej liczby zdarzeń,</w:t>
      </w:r>
      <w:r w:rsidRPr="00E320BC">
        <w:rPr>
          <w:rFonts w:ascii="Calibri" w:eastAsia="Candara" w:hAnsi="Calibri" w:cs="Times New Roman"/>
        </w:rPr>
        <w:t xml:space="preserve"> co miało związek ze zmniejszoną liczbą pożarów oraz fałszywych alarmów, natomiast wystąpił zauważalny wzrost liczby miejscowych zagrożeń.</w:t>
      </w:r>
    </w:p>
    <w:p w:rsidR="00E320BC" w:rsidRDefault="00E320BC" w:rsidP="00E320BC">
      <w:pPr>
        <w:spacing w:after="0"/>
        <w:ind w:firstLine="357"/>
        <w:rPr>
          <w:rFonts w:ascii="Calibri" w:eastAsia="Candara" w:hAnsi="Calibri" w:cs="Times New Roman"/>
        </w:rPr>
      </w:pPr>
      <w:r w:rsidRPr="00E320BC">
        <w:rPr>
          <w:rFonts w:ascii="Calibri" w:eastAsia="Candara" w:hAnsi="Calibri" w:cs="Times New Roman"/>
        </w:rPr>
        <w:t>Na terenie HOF prowadzone są działania związane z minimalizacją niebezpieczeństwa spowodowanego COVID-19.</w:t>
      </w:r>
    </w:p>
    <w:p w:rsidR="009D6230" w:rsidRPr="00E320BC" w:rsidRDefault="00B36889" w:rsidP="00E320BC">
      <w:pPr>
        <w:spacing w:after="0"/>
        <w:ind w:firstLine="357"/>
        <w:rPr>
          <w:rFonts w:ascii="Calibri" w:eastAsia="Candara" w:hAnsi="Calibri" w:cs="Times New Roman"/>
        </w:rPr>
      </w:pPr>
      <w:r w:rsidRPr="00E320BC">
        <w:rPr>
          <w:rFonts w:ascii="Calibri" w:eastAsia="Candara" w:hAnsi="Calibri" w:cs="Times New Roman"/>
          <w:b/>
          <w:i/>
          <w:noProof/>
          <w:color w:val="F5C040"/>
          <w:lang w:eastAsia="pl-PL"/>
        </w:rPr>
        <mc:AlternateContent>
          <mc:Choice Requires="wps">
            <w:drawing>
              <wp:anchor distT="0" distB="0" distL="114300" distR="114300" simplePos="0" relativeHeight="251682816" behindDoc="0" locked="0" layoutInCell="1" allowOverlap="1" wp14:anchorId="27D828AD" wp14:editId="2A9D2EB2">
                <wp:simplePos x="0" y="0"/>
                <wp:positionH relativeFrom="column">
                  <wp:posOffset>-55245</wp:posOffset>
                </wp:positionH>
                <wp:positionV relativeFrom="paragraph">
                  <wp:posOffset>252095</wp:posOffset>
                </wp:positionV>
                <wp:extent cx="5901055" cy="1246505"/>
                <wp:effectExtent l="0" t="0" r="23495" b="10795"/>
                <wp:wrapNone/>
                <wp:docPr id="17" name="Prostokąt 17"/>
                <wp:cNvGraphicFramePr/>
                <a:graphic xmlns:a="http://schemas.openxmlformats.org/drawingml/2006/main">
                  <a:graphicData uri="http://schemas.microsoft.com/office/word/2010/wordprocessingShape">
                    <wps:wsp>
                      <wps:cNvSpPr/>
                      <wps:spPr>
                        <a:xfrm>
                          <a:off x="0" y="0"/>
                          <a:ext cx="5901055" cy="1246505"/>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17" o:spid="_x0000_s1026" style="position:absolute;margin-left:-4.35pt;margin-top:19.85pt;width:464.65pt;height:98.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" filled="f" strokecolor="#dc9f0c" strokeweight="1.25pt"/>
            </w:pict>
          </mc:Fallback>
        </mc:AlternateContent>
      </w:r>
    </w:p>
    <w:p w:rsidR="00E320BC" w:rsidRPr="00E320BC" w:rsidRDefault="00E320BC" w:rsidP="00E320BC">
      <w:pPr>
        <w:spacing w:after="0"/>
        <w:ind w:left="284"/>
        <w:rPr>
          <w:rFonts w:ascii="Calibri" w:eastAsia="Candara" w:hAnsi="Calibri" w:cs="Times New Roman"/>
        </w:rPr>
      </w:pPr>
      <w:r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Według mieszkańców HOF jest miejscem bezpiecznym. Wymieniając problemy dotykające mieszkańców ankietowani najrzadziej wybierali zagadnienie przestępczości oraz przestępczości młodocianych. W pytaniu dotyczącym bezpieczeństwa mieszkańców 53,7% ankietowanych udzieliło odpowiedzi „dobry”.</w:t>
      </w:r>
    </w:p>
    <w:p w:rsidR="00E320BC" w:rsidRPr="00E320BC" w:rsidRDefault="00E320BC" w:rsidP="00E320BC">
      <w:pPr>
        <w:spacing w:after="0"/>
        <w:ind w:firstLine="357"/>
        <w:rPr>
          <w:rFonts w:ascii="Calibri" w:eastAsia="Candara" w:hAnsi="Calibri" w:cs="Times New Roman"/>
        </w:rPr>
      </w:pPr>
    </w:p>
    <w:p w:rsidR="00E320BC" w:rsidRDefault="00E320BC" w:rsidP="00E320BC">
      <w:pPr>
        <w:spacing w:after="0"/>
        <w:ind w:firstLine="357"/>
        <w:rPr>
          <w:rFonts w:ascii="Calibri" w:eastAsia="Candara" w:hAnsi="Calibri" w:cs="Times New Roman"/>
        </w:rPr>
      </w:pPr>
    </w:p>
    <w:p w:rsidR="005B2590" w:rsidRPr="00E320BC" w:rsidRDefault="005B2590" w:rsidP="00E320BC">
      <w:pPr>
        <w:spacing w:after="0"/>
        <w:ind w:firstLine="357"/>
        <w:rPr>
          <w:rFonts w:ascii="Calibri" w:eastAsia="Candara" w:hAnsi="Calibri" w:cs="Times New Roman"/>
        </w:rPr>
      </w:pPr>
    </w:p>
    <w:p w:rsidR="00E320BC" w:rsidRPr="00E320BC" w:rsidRDefault="007E56DF" w:rsidP="00E320BC">
      <w:pPr>
        <w:spacing w:after="0"/>
        <w:ind w:firstLine="357"/>
        <w:rPr>
          <w:rFonts w:ascii="Calibri" w:eastAsia="Candara" w:hAnsi="Calibri" w:cs="Times New Roman"/>
        </w:rPr>
      </w:pPr>
      <w:r>
        <w:rPr>
          <w:rFonts w:ascii="Calibri" w:eastAsia="Candara" w:hAnsi="Calibri" w:cs="Times New Roman"/>
          <w:noProof/>
          <w:lang w:eastAsia="pl-PL"/>
        </w:rPr>
        <w:lastRenderedPageBreak/>
        <mc:AlternateContent>
          <mc:Choice Requires="wpg">
            <w:drawing>
              <wp:anchor distT="0" distB="0" distL="114300" distR="114300" simplePos="0" relativeHeight="251674624" behindDoc="1" locked="0" layoutInCell="1" allowOverlap="1" wp14:anchorId="6B151ED4" wp14:editId="244CA5C0">
                <wp:simplePos x="0" y="0"/>
                <wp:positionH relativeFrom="column">
                  <wp:posOffset>67359</wp:posOffset>
                </wp:positionH>
                <wp:positionV relativeFrom="paragraph">
                  <wp:posOffset>-477764</wp:posOffset>
                </wp:positionV>
                <wp:extent cx="5721350" cy="1690370"/>
                <wp:effectExtent l="0" t="0" r="12700" b="5080"/>
                <wp:wrapNone/>
                <wp:docPr id="747" name="Grupa 747"/>
                <wp:cNvGraphicFramePr/>
                <a:graphic xmlns:a="http://schemas.openxmlformats.org/drawingml/2006/main">
                  <a:graphicData uri="http://schemas.microsoft.com/office/word/2010/wordprocessingGroup">
                    <wpg:wgp>
                      <wpg:cNvGrpSpPr/>
                      <wpg:grpSpPr>
                        <a:xfrm>
                          <a:off x="0" y="0"/>
                          <a:ext cx="5721350" cy="1690370"/>
                          <a:chOff x="0" y="0"/>
                          <a:chExt cx="5721350" cy="1690370"/>
                        </a:xfrm>
                      </wpg:grpSpPr>
                      <wps:wsp>
                        <wps:cNvPr id="20" name="Prostokąt 20"/>
                        <wps:cNvSpPr/>
                        <wps:spPr>
                          <a:xfrm>
                            <a:off x="0" y="638907"/>
                            <a:ext cx="5721350" cy="630555"/>
                          </a:xfrm>
                          <a:prstGeom prst="rect">
                            <a:avLst/>
                          </a:prstGeom>
                          <a:solidFill>
                            <a:sysClr val="window" lastClr="FFFFFF">
                              <a:lumMod val="85000"/>
                            </a:sysClr>
                          </a:solidFill>
                          <a:ln w="15875" cap="flat" cmpd="sng" algn="ctr">
                            <a:solidFill>
                              <a:srgbClr val="31B6F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Pole tekstowe 2"/>
                        <wps:cNvSpPr txBox="1">
                          <a:spLocks noChangeArrowheads="1"/>
                        </wps:cNvSpPr>
                        <wps:spPr bwMode="auto">
                          <a:xfrm>
                            <a:off x="3868615" y="0"/>
                            <a:ext cx="1703705" cy="1690370"/>
                          </a:xfrm>
                          <a:prstGeom prst="rect">
                            <a:avLst/>
                          </a:prstGeom>
                          <a:noFill/>
                          <a:ln w="9525">
                            <a:noFill/>
                            <a:miter lim="800000"/>
                            <a:headEnd/>
                            <a:tailEnd/>
                          </a:ln>
                        </wps:spPr>
                        <wps:txbx>
                          <w:txbxContent>
                            <w:p w:rsidR="002441D5" w:rsidRDefault="002441D5" w:rsidP="007E56DF">
                              <w:pPr>
                                <w:ind w:firstLine="0"/>
                              </w:pPr>
                              <w:r>
                                <w:rPr>
                                  <w:noProof/>
                                  <w:lang w:eastAsia="pl-PL"/>
                                </w:rPr>
                                <w:drawing>
                                  <wp:inline distT="0" distB="0" distL="0" distR="0" wp14:anchorId="0F06EB43" wp14:editId="177C26EF">
                                    <wp:extent cx="1548110" cy="1544782"/>
                                    <wp:effectExtent l="0" t="0" r="0" b="0"/>
                                    <wp:docPr id="492" name="Obraz 492" descr="Deszcz, Biznes, Pieniądze, I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zcz, Biznes, Pieniądze, Iphon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0718" cy="1547385"/>
                                            </a:xfrm>
                                            <a:prstGeom prst="rect">
                                              <a:avLst/>
                                            </a:prstGeom>
                                            <a:noFill/>
                                            <a:ln>
                                              <a:noFill/>
                                            </a:ln>
                                          </pic:spPr>
                                        </pic:pic>
                                      </a:graphicData>
                                    </a:graphic>
                                  </wp:inline>
                                </w:drawing>
                              </w:r>
                            </w:p>
                          </w:txbxContent>
                        </wps:txbx>
                        <wps:bodyPr rot="0" vert="horz" wrap="square" lIns="91440" tIns="45720" rIns="91440" bIns="45720" anchor="t" anchorCtr="0">
                          <a:noAutofit/>
                        </wps:bodyPr>
                      </wps:wsp>
                    </wpg:wgp>
                  </a:graphicData>
                </a:graphic>
              </wp:anchor>
            </w:drawing>
          </mc:Choice>
          <mc:Fallback>
            <w:pict>
              <v:group id="Grupa 747" o:spid="_x0000_s1033" style="position:absolute;left:0;text-align:left;margin-left:5.3pt;margin-top:-37.6pt;width:450.5pt;height:133.1pt;z-index:-251641856" coordsize="57213,16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">
                <v:rect id="Prostokąt 20" o:spid="_x0000_s1034" style="position:absolute;top:6389;width:57213;height:6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BsAMIA&#10;AADbAAAADwAAAGRycy9kb3ducmV2LnhtbERPTWvCQBC9F/wPywje6sYgKqmr1IJoDyLGIPU2ZMck&#10;NDubZleT/nv3UOjx8b6X697U4kGtqywrmIwjEMS51RUXCrLz9nUBwnlkjbVlUvBLDtarwcsSE207&#10;PtEj9YUIIewSVFB63yRSurwkg25sG+LA3Wxr0AfYFlK32IVwU8s4imbSYMWhocSGPkrKv9O7UbA3&#10;u8/NdTtPZ8efzl2Kw1dG8VSp0bB/fwPhqff/4j/3XiuIw/rwJfwAuX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0GwAwgAAANsAAAAPAAAAAAAAAAAAAAAAAJgCAABkcnMvZG93&#10;bnJldi54bWxQSwUGAAAAAAQABAD1AAAAhwMAAAAA&#10;" fillcolor="#d9d9d9" strokecolor="#0293e0" strokeweight="1.25pt"/>
                <v:shape id="_x0000_s1035" type="#_x0000_t202" style="position:absolute;left:38686;width:17037;height:16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rsidR="002441D5" w:rsidRDefault="002441D5" w:rsidP="007E56DF">
                        <w:pPr>
                          <w:ind w:firstLine="0"/>
                        </w:pPr>
                        <w:r>
                          <w:rPr>
                            <w:noProof/>
                            <w:lang w:eastAsia="pl-PL"/>
                          </w:rPr>
                          <w:drawing>
                            <wp:inline distT="0" distB="0" distL="0" distR="0" wp14:anchorId="0F06EB43" wp14:editId="177C26EF">
                              <wp:extent cx="1548110" cy="1544782"/>
                              <wp:effectExtent l="0" t="0" r="0" b="0"/>
                              <wp:docPr id="492" name="Obraz 492" descr="Deszcz, Biznes, Pieniądze, I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zcz, Biznes, Pieniądze, Iphon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50718" cy="1547385"/>
                                      </a:xfrm>
                                      <a:prstGeom prst="rect">
                                        <a:avLst/>
                                      </a:prstGeom>
                                      <a:noFill/>
                                      <a:ln>
                                        <a:noFill/>
                                      </a:ln>
                                    </pic:spPr>
                                  </pic:pic>
                                </a:graphicData>
                              </a:graphic>
                            </wp:inline>
                          </w:drawing>
                        </w:r>
                      </w:p>
                    </w:txbxContent>
                  </v:textbox>
                </v:shape>
              </v:group>
            </w:pict>
          </mc:Fallback>
        </mc:AlternateConten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bCs/>
          <w:smallCaps/>
          <w:spacing w:val="5"/>
          <w:sz w:val="36"/>
          <w:szCs w:val="36"/>
        </w:rPr>
        <w:t>Wymiar gospodarczy</w:t>
      </w:r>
    </w:p>
    <w:p w:rsidR="00E320BC" w:rsidRPr="00E320BC" w:rsidRDefault="00E320BC" w:rsidP="00E320BC">
      <w:pPr>
        <w:spacing w:after="0"/>
        <w:ind w:firstLine="357"/>
        <w:rPr>
          <w:rFonts w:ascii="Calibri" w:eastAsia="Candara" w:hAnsi="Calibri" w:cs="Times New Roman"/>
        </w:rPr>
      </w:pP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Atrakcyjność inwestycyjna HOF</w:t>
      </w:r>
    </w:p>
    <w:p w:rsidR="00040F79" w:rsidRDefault="005B2590" w:rsidP="00040F79">
      <w:pPr>
        <w:autoSpaceDE w:val="0"/>
        <w:autoSpaceDN w:val="0"/>
        <w:adjustRightInd w:val="0"/>
        <w:rPr>
          <w:rFonts w:cstheme="minorHAnsi"/>
        </w:rPr>
      </w:pPr>
      <w:r w:rsidRPr="00E320BC">
        <w:rPr>
          <w:rFonts w:ascii="Calibri" w:eastAsia="Candara" w:hAnsi="Calibri" w:cs="Times New Roman"/>
          <w:noProof/>
          <w:lang w:eastAsia="pl-PL"/>
        </w:rPr>
        <mc:AlternateContent>
          <mc:Choice Requires="wps">
            <w:drawing>
              <wp:anchor distT="0" distB="0" distL="114300" distR="114300" simplePos="0" relativeHeight="251692032" behindDoc="0" locked="0" layoutInCell="1" allowOverlap="1" wp14:anchorId="41726E45" wp14:editId="5DFD367D">
                <wp:simplePos x="0" y="0"/>
                <wp:positionH relativeFrom="column">
                  <wp:posOffset>2014855</wp:posOffset>
                </wp:positionH>
                <wp:positionV relativeFrom="paragraph">
                  <wp:posOffset>1885315</wp:posOffset>
                </wp:positionV>
                <wp:extent cx="3899535" cy="4779645"/>
                <wp:effectExtent l="0" t="0" r="5715" b="1905"/>
                <wp:wrapSquare wrapText="bothSides"/>
                <wp:docPr id="509"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9535" cy="4779645"/>
                        </a:xfrm>
                        <a:prstGeom prst="rect">
                          <a:avLst/>
                        </a:prstGeom>
                        <a:solidFill>
                          <a:srgbClr val="FFFFFF"/>
                        </a:solidFill>
                        <a:ln w="9525">
                          <a:noFill/>
                          <a:miter lim="800000"/>
                          <a:headEnd/>
                          <a:tailEnd/>
                        </a:ln>
                      </wps:spPr>
                      <wps:txbx>
                        <w:txbxContent>
                          <w:p w:rsidR="002441D5" w:rsidRPr="00163727" w:rsidRDefault="002441D5" w:rsidP="009D6230">
                            <w:pPr>
                              <w:pStyle w:val="Legenda"/>
                              <w:keepNext/>
                              <w:spacing w:after="0"/>
                              <w:ind w:firstLine="0"/>
                              <w:rPr>
                                <w:color w:val="31B6FD" w:themeColor="accent1"/>
                              </w:rPr>
                            </w:pPr>
                            <w:bookmarkStart w:id="21" w:name="_Toc138068499"/>
                            <w:r w:rsidRPr="00163727">
                              <w:rPr>
                                <w:color w:val="31B6FD" w:themeColor="accent1"/>
                              </w:rPr>
                              <w:t xml:space="preserve">Ryc. </w:t>
                            </w:r>
                            <w:r w:rsidRPr="00163727">
                              <w:rPr>
                                <w:color w:val="31B6FD" w:themeColor="accent1"/>
                              </w:rPr>
                              <w:fldChar w:fldCharType="begin"/>
                            </w:r>
                            <w:r w:rsidRPr="00163727">
                              <w:rPr>
                                <w:color w:val="31B6FD" w:themeColor="accent1"/>
                              </w:rPr>
                              <w:instrText xml:space="preserve"> SEQ Ryc. \* ARABIC </w:instrText>
                            </w:r>
                            <w:r w:rsidRPr="00163727">
                              <w:rPr>
                                <w:color w:val="31B6FD" w:themeColor="accent1"/>
                              </w:rPr>
                              <w:fldChar w:fldCharType="separate"/>
                            </w:r>
                            <w:r w:rsidR="0022657A">
                              <w:rPr>
                                <w:noProof/>
                                <w:color w:val="31B6FD" w:themeColor="accent1"/>
                              </w:rPr>
                              <w:t>3</w:t>
                            </w:r>
                            <w:r w:rsidRPr="00163727">
                              <w:rPr>
                                <w:noProof/>
                                <w:color w:val="31B6FD" w:themeColor="accent1"/>
                              </w:rPr>
                              <w:fldChar w:fldCharType="end"/>
                            </w:r>
                            <w:r w:rsidRPr="00163727">
                              <w:rPr>
                                <w:color w:val="31B6FD" w:themeColor="accent1"/>
                              </w:rPr>
                              <w:t>. Zróżnicowanie przestrzenne potencjalnej atrakcyjności inwestycyjnej gmin woj. lubelskiego z uwzględnieniem najbardziej atrakcyjnych sekcji</w:t>
                            </w:r>
                            <w:bookmarkEnd w:id="21"/>
                          </w:p>
                          <w:p w:rsidR="002441D5" w:rsidRDefault="002441D5" w:rsidP="009D6230">
                            <w:pPr>
                              <w:spacing w:before="0" w:after="0"/>
                              <w:ind w:firstLine="0"/>
                            </w:pPr>
                            <w:r>
                              <w:rPr>
                                <w:noProof/>
                                <w:lang w:eastAsia="pl-PL"/>
                              </w:rPr>
                              <w:drawing>
                                <wp:inline distT="0" distB="0" distL="0" distR="0" wp14:anchorId="60BE48C3" wp14:editId="7EFA5D24">
                                  <wp:extent cx="3766775" cy="3955473"/>
                                  <wp:effectExtent l="0" t="0" r="5715" b="6985"/>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66775" cy="3955473"/>
                                          </a:xfrm>
                                          <a:prstGeom prst="rect">
                                            <a:avLst/>
                                          </a:prstGeom>
                                          <a:noFill/>
                                        </pic:spPr>
                                      </pic:pic>
                                    </a:graphicData>
                                  </a:graphic>
                                </wp:inline>
                              </w:drawing>
                            </w:r>
                          </w:p>
                          <w:p w:rsidR="002441D5" w:rsidRPr="00534354" w:rsidRDefault="002441D5" w:rsidP="009D6230">
                            <w:pPr>
                              <w:spacing w:before="0"/>
                              <w:ind w:firstLine="0"/>
                              <w:rPr>
                                <w:i/>
                                <w:sz w:val="18"/>
                                <w:szCs w:val="18"/>
                              </w:rPr>
                            </w:pPr>
                            <w:r w:rsidRPr="00534354">
                              <w:rPr>
                                <w:i/>
                                <w:sz w:val="18"/>
                                <w:szCs w:val="18"/>
                              </w:rPr>
                              <w:t>Źródło: Szkoła Główna Handlowa w Warszawie „Atrakcyjność inwestycyjna regionów” 2017 Województwo lubelskie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158.65pt;margin-top:148.45pt;width:307.05pt;height:376.3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" stroked="f">
                <v:textbox>
                  <w:txbxContent>
                    <w:p w:rsidR="002441D5" w:rsidRPr="00163727" w:rsidRDefault="002441D5" w:rsidP="009D6230">
                      <w:pPr>
                        <w:pStyle w:val="Legenda"/>
                        <w:keepNext/>
                        <w:spacing w:after="0"/>
                        <w:ind w:firstLine="0"/>
                        <w:rPr>
                          <w:color w:val="31B6FD" w:themeColor="accent1"/>
                        </w:rPr>
                      </w:pPr>
                      <w:bookmarkStart w:id="22" w:name="_Toc138068499"/>
                      <w:r w:rsidRPr="00163727">
                        <w:rPr>
                          <w:color w:val="31B6FD" w:themeColor="accent1"/>
                        </w:rPr>
                        <w:t xml:space="preserve">Ryc. </w:t>
                      </w:r>
                      <w:r w:rsidRPr="00163727">
                        <w:rPr>
                          <w:color w:val="31B6FD" w:themeColor="accent1"/>
                        </w:rPr>
                        <w:fldChar w:fldCharType="begin"/>
                      </w:r>
                      <w:r w:rsidRPr="00163727">
                        <w:rPr>
                          <w:color w:val="31B6FD" w:themeColor="accent1"/>
                        </w:rPr>
                        <w:instrText xml:space="preserve"> SEQ Ryc. \* ARABIC </w:instrText>
                      </w:r>
                      <w:r w:rsidRPr="00163727">
                        <w:rPr>
                          <w:color w:val="31B6FD" w:themeColor="accent1"/>
                        </w:rPr>
                        <w:fldChar w:fldCharType="separate"/>
                      </w:r>
                      <w:r w:rsidR="0022657A">
                        <w:rPr>
                          <w:noProof/>
                          <w:color w:val="31B6FD" w:themeColor="accent1"/>
                        </w:rPr>
                        <w:t>3</w:t>
                      </w:r>
                      <w:r w:rsidRPr="00163727">
                        <w:rPr>
                          <w:noProof/>
                          <w:color w:val="31B6FD" w:themeColor="accent1"/>
                        </w:rPr>
                        <w:fldChar w:fldCharType="end"/>
                      </w:r>
                      <w:r w:rsidRPr="00163727">
                        <w:rPr>
                          <w:color w:val="31B6FD" w:themeColor="accent1"/>
                        </w:rPr>
                        <w:t>. Zróżnicowanie przestrzenne potencjalnej atrakcyjności inwestycyjnej gmin woj. lubelskiego z uwzględnieniem najbardziej atrakcyjnych sekcji</w:t>
                      </w:r>
                      <w:bookmarkEnd w:id="22"/>
                    </w:p>
                    <w:p w:rsidR="002441D5" w:rsidRDefault="002441D5" w:rsidP="009D6230">
                      <w:pPr>
                        <w:spacing w:before="0" w:after="0"/>
                        <w:ind w:firstLine="0"/>
                      </w:pPr>
                      <w:r>
                        <w:rPr>
                          <w:noProof/>
                          <w:lang w:eastAsia="pl-PL"/>
                        </w:rPr>
                        <w:drawing>
                          <wp:inline distT="0" distB="0" distL="0" distR="0" wp14:anchorId="60BE48C3" wp14:editId="7EFA5D24">
                            <wp:extent cx="3766775" cy="3955473"/>
                            <wp:effectExtent l="0" t="0" r="5715" b="6985"/>
                            <wp:docPr id="493" name="Obraz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66775" cy="3955473"/>
                                    </a:xfrm>
                                    <a:prstGeom prst="rect">
                                      <a:avLst/>
                                    </a:prstGeom>
                                    <a:noFill/>
                                  </pic:spPr>
                                </pic:pic>
                              </a:graphicData>
                            </a:graphic>
                          </wp:inline>
                        </w:drawing>
                      </w:r>
                    </w:p>
                    <w:p w:rsidR="002441D5" w:rsidRPr="00534354" w:rsidRDefault="002441D5" w:rsidP="009D6230">
                      <w:pPr>
                        <w:spacing w:before="0"/>
                        <w:ind w:firstLine="0"/>
                        <w:rPr>
                          <w:i/>
                          <w:sz w:val="18"/>
                          <w:szCs w:val="18"/>
                        </w:rPr>
                      </w:pPr>
                      <w:r w:rsidRPr="00534354">
                        <w:rPr>
                          <w:i/>
                          <w:sz w:val="18"/>
                          <w:szCs w:val="18"/>
                        </w:rPr>
                        <w:t>Źródło: Szkoła Główna Handlowa w Warszawie „Atrakcyjność inwestycyjna regionów” 2017 Województwo lubelskie</w:t>
                      </w:r>
                    </w:p>
                  </w:txbxContent>
                </v:textbox>
                <w10:wrap type="square"/>
              </v:shape>
            </w:pict>
          </mc:Fallback>
        </mc:AlternateContent>
      </w:r>
      <w:r w:rsidR="00C52509" w:rsidRPr="00770E2B">
        <w:rPr>
          <w:rFonts w:ascii="Calibri" w:eastAsia="Candara" w:hAnsi="Calibri" w:cs="Times New Roman"/>
          <w:b/>
        </w:rPr>
        <w:t>Obszar</w:t>
      </w:r>
      <w:r w:rsidR="00643390" w:rsidRPr="00770E2B">
        <w:rPr>
          <w:rFonts w:ascii="Calibri" w:eastAsia="Candara" w:hAnsi="Calibri" w:cs="Times New Roman"/>
          <w:b/>
        </w:rPr>
        <w:t xml:space="preserve"> HOF </w:t>
      </w:r>
      <w:r w:rsidR="00C52509" w:rsidRPr="00770E2B">
        <w:rPr>
          <w:rFonts w:ascii="Calibri" w:eastAsia="Candara" w:hAnsi="Calibri" w:cs="Times New Roman"/>
          <w:b/>
        </w:rPr>
        <w:t xml:space="preserve">zlokalizowany </w:t>
      </w:r>
      <w:r w:rsidR="00643390" w:rsidRPr="00770E2B">
        <w:rPr>
          <w:rFonts w:ascii="Calibri" w:eastAsia="Candara" w:hAnsi="Calibri" w:cs="Times New Roman"/>
          <w:b/>
        </w:rPr>
        <w:t>jest peryferyjn</w:t>
      </w:r>
      <w:r w:rsidR="00C52509" w:rsidRPr="00770E2B">
        <w:rPr>
          <w:rFonts w:ascii="Calibri" w:eastAsia="Candara" w:hAnsi="Calibri" w:cs="Times New Roman"/>
          <w:b/>
        </w:rPr>
        <w:t>i</w:t>
      </w:r>
      <w:r w:rsidR="00643390" w:rsidRPr="00770E2B">
        <w:rPr>
          <w:rFonts w:ascii="Calibri" w:eastAsia="Candara" w:hAnsi="Calibri" w:cs="Times New Roman"/>
          <w:b/>
        </w:rPr>
        <w:t xml:space="preserve">e, </w:t>
      </w:r>
      <w:r w:rsidR="00C52509" w:rsidRPr="00770E2B">
        <w:rPr>
          <w:rFonts w:ascii="Calibri" w:eastAsia="Candara" w:hAnsi="Calibri" w:cs="Times New Roman"/>
          <w:b/>
        </w:rPr>
        <w:t>przy granicy państwa.</w:t>
      </w:r>
      <w:r w:rsidR="00783EF4" w:rsidRPr="00770E2B">
        <w:rPr>
          <w:rFonts w:ascii="Calibri" w:eastAsia="Candara" w:hAnsi="Calibri" w:cs="Times New Roman"/>
          <w:b/>
        </w:rPr>
        <w:t xml:space="preserve"> HOF stara się ten fakt przekuć w szansę ożywienia usług rynkowych</w:t>
      </w:r>
      <w:r w:rsidR="00071FC5" w:rsidRPr="00770E2B">
        <w:rPr>
          <w:rFonts w:ascii="Calibri" w:eastAsia="Candara" w:hAnsi="Calibri" w:cs="Times New Roman"/>
          <w:b/>
        </w:rPr>
        <w:t xml:space="preserve"> poprzez</w:t>
      </w:r>
      <w:r w:rsidR="00643390" w:rsidRPr="00770E2B">
        <w:rPr>
          <w:rFonts w:ascii="Calibri" w:eastAsia="Candara" w:hAnsi="Calibri" w:cs="Times New Roman"/>
          <w:b/>
        </w:rPr>
        <w:t xml:space="preserve"> rozwój usług związanych ze spedycją, logistyką i transportem w ramach rozwijanej inicjatywy</w:t>
      </w:r>
      <w:r w:rsidR="009D6230" w:rsidRPr="00770E2B">
        <w:rPr>
          <w:rFonts w:ascii="Calibri" w:eastAsia="Candara" w:hAnsi="Calibri" w:cs="Times New Roman"/>
          <w:b/>
        </w:rPr>
        <w:t xml:space="preserve"> budowy centrum logistycznego z </w:t>
      </w:r>
      <w:r w:rsidR="00643390" w:rsidRPr="00770E2B">
        <w:rPr>
          <w:rFonts w:ascii="Calibri" w:eastAsia="Candara" w:hAnsi="Calibri" w:cs="Times New Roman"/>
          <w:b/>
        </w:rPr>
        <w:t>wykorzystaniem infrastruktury LHS.</w:t>
      </w:r>
      <w:r w:rsidR="00040F79" w:rsidRPr="00770E2B">
        <w:rPr>
          <w:rFonts w:ascii="Calibri" w:eastAsia="Candara" w:hAnsi="Calibri" w:cs="Times New Roman"/>
          <w:b/>
        </w:rPr>
        <w:t xml:space="preserve"> </w:t>
      </w:r>
      <w:r w:rsidR="00040F79" w:rsidRPr="00770E2B">
        <w:rPr>
          <w:rFonts w:cstheme="minorHAnsi"/>
        </w:rPr>
        <w:t xml:space="preserve">HOF </w:t>
      </w:r>
      <w:r w:rsidR="00040F79" w:rsidRPr="00770E2B">
        <w:t xml:space="preserve">zgodnie z obowiązującą Strategią Województwa Lubelskiego (SRWL) ze względu na przygraniczne położenie jest predestynowany </w:t>
      </w:r>
      <w:r w:rsidR="00040F79" w:rsidRPr="00770E2B">
        <w:rPr>
          <w:b/>
        </w:rPr>
        <w:t>do pełnienia kluczowej roli w obsłudze międzynarodowego ruchu granicznego z Ukrainą</w:t>
      </w:r>
      <w:r w:rsidR="00040F79" w:rsidRPr="00770E2B">
        <w:t>. W SRWL zdiagnozowano niedobory w ilości przejść granicznych oraz niedostatecznie rozwiniętą infrastrukturę techniczną w obrębie już istniejących przejść. Działania prowadzące do poprawy tego stanu rzeczy mogą się pozytywnie przełożyć na rozwój transportu i lokalnej gospodarki HOF.</w:t>
      </w:r>
    </w:p>
    <w:p w:rsidR="00E320BC" w:rsidRDefault="00643390" w:rsidP="00E320BC">
      <w:pPr>
        <w:spacing w:after="0"/>
        <w:ind w:firstLine="357"/>
        <w:rPr>
          <w:rFonts w:ascii="Calibri" w:eastAsia="Candara" w:hAnsi="Calibri" w:cs="Times New Roman"/>
          <w:b/>
        </w:rPr>
      </w:pPr>
      <w:r w:rsidRPr="00E320BC">
        <w:rPr>
          <w:rFonts w:ascii="Calibri" w:eastAsia="Candara" w:hAnsi="Calibri" w:cs="Times New Roman"/>
        </w:rPr>
        <w:t xml:space="preserve"> </w:t>
      </w:r>
      <w:r w:rsidRPr="00E320BC">
        <w:rPr>
          <w:rFonts w:ascii="Calibri" w:eastAsia="Candara" w:hAnsi="Calibri" w:cs="Candara"/>
          <w:b/>
        </w:rPr>
        <w:t>Potencjałem HOF są starania w tworzeniu dogodnych warunków do rozwoju przedsiębiorczości.</w:t>
      </w:r>
      <w:r w:rsidRPr="00E320BC">
        <w:rPr>
          <w:rFonts w:ascii="Calibri" w:eastAsia="Candara" w:hAnsi="Calibri" w:cs="Candara"/>
        </w:rPr>
        <w:t xml:space="preserve"> </w:t>
      </w:r>
      <w:r w:rsidR="00E320BC" w:rsidRPr="00E320BC">
        <w:rPr>
          <w:rFonts w:ascii="Calibri" w:eastAsia="Candara" w:hAnsi="Calibri" w:cs="Candara"/>
        </w:rPr>
        <w:t xml:space="preserve">Gminy HOF prowadzą działania np. poprzez </w:t>
      </w:r>
      <w:r w:rsidR="00E320BC" w:rsidRPr="00E320BC">
        <w:rPr>
          <w:rFonts w:ascii="Calibri" w:eastAsia="Candara" w:hAnsi="Calibri" w:cs="Times New Roman"/>
        </w:rPr>
        <w:t xml:space="preserve">wprowadzenia zwolnień od podatku od nieruchomości dla przedsiębiorców realizujących nowe inwestycje i tworzących nowe miejsca </w:t>
      </w:r>
      <w:r w:rsidR="00E320BC" w:rsidRPr="00770E2B">
        <w:rPr>
          <w:rFonts w:ascii="Calibri" w:eastAsia="Candara" w:hAnsi="Calibri" w:cs="Times New Roman"/>
        </w:rPr>
        <w:t>pracy w ramach pomocy de minimis czy zwolnień z opłaty oraz przedłużenia terminu na wniesienie opłat z tytułu korzystania z zezwoleń na sprzedaż napojów alkoholowych.</w:t>
      </w:r>
      <w:r w:rsidR="00314BF6" w:rsidRPr="00770E2B">
        <w:rPr>
          <w:rFonts w:ascii="Calibri" w:eastAsia="Candara" w:hAnsi="Calibri" w:cs="Times New Roman"/>
        </w:rPr>
        <w:t xml:space="preserve"> </w:t>
      </w:r>
      <w:r w:rsidR="00314BF6" w:rsidRPr="00770E2B">
        <w:rPr>
          <w:rFonts w:eastAsia="Candara" w:cstheme="minorHAnsi"/>
        </w:rPr>
        <w:t xml:space="preserve">Gmina Miejska Hrubieszów </w:t>
      </w:r>
      <w:r w:rsidR="0043088B" w:rsidRPr="00770E2B">
        <w:rPr>
          <w:rFonts w:eastAsia="Candara" w:cstheme="minorHAnsi"/>
        </w:rPr>
        <w:t xml:space="preserve">oferuje formy wsparcia na start dla osób rozpoczynających działalność gospodarczą, jak również </w:t>
      </w:r>
      <w:r w:rsidR="00314BF6" w:rsidRPr="00770E2B">
        <w:rPr>
          <w:rFonts w:eastAsia="Candara" w:cstheme="minorHAnsi"/>
        </w:rPr>
        <w:t>prowadzi</w:t>
      </w:r>
      <w:r w:rsidR="0043088B" w:rsidRPr="00770E2B">
        <w:rPr>
          <w:rFonts w:eastAsia="Candara" w:cstheme="minorHAnsi"/>
        </w:rPr>
        <w:t xml:space="preserve"> </w:t>
      </w:r>
      <w:r w:rsidR="00314BF6" w:rsidRPr="00770E2B">
        <w:rPr>
          <w:rFonts w:eastAsia="Candara" w:cstheme="minorHAnsi"/>
        </w:rPr>
        <w:t>Hrubieszowską Bazę Firm Rodzinnych</w:t>
      </w:r>
      <w:r w:rsidR="00314BF6" w:rsidRPr="00770E2B">
        <w:rPr>
          <w:rStyle w:val="Odwoanieprzypisudolnego"/>
          <w:rFonts w:eastAsia="Candara" w:cstheme="minorHAnsi"/>
        </w:rPr>
        <w:footnoteReference w:id="11"/>
      </w:r>
      <w:r w:rsidR="00314BF6" w:rsidRPr="00770E2B">
        <w:rPr>
          <w:rFonts w:eastAsia="Candara" w:cstheme="minorHAnsi"/>
        </w:rPr>
        <w:t>.</w:t>
      </w:r>
      <w:r w:rsidR="0043088B" w:rsidRPr="00770E2B">
        <w:rPr>
          <w:rFonts w:eastAsia="Candara" w:cstheme="minorHAnsi"/>
        </w:rPr>
        <w:t xml:space="preserve"> Oferowany jest również szereg </w:t>
      </w:r>
      <w:r w:rsidR="0043088B" w:rsidRPr="00770E2B">
        <w:rPr>
          <w:rFonts w:eastAsia="Candara" w:cstheme="minorHAnsi"/>
        </w:rPr>
        <w:lastRenderedPageBreak/>
        <w:t xml:space="preserve">działań w ramach wsparcia inwestora (jak np. </w:t>
      </w:r>
      <w:r w:rsidR="0043088B" w:rsidRPr="00770E2B">
        <w:rPr>
          <w:rFonts w:cstheme="minorHAnsi"/>
          <w:shd w:val="clear" w:color="auto" w:fill="FFFFFF"/>
        </w:rPr>
        <w:t xml:space="preserve">opieka </w:t>
      </w:r>
      <w:proofErr w:type="spellStart"/>
      <w:r w:rsidR="0043088B" w:rsidRPr="00770E2B">
        <w:rPr>
          <w:rFonts w:cstheme="minorHAnsi"/>
          <w:shd w:val="clear" w:color="auto" w:fill="FFFFFF"/>
        </w:rPr>
        <w:t>poinwestycyjna</w:t>
      </w:r>
      <w:proofErr w:type="spellEnd"/>
      <w:r w:rsidR="0043088B" w:rsidRPr="00770E2B">
        <w:rPr>
          <w:rFonts w:cstheme="minorHAnsi"/>
          <w:shd w:val="clear" w:color="auto" w:fill="FFFFFF"/>
        </w:rPr>
        <w:t xml:space="preserve"> dla firm i wsparcie dla firma działających już na terenie Miasta Hrubieszów).</w:t>
      </w:r>
      <w:r w:rsidR="00E320BC" w:rsidRPr="00770E2B">
        <w:rPr>
          <w:rFonts w:ascii="Calibri" w:eastAsia="Candara" w:hAnsi="Calibri" w:cs="Times New Roman"/>
        </w:rPr>
        <w:t xml:space="preserve"> </w:t>
      </w:r>
      <w:r w:rsidR="004A248B" w:rsidRPr="00770E2B">
        <w:t>Władze miasta aktywnie współpracują z Tarnobrzeską Specjalną Strefą Ekonomiczną EURO- -PARK WISŁOSAN, dzięki czemu potencjalni inwestorzy mogą liczyć na profesjonalną pomoc w lokowaniu inwestycji na terenie Hrubieszowa.</w:t>
      </w:r>
      <w:r w:rsidR="004A248B">
        <w:t xml:space="preserve"> </w:t>
      </w:r>
      <w:r w:rsidR="00E320BC" w:rsidRPr="00E320BC">
        <w:rPr>
          <w:rFonts w:ascii="Calibri" w:eastAsia="Candara" w:hAnsi="Calibri" w:cs="Times New Roman"/>
        </w:rPr>
        <w:t xml:space="preserve">W miejscowym planie zagospodarowania przestrzennego </w:t>
      </w:r>
      <w:r w:rsidR="00E320BC" w:rsidRPr="00E320BC">
        <w:rPr>
          <w:rFonts w:ascii="Calibri" w:eastAsia="Candara" w:hAnsi="Calibri" w:cs="Times New Roman"/>
          <w:b/>
        </w:rPr>
        <w:t>wyznaczone zostały również tereny inwestycyjne przeznaczone głównie pod działalność produkcyjną (przemysłową) lub usługową (składową).</w:t>
      </w:r>
      <w:r w:rsidR="00E320BC" w:rsidRPr="00E320BC">
        <w:rPr>
          <w:rFonts w:ascii="Calibri" w:eastAsia="Candara" w:hAnsi="Calibri" w:cs="Times New Roman"/>
        </w:rPr>
        <w:t xml:space="preserve"> Najbardziej atrakcyjne tereny znajdują się w południowo-wschodniej części miasta, w bliskiej odległości do głównych dróg dojazdowych (nr 74 i 844) oraz Linii Hutniczo-Szerokotorowej (LHS). </w:t>
      </w:r>
      <w:r w:rsidR="00E320BC" w:rsidRPr="00E320BC">
        <w:rPr>
          <w:rFonts w:ascii="Calibri" w:eastAsia="Candara" w:hAnsi="Calibri" w:cs="Times New Roman"/>
          <w:b/>
        </w:rPr>
        <w:t>Niestety zdecydowana większość działek jest nieuzbrojona.</w:t>
      </w:r>
    </w:p>
    <w:p w:rsidR="00040F79" w:rsidRPr="00040F79" w:rsidRDefault="00040F79" w:rsidP="00E320BC">
      <w:pPr>
        <w:spacing w:after="0"/>
        <w:ind w:firstLine="357"/>
        <w:rPr>
          <w:rFonts w:ascii="Calibri" w:eastAsia="Candara" w:hAnsi="Calibri" w:cs="Times New Roman"/>
        </w:rPr>
      </w:pPr>
      <w:r w:rsidRPr="00770E2B">
        <w:rPr>
          <w:rFonts w:ascii="Calibri" w:eastAsia="Candara" w:hAnsi="Calibri" w:cs="Times New Roman"/>
        </w:rPr>
        <w:t xml:space="preserve">Zgodnie z założeniami SRWL na obszarze HOF istotne jest </w:t>
      </w:r>
      <w:r w:rsidRPr="00770E2B">
        <w:rPr>
          <w:rFonts w:ascii="Calibri" w:eastAsia="Candara" w:hAnsi="Calibri" w:cs="Times New Roman"/>
          <w:b/>
        </w:rPr>
        <w:t xml:space="preserve">prowadzenie działań zmierzających do rozwoju przedsiębiorczości wykorzystującej surowce rolne </w:t>
      </w:r>
      <w:r w:rsidRPr="00770E2B">
        <w:rPr>
          <w:rFonts w:ascii="Calibri" w:eastAsia="Candara" w:hAnsi="Calibri" w:cs="Times New Roman"/>
        </w:rPr>
        <w:t>skupiające się m.in. na rozwoju podmiotów przetwórstwa rol</w:t>
      </w:r>
      <w:r w:rsidR="009D6230" w:rsidRPr="00770E2B">
        <w:rPr>
          <w:rFonts w:ascii="Calibri" w:eastAsia="Candara" w:hAnsi="Calibri" w:cs="Times New Roman"/>
        </w:rPr>
        <w:t>no-</w:t>
      </w:r>
      <w:proofErr w:type="spellStart"/>
      <w:r w:rsidR="009D6230" w:rsidRPr="00770E2B">
        <w:rPr>
          <w:rFonts w:ascii="Calibri" w:eastAsia="Candara" w:hAnsi="Calibri" w:cs="Times New Roman"/>
        </w:rPr>
        <w:t>spożwczego</w:t>
      </w:r>
      <w:proofErr w:type="spellEnd"/>
      <w:r w:rsidR="009D6230" w:rsidRPr="00770E2B">
        <w:rPr>
          <w:rFonts w:ascii="Calibri" w:eastAsia="Candara" w:hAnsi="Calibri" w:cs="Times New Roman"/>
        </w:rPr>
        <w:t>, infrastruktury i </w:t>
      </w:r>
      <w:r w:rsidRPr="00770E2B">
        <w:rPr>
          <w:rFonts w:ascii="Calibri" w:eastAsia="Candara" w:hAnsi="Calibri" w:cs="Times New Roman"/>
        </w:rPr>
        <w:t>obiektów przechowalniczych.</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Candara"/>
        </w:rPr>
        <w:t xml:space="preserve">W diagnozie dokonano oceny atrakcyjności inwestycyjnej </w:t>
      </w:r>
      <w:r w:rsidR="00643390" w:rsidRPr="00E320BC">
        <w:rPr>
          <w:rFonts w:ascii="Calibri" w:eastAsia="Candara" w:hAnsi="Calibri" w:cs="Candara"/>
        </w:rPr>
        <w:t>HOF</w:t>
      </w:r>
      <w:r w:rsidRPr="00E320BC">
        <w:rPr>
          <w:rFonts w:ascii="Calibri" w:eastAsia="Candara" w:hAnsi="Calibri" w:cs="Candara"/>
        </w:rPr>
        <w:t xml:space="preserve"> w sposób pośredni analizując publikację „Atrakcyjność inwestycyjna regionów” Szkoły Głównej Handlowej (SGH) w Warszawie, która ocenia potencjalną atrakcyjność inwestycyjną poszczególnych gmin w Polsce. </w:t>
      </w:r>
      <w:r w:rsidRPr="00E320BC">
        <w:rPr>
          <w:rFonts w:ascii="Calibri" w:eastAsia="Candara" w:hAnsi="Calibri" w:cs="Candara"/>
          <w:b/>
        </w:rPr>
        <w:t>Gmina Miejska Hrubieszów charakteryzuje się dość wysokim potencjałem atrakcyjności inwestycyjnej w 6 stopniowej skali</w:t>
      </w:r>
      <w:r w:rsidRPr="00E320BC">
        <w:rPr>
          <w:rFonts w:ascii="Calibri" w:eastAsia="Candara" w:hAnsi="Calibri" w:cs="Candara"/>
        </w:rPr>
        <w:t xml:space="preserve"> (kategorie od A do F) i została </w:t>
      </w:r>
      <w:proofErr w:type="gramStart"/>
      <w:r w:rsidRPr="00E320BC">
        <w:rPr>
          <w:rFonts w:ascii="Calibri" w:eastAsia="Candara" w:hAnsi="Calibri" w:cs="Candara"/>
        </w:rPr>
        <w:t>oznaczona jako</w:t>
      </w:r>
      <w:proofErr w:type="gramEnd"/>
      <w:r w:rsidRPr="00E320BC">
        <w:rPr>
          <w:rFonts w:ascii="Calibri" w:eastAsia="Candara" w:hAnsi="Calibri" w:cs="Candara"/>
        </w:rPr>
        <w:t xml:space="preserve"> kategoria B – tak jak większość miast powiatowych w województwie lubelskim. Ocena ta uplasowała Gminę Miejską Hrubieszów na 29 miejscu wśród 213 gmin województwa lubelskiego, uzyskując wartość sumarycznego wskaźnika atrakcyjności obliczonego na poziomie 0,194 pkt (wyżej w rankingu znalazło się 19 gmin miejskich, 5 gmin wiejskich oraz 4 gminy miejsko-wiejskie). </w:t>
      </w:r>
      <w:r w:rsidRPr="00E320BC">
        <w:rPr>
          <w:rFonts w:ascii="Calibri" w:eastAsia="Candara" w:hAnsi="Calibri" w:cs="Candara"/>
          <w:b/>
        </w:rPr>
        <w:t>Gmina Hrubieszów natomiast charakteryzuje się niskim potencjałem atrakcyjności inwestycyjnej</w:t>
      </w:r>
      <w:r w:rsidRPr="00E320BC">
        <w:rPr>
          <w:rFonts w:ascii="Calibri" w:eastAsia="Candara" w:hAnsi="Calibri" w:cs="Candara"/>
        </w:rPr>
        <w:t xml:space="preserve"> - </w:t>
      </w:r>
      <w:proofErr w:type="gramStart"/>
      <w:r w:rsidRPr="00E320BC">
        <w:rPr>
          <w:rFonts w:ascii="Calibri" w:eastAsia="Candara" w:hAnsi="Calibri" w:cs="Candara"/>
        </w:rPr>
        <w:t>oznaczona jako</w:t>
      </w:r>
      <w:proofErr w:type="gramEnd"/>
      <w:r w:rsidRPr="00E320BC">
        <w:rPr>
          <w:rFonts w:ascii="Calibri" w:eastAsia="Candara" w:hAnsi="Calibri" w:cs="Candara"/>
        </w:rPr>
        <w:t xml:space="preserve"> kategoria E. Negatywny wpływ na ocenę miał m.in. brak znaczących podmiot</w:t>
      </w:r>
      <w:r w:rsidR="00C348E0">
        <w:rPr>
          <w:rFonts w:ascii="Calibri" w:eastAsia="Candara" w:hAnsi="Calibri" w:cs="Candara"/>
        </w:rPr>
        <w:t>ów gospodarczych działających w </w:t>
      </w:r>
      <w:r w:rsidRPr="00E320BC">
        <w:rPr>
          <w:rFonts w:ascii="Calibri" w:eastAsia="Candara" w:hAnsi="Calibri" w:cs="Candara"/>
        </w:rPr>
        <w:t>sektorze przemysłu i usług rynkowych, a także niski potencjał Gminy w zakresie zapewniania zasobów pracy.</w:t>
      </w:r>
    </w:p>
    <w:p w:rsidR="00E320BC" w:rsidRDefault="00E320BC" w:rsidP="00E320BC">
      <w:pPr>
        <w:spacing w:after="0"/>
        <w:ind w:firstLine="357"/>
      </w:pPr>
      <w:r w:rsidRPr="00E320BC">
        <w:rPr>
          <w:rFonts w:ascii="Calibri" w:eastAsia="Candara" w:hAnsi="Calibri" w:cs="Candara"/>
          <w:b/>
        </w:rPr>
        <w:t xml:space="preserve">W całościowym ujęciu należy uznać, że Hrubieszowski Obszar Funkcjonalny posiada </w:t>
      </w:r>
      <w:r w:rsidR="00C348E0" w:rsidRPr="00F77499">
        <w:rPr>
          <w:rFonts w:ascii="Calibri" w:eastAsia="Candara" w:hAnsi="Calibri" w:cs="Candara"/>
          <w:b/>
        </w:rPr>
        <w:t>przeciętną</w:t>
      </w:r>
      <w:r w:rsidRPr="00E320BC">
        <w:rPr>
          <w:rFonts w:ascii="Calibri" w:eastAsia="Candara" w:hAnsi="Calibri" w:cs="Candara"/>
          <w:b/>
        </w:rPr>
        <w:t xml:space="preserve"> atrakcyjność </w:t>
      </w:r>
      <w:r w:rsidR="0048445B" w:rsidRPr="00E320BC">
        <w:rPr>
          <w:rFonts w:ascii="Calibri" w:eastAsia="Candara" w:hAnsi="Calibri" w:cs="Candara"/>
          <w:b/>
        </w:rPr>
        <w:t xml:space="preserve">inwestycyjną. </w:t>
      </w:r>
      <w:r w:rsidR="0048445B" w:rsidRPr="00E320BC">
        <w:rPr>
          <w:rFonts w:ascii="Calibri" w:eastAsia="Candara" w:hAnsi="Calibri" w:cs="Candara"/>
        </w:rPr>
        <w:t>Wynika to m.in. z przygranicznego położenia obszaru - z dala od prężnych ośrodków gospodarczych, ale również z powodu czynników takich jak niekorzystna struktura gospodarki oraz niedostatecznego otoczenia biznesu i organizacji pozarządowych. Wpływ na ten stan rzeczy ma również niewielka ilość w pełni uzbrojonych terenów inwestycyjnych na  terenie HOF, wciąż nie w pełni wykorzystany zasób infrastruktury LHS oraz ograniczona dostępność kom</w:t>
      </w:r>
      <w:r w:rsidR="0048445B" w:rsidRPr="00F847D5">
        <w:rPr>
          <w:rFonts w:ascii="Calibri" w:eastAsia="Candara" w:hAnsi="Calibri" w:cs="Candara"/>
        </w:rPr>
        <w:t>unikacyjna obszaru HOF (brak dróg ekspresowych, niski standard dróg 74 DK oraz 844 DW</w:t>
      </w:r>
      <w:proofErr w:type="gramStart"/>
      <w:r w:rsidR="00F847D5">
        <w:rPr>
          <w:rFonts w:ascii="Calibri" w:eastAsia="Candara" w:hAnsi="Calibri" w:cs="Candara"/>
        </w:rPr>
        <w:t>)</w:t>
      </w:r>
      <w:r w:rsidR="00F847D5" w:rsidRPr="00F847D5">
        <w:rPr>
          <w:rFonts w:ascii="Calibri" w:eastAsia="Candara" w:hAnsi="Calibri" w:cs="Candara"/>
        </w:rPr>
        <w:t>. W</w:t>
      </w:r>
      <w:proofErr w:type="gramEnd"/>
      <w:r w:rsidR="00061206" w:rsidRPr="00F847D5">
        <w:t xml:space="preserve"> SRWL zdiagnozowano niedobory w ilości przejść granicznych oraz niedostatecznie rozwiniętą infrastrukturę techniczną w obrębie już istniejących przejść. Działania prowadzące do poprawy tego stanu rzeczy mogą się pozytywnie przełożyć na rozwój transportu i lokalnej gospodarki HOF.</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Lokalna przedsiębiorczość</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 xml:space="preserve">Według stanu na koniec 2020 roku na terenie HOF zarejestrowanych w systemie REGON było 2665 podmiotów gospodarczych, z czego 2069 na obszarze Gminy Miejskiej (77,64%). 94,45% </w:t>
      </w:r>
      <w:proofErr w:type="gramStart"/>
      <w:r w:rsidRPr="00E320BC">
        <w:rPr>
          <w:rFonts w:ascii="Calibri" w:eastAsia="Candara" w:hAnsi="Calibri" w:cs="Times New Roman"/>
          <w:b/>
        </w:rPr>
        <w:t>wszystkich</w:t>
      </w:r>
      <w:proofErr w:type="gramEnd"/>
      <w:r w:rsidRPr="00E320BC">
        <w:rPr>
          <w:rFonts w:ascii="Calibri" w:eastAsia="Candara" w:hAnsi="Calibri" w:cs="Times New Roman"/>
          <w:b/>
        </w:rPr>
        <w:t xml:space="preserve"> podmiotów stanowiły podmioty prywatne (2517).</w:t>
      </w:r>
      <w:r w:rsidRPr="00E320BC">
        <w:rPr>
          <w:rFonts w:ascii="Calibri" w:eastAsia="Candara" w:hAnsi="Calibri" w:cs="Times New Roman"/>
        </w:rPr>
        <w:t xml:space="preserve"> Na przestrzeni analizowanego okresu czasu wzrost liczby działających podmiotów gospodarczych jest niewielki, w stosunku do roku 2014 był to wzrost o 7,37%. Podmioty zarejestrowane na terenie HOF stanowiły 58,03% wszystkich podmiotów zarejestrowanych w powiecie hrubieszowskim i 1,38% w województwie lubelskim.</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lastRenderedPageBreak/>
        <w:t>W okresie od 2014 roku do 2020 roku następują wyraźne</w:t>
      </w:r>
      <w:r w:rsidR="00F428B3">
        <w:rPr>
          <w:rFonts w:ascii="Calibri" w:eastAsia="Candara" w:hAnsi="Calibri" w:cs="Times New Roman"/>
        </w:rPr>
        <w:t xml:space="preserve"> </w:t>
      </w:r>
      <w:r w:rsidR="00F428B3" w:rsidRPr="00F847D5">
        <w:rPr>
          <w:rFonts w:ascii="Calibri" w:eastAsia="Candara" w:hAnsi="Calibri" w:cs="Times New Roman"/>
        </w:rPr>
        <w:t>skokowe</w:t>
      </w:r>
      <w:r w:rsidRPr="00F847D5">
        <w:rPr>
          <w:rFonts w:ascii="Calibri" w:eastAsia="Candara" w:hAnsi="Calibri" w:cs="Times New Roman"/>
        </w:rPr>
        <w:t xml:space="preserve"> wzrosty i spadki nowo zarejestrowanych </w:t>
      </w:r>
      <w:r w:rsidR="0048445B" w:rsidRPr="00F847D5">
        <w:rPr>
          <w:rFonts w:ascii="Calibri" w:eastAsia="Candara" w:hAnsi="Calibri" w:cs="Times New Roman"/>
        </w:rPr>
        <w:t>podmiotów.</w:t>
      </w:r>
      <w:r w:rsidR="00F428B3" w:rsidRPr="00F847D5">
        <w:t xml:space="preserve"> Największy wzrost nastąpił w 2017 roku, natomiast najwięcej zarejestrowanych podmiotów było w 2018 roku. Spadkiem charakteryzowały się lata 2015 oraz 2019. </w:t>
      </w:r>
      <w:r w:rsidRPr="00F847D5">
        <w:rPr>
          <w:rFonts w:ascii="Calibri" w:eastAsia="Candara" w:hAnsi="Calibri" w:cs="Times New Roman"/>
          <w:noProof/>
          <w:lang w:eastAsia="pl-PL"/>
        </w:rPr>
        <mc:AlternateContent>
          <mc:Choice Requires="wps">
            <w:drawing>
              <wp:anchor distT="0" distB="0" distL="114300" distR="114300" simplePos="0" relativeHeight="251693056" behindDoc="0" locked="0" layoutInCell="1" allowOverlap="1" wp14:anchorId="3FD574E4" wp14:editId="7AF2357A">
                <wp:simplePos x="0" y="0"/>
                <wp:positionH relativeFrom="column">
                  <wp:posOffset>2152650</wp:posOffset>
                </wp:positionH>
                <wp:positionV relativeFrom="paragraph">
                  <wp:posOffset>-391160</wp:posOffset>
                </wp:positionV>
                <wp:extent cx="3636645" cy="3075305"/>
                <wp:effectExtent l="0" t="0" r="1905" b="0"/>
                <wp:wrapSquare wrapText="bothSides"/>
                <wp:docPr id="5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645" cy="3075305"/>
                        </a:xfrm>
                        <a:prstGeom prst="rect">
                          <a:avLst/>
                        </a:prstGeom>
                        <a:solidFill>
                          <a:srgbClr val="FFFFFF"/>
                        </a:solidFill>
                        <a:ln w="9525">
                          <a:noFill/>
                          <a:miter lim="800000"/>
                          <a:headEnd/>
                          <a:tailEnd/>
                        </a:ln>
                      </wps:spPr>
                      <wps:txbx>
                        <w:txbxContent>
                          <w:p w:rsidR="002441D5" w:rsidRPr="00163727" w:rsidRDefault="002441D5" w:rsidP="009D6230">
                            <w:pPr>
                              <w:pStyle w:val="Legenda"/>
                              <w:keepNext/>
                              <w:ind w:firstLine="0"/>
                              <w:rPr>
                                <w:color w:val="31B6FD" w:themeColor="accent1"/>
                              </w:rPr>
                            </w:pPr>
                            <w:bookmarkStart w:id="23" w:name="_Toc138068617"/>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9</w:t>
                            </w:r>
                            <w:r w:rsidRPr="00163727">
                              <w:rPr>
                                <w:noProof/>
                                <w:color w:val="31B6FD" w:themeColor="accent1"/>
                              </w:rPr>
                              <w:fldChar w:fldCharType="end"/>
                            </w:r>
                            <w:r w:rsidRPr="00163727">
                              <w:rPr>
                                <w:color w:val="31B6FD" w:themeColor="accent1"/>
                              </w:rPr>
                              <w:t>. Liczba podmiotów gospodarki narodowej w HOF wpisanej do rejestru REGON</w:t>
                            </w:r>
                            <w:bookmarkEnd w:id="23"/>
                          </w:p>
                          <w:p w:rsidR="002441D5" w:rsidRDefault="002441D5" w:rsidP="009D6230">
                            <w:pPr>
                              <w:spacing w:before="0" w:after="0"/>
                              <w:ind w:firstLine="0"/>
                            </w:pPr>
                            <w:r>
                              <w:rPr>
                                <w:noProof/>
                                <w:lang w:eastAsia="pl-PL"/>
                              </w:rPr>
                              <w:drawing>
                                <wp:inline distT="0" distB="0" distL="0" distR="0" wp14:anchorId="20EB1264" wp14:editId="752D4FAE">
                                  <wp:extent cx="3590925" cy="2341245"/>
                                  <wp:effectExtent l="0" t="0" r="9525" b="190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0925" cy="2341245"/>
                                          </a:xfrm>
                                          <a:prstGeom prst="rect">
                                            <a:avLst/>
                                          </a:prstGeom>
                                          <a:noFill/>
                                        </pic:spPr>
                                      </pic:pic>
                                    </a:graphicData>
                                  </a:graphic>
                                </wp:inline>
                              </w:drawing>
                            </w:r>
                          </w:p>
                          <w:p w:rsidR="002441D5" w:rsidRPr="00EE6F5D" w:rsidRDefault="002441D5" w:rsidP="009D6230">
                            <w:pPr>
                              <w:spacing w:before="0"/>
                              <w:rPr>
                                <w:i/>
                                <w:sz w:val="18"/>
                                <w:szCs w:val="18"/>
                              </w:rPr>
                            </w:pPr>
                            <w:r w:rsidRPr="00EE6F5D">
                              <w:rPr>
                                <w:i/>
                                <w:sz w:val="18"/>
                                <w:szCs w:val="18"/>
                              </w:rPr>
                              <w:t>Źródło: BDL GUS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69.5pt;margin-top:-30.8pt;width:286.35pt;height:242.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" stroked="f">
                <v:textbox>
                  <w:txbxContent>
                    <w:p w:rsidR="002441D5" w:rsidRPr="00163727" w:rsidRDefault="002441D5" w:rsidP="009D6230">
                      <w:pPr>
                        <w:pStyle w:val="Legenda"/>
                        <w:keepNext/>
                        <w:ind w:firstLine="0"/>
                        <w:rPr>
                          <w:color w:val="31B6FD" w:themeColor="accent1"/>
                        </w:rPr>
                      </w:pPr>
                      <w:bookmarkStart w:id="24" w:name="_Toc138068617"/>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9</w:t>
                      </w:r>
                      <w:r w:rsidRPr="00163727">
                        <w:rPr>
                          <w:noProof/>
                          <w:color w:val="31B6FD" w:themeColor="accent1"/>
                        </w:rPr>
                        <w:fldChar w:fldCharType="end"/>
                      </w:r>
                      <w:r w:rsidRPr="00163727">
                        <w:rPr>
                          <w:color w:val="31B6FD" w:themeColor="accent1"/>
                        </w:rPr>
                        <w:t>. Liczba podmiotów gospodarki narodowej w HOF wpisanej do rejestru REGON</w:t>
                      </w:r>
                      <w:bookmarkEnd w:id="24"/>
                    </w:p>
                    <w:p w:rsidR="002441D5" w:rsidRDefault="002441D5" w:rsidP="009D6230">
                      <w:pPr>
                        <w:spacing w:before="0" w:after="0"/>
                        <w:ind w:firstLine="0"/>
                      </w:pPr>
                      <w:r>
                        <w:rPr>
                          <w:noProof/>
                          <w:lang w:eastAsia="pl-PL"/>
                        </w:rPr>
                        <w:drawing>
                          <wp:inline distT="0" distB="0" distL="0" distR="0" wp14:anchorId="20EB1264" wp14:editId="752D4FAE">
                            <wp:extent cx="3590925" cy="2341245"/>
                            <wp:effectExtent l="0" t="0" r="9525" b="1905"/>
                            <wp:docPr id="494" name="Obraz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0925" cy="2341245"/>
                                    </a:xfrm>
                                    <a:prstGeom prst="rect">
                                      <a:avLst/>
                                    </a:prstGeom>
                                    <a:noFill/>
                                  </pic:spPr>
                                </pic:pic>
                              </a:graphicData>
                            </a:graphic>
                          </wp:inline>
                        </w:drawing>
                      </w:r>
                    </w:p>
                    <w:p w:rsidR="002441D5" w:rsidRPr="00EE6F5D" w:rsidRDefault="002441D5" w:rsidP="009D6230">
                      <w:pPr>
                        <w:spacing w:before="0"/>
                        <w:rPr>
                          <w:i/>
                          <w:sz w:val="18"/>
                          <w:szCs w:val="18"/>
                        </w:rPr>
                      </w:pPr>
                      <w:r w:rsidRPr="00EE6F5D">
                        <w:rPr>
                          <w:i/>
                          <w:sz w:val="18"/>
                          <w:szCs w:val="18"/>
                        </w:rPr>
                        <w:t>Źródło: BDL GUS</w:t>
                      </w:r>
                    </w:p>
                  </w:txbxContent>
                </v:textbox>
                <w10:wrap type="square"/>
              </v:shape>
            </w:pict>
          </mc:Fallback>
        </mc:AlternateContent>
      </w:r>
    </w:p>
    <w:p w:rsidR="00E320BC" w:rsidRPr="00E320BC" w:rsidRDefault="00A57DC1" w:rsidP="00E320BC">
      <w:pPr>
        <w:spacing w:after="0"/>
        <w:ind w:firstLine="357"/>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695104" behindDoc="0" locked="0" layoutInCell="1" allowOverlap="1" wp14:anchorId="38FA83AE" wp14:editId="7D9A7583">
                <wp:simplePos x="0" y="0"/>
                <wp:positionH relativeFrom="column">
                  <wp:posOffset>-150495</wp:posOffset>
                </wp:positionH>
                <wp:positionV relativeFrom="paragraph">
                  <wp:posOffset>1309370</wp:posOffset>
                </wp:positionV>
                <wp:extent cx="3345815" cy="2689860"/>
                <wp:effectExtent l="0" t="0" r="6985" b="0"/>
                <wp:wrapSquare wrapText="bothSides"/>
                <wp:docPr id="3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5815" cy="2689860"/>
                        </a:xfrm>
                        <a:prstGeom prst="rect">
                          <a:avLst/>
                        </a:prstGeom>
                        <a:solidFill>
                          <a:srgbClr val="FFFFFF"/>
                        </a:solidFill>
                        <a:ln w="9525">
                          <a:noFill/>
                          <a:miter lim="800000"/>
                          <a:headEnd/>
                          <a:tailEnd/>
                        </a:ln>
                      </wps:spPr>
                      <wps:txbx>
                        <w:txbxContent>
                          <w:p w:rsidR="002441D5" w:rsidRPr="00163727" w:rsidRDefault="002441D5" w:rsidP="009D6230">
                            <w:pPr>
                              <w:pStyle w:val="Legenda"/>
                              <w:keepNext/>
                              <w:spacing w:after="0"/>
                              <w:ind w:firstLine="0"/>
                              <w:rPr>
                                <w:color w:val="31B6FD" w:themeColor="accent1"/>
                              </w:rPr>
                            </w:pPr>
                            <w:bookmarkStart w:id="25" w:name="_Toc138068618"/>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10</w:t>
                            </w:r>
                            <w:r w:rsidRPr="00163727">
                              <w:rPr>
                                <w:noProof/>
                                <w:color w:val="31B6FD" w:themeColor="accent1"/>
                              </w:rPr>
                              <w:fldChar w:fldCharType="end"/>
                            </w:r>
                            <w:r w:rsidRPr="00163727">
                              <w:rPr>
                                <w:color w:val="31B6FD" w:themeColor="accent1"/>
                              </w:rPr>
                              <w:t>. Podmioty wpisane do rejestru REGON na 10 tys. ludności</w:t>
                            </w:r>
                            <w:bookmarkEnd w:id="25"/>
                          </w:p>
                          <w:p w:rsidR="002441D5" w:rsidRDefault="002441D5" w:rsidP="009D6230">
                            <w:pPr>
                              <w:spacing w:before="0" w:after="0"/>
                              <w:ind w:firstLine="0"/>
                            </w:pPr>
                            <w:r>
                              <w:rPr>
                                <w:noProof/>
                                <w:lang w:eastAsia="pl-PL"/>
                              </w:rPr>
                              <w:drawing>
                                <wp:inline distT="0" distB="0" distL="0" distR="0" wp14:anchorId="3B561166" wp14:editId="6FE63A76">
                                  <wp:extent cx="3248891" cy="2017680"/>
                                  <wp:effectExtent l="0" t="0" r="8890" b="1905"/>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8891" cy="2017680"/>
                                          </a:xfrm>
                                          <a:prstGeom prst="rect">
                                            <a:avLst/>
                                          </a:prstGeom>
                                          <a:noFill/>
                                        </pic:spPr>
                                      </pic:pic>
                                    </a:graphicData>
                                  </a:graphic>
                                </wp:inline>
                              </w:drawing>
                            </w:r>
                          </w:p>
                          <w:p w:rsidR="002441D5" w:rsidRPr="00A9143A" w:rsidRDefault="002441D5" w:rsidP="009D6230">
                            <w:pPr>
                              <w:spacing w:before="0"/>
                              <w:rPr>
                                <w:i/>
                                <w:sz w:val="18"/>
                                <w:szCs w:val="18"/>
                              </w:rPr>
                            </w:pPr>
                            <w:r w:rsidRPr="00A9143A">
                              <w:rPr>
                                <w:i/>
                                <w:sz w:val="18"/>
                                <w:szCs w:val="18"/>
                              </w:rPr>
                              <w:t>Źródło: BDL GUS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11.85pt;margin-top:103.1pt;width:263.45pt;height:211.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" stroked="f">
                <v:textbox>
                  <w:txbxContent>
                    <w:p w:rsidR="002441D5" w:rsidRPr="00163727" w:rsidRDefault="002441D5" w:rsidP="009D6230">
                      <w:pPr>
                        <w:pStyle w:val="Legenda"/>
                        <w:keepNext/>
                        <w:spacing w:after="0"/>
                        <w:ind w:firstLine="0"/>
                        <w:rPr>
                          <w:color w:val="31B6FD" w:themeColor="accent1"/>
                        </w:rPr>
                      </w:pPr>
                      <w:bookmarkStart w:id="26" w:name="_Toc138068618"/>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10</w:t>
                      </w:r>
                      <w:r w:rsidRPr="00163727">
                        <w:rPr>
                          <w:noProof/>
                          <w:color w:val="31B6FD" w:themeColor="accent1"/>
                        </w:rPr>
                        <w:fldChar w:fldCharType="end"/>
                      </w:r>
                      <w:r w:rsidRPr="00163727">
                        <w:rPr>
                          <w:color w:val="31B6FD" w:themeColor="accent1"/>
                        </w:rPr>
                        <w:t>. Podmioty wpisane do rejestru REGON na 10 tys. ludności</w:t>
                      </w:r>
                      <w:bookmarkEnd w:id="26"/>
                    </w:p>
                    <w:p w:rsidR="002441D5" w:rsidRDefault="002441D5" w:rsidP="009D6230">
                      <w:pPr>
                        <w:spacing w:before="0" w:after="0"/>
                        <w:ind w:firstLine="0"/>
                      </w:pPr>
                      <w:r>
                        <w:rPr>
                          <w:noProof/>
                          <w:lang w:eastAsia="pl-PL"/>
                        </w:rPr>
                        <w:drawing>
                          <wp:inline distT="0" distB="0" distL="0" distR="0" wp14:anchorId="3B561166" wp14:editId="6FE63A76">
                            <wp:extent cx="3248891" cy="2017680"/>
                            <wp:effectExtent l="0" t="0" r="8890" b="1905"/>
                            <wp:docPr id="495" name="Obraz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48891" cy="2017680"/>
                                    </a:xfrm>
                                    <a:prstGeom prst="rect">
                                      <a:avLst/>
                                    </a:prstGeom>
                                    <a:noFill/>
                                  </pic:spPr>
                                </pic:pic>
                              </a:graphicData>
                            </a:graphic>
                          </wp:inline>
                        </w:drawing>
                      </w:r>
                    </w:p>
                    <w:p w:rsidR="002441D5" w:rsidRPr="00A9143A" w:rsidRDefault="002441D5" w:rsidP="009D6230">
                      <w:pPr>
                        <w:spacing w:before="0"/>
                        <w:rPr>
                          <w:i/>
                          <w:sz w:val="18"/>
                          <w:szCs w:val="18"/>
                        </w:rPr>
                      </w:pPr>
                      <w:r w:rsidRPr="00A9143A">
                        <w:rPr>
                          <w:i/>
                          <w:sz w:val="18"/>
                          <w:szCs w:val="18"/>
                        </w:rPr>
                        <w:t>Źródło: BDL GUS</w:t>
                      </w:r>
                    </w:p>
                  </w:txbxContent>
                </v:textbox>
                <w10:wrap type="square"/>
              </v:shape>
            </w:pict>
          </mc:Fallback>
        </mc:AlternateContent>
      </w:r>
      <w:r w:rsidR="00E320BC" w:rsidRPr="00E320BC">
        <w:rPr>
          <w:rFonts w:ascii="Calibri" w:eastAsia="Candara" w:hAnsi="Calibri" w:cs="Times New Roman"/>
        </w:rPr>
        <w:t>Brak wyraźnego wzrostu liczby działających przedsiębiorstw w HOF można tłumaczyć nie tyle niską aktywnością zakładania nowych podmiotów, bo general</w:t>
      </w:r>
      <w:r w:rsidR="009D6230">
        <w:rPr>
          <w:rFonts w:ascii="Calibri" w:eastAsia="Candara" w:hAnsi="Calibri" w:cs="Times New Roman"/>
        </w:rPr>
        <w:t>nie jest ona wysoka (średnio na </w:t>
      </w:r>
      <w:r w:rsidR="00E320BC" w:rsidRPr="00E320BC">
        <w:rPr>
          <w:rFonts w:ascii="Calibri" w:eastAsia="Candara" w:hAnsi="Calibri" w:cs="Times New Roman"/>
        </w:rPr>
        <w:t xml:space="preserve">poziomie 191 podmiotów rocznie), ale </w:t>
      </w:r>
      <w:r w:rsidR="00E320BC" w:rsidRPr="00E320BC">
        <w:rPr>
          <w:rFonts w:ascii="Calibri" w:eastAsia="Candara" w:hAnsi="Calibri" w:cs="Times New Roman"/>
          <w:b/>
        </w:rPr>
        <w:t>dość wysoką dynamik</w:t>
      </w:r>
      <w:r w:rsidR="009D6230">
        <w:rPr>
          <w:rFonts w:ascii="Calibri" w:eastAsia="Candara" w:hAnsi="Calibri" w:cs="Times New Roman"/>
          <w:b/>
        </w:rPr>
        <w:t>ą wyrejestrowywania podmiotów z </w:t>
      </w:r>
      <w:r w:rsidR="00E320BC" w:rsidRPr="00E320BC">
        <w:rPr>
          <w:rFonts w:ascii="Calibri" w:eastAsia="Candara" w:hAnsi="Calibri" w:cs="Times New Roman"/>
          <w:b/>
        </w:rPr>
        <w:t>systemu REGON (średnio 146 podmiotów rocznie). Przy czym ocenia się, że nieco ponad 60% nowo rejestrowanych firm nie przeżywa więcej niż rok,</w:t>
      </w:r>
      <w:r w:rsidR="00E320BC" w:rsidRPr="00E320BC">
        <w:rPr>
          <w:rFonts w:ascii="Calibri" w:eastAsia="Candara" w:hAnsi="Calibri" w:cs="Times New Roman"/>
        </w:rPr>
        <w:t xml:space="preserve"> co może świadczyć o dość trudnych warunkach prowadzenia biznesu, będących w dużym stopniu pochodną wielu czynników (</w:t>
      </w:r>
      <w:r w:rsidR="00F428B3" w:rsidRPr="00E320BC">
        <w:rPr>
          <w:rFonts w:ascii="Calibri" w:eastAsia="Candara" w:hAnsi="Calibri" w:cs="Times New Roman"/>
        </w:rPr>
        <w:t>duża konkurencja</w:t>
      </w:r>
      <w:r w:rsidR="00061206">
        <w:rPr>
          <w:rFonts w:ascii="Calibri" w:eastAsia="Candara" w:hAnsi="Calibri" w:cs="Times New Roman"/>
        </w:rPr>
        <w:t xml:space="preserve"> </w:t>
      </w:r>
      <w:r w:rsidR="00061206" w:rsidRPr="00F847D5">
        <w:rPr>
          <w:rFonts w:ascii="Calibri" w:eastAsia="Candara" w:hAnsi="Calibri" w:cs="Times New Roman"/>
        </w:rPr>
        <w:t>rynkowa (głównie w zakresie handlu)</w:t>
      </w:r>
      <w:r w:rsidR="00F428B3" w:rsidRPr="00F847D5">
        <w:rPr>
          <w:rFonts w:ascii="Calibri" w:eastAsia="Candara" w:hAnsi="Calibri" w:cs="Times New Roman"/>
        </w:rPr>
        <w:t>,</w:t>
      </w:r>
      <w:r w:rsidR="00E320BC" w:rsidRPr="00E320BC">
        <w:rPr>
          <w:rFonts w:ascii="Calibri" w:eastAsia="Candara" w:hAnsi="Calibri" w:cs="Times New Roman"/>
        </w:rPr>
        <w:t xml:space="preserve"> ograniczona chłonność rynku lokalnego, słabość lokalnych instytucji wspierających przedsiębiorców itp.).</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Należy sądzić, iż część nowo rejestrowanych podmiotów to osoby rozpoczyn</w:t>
      </w:r>
      <w:r w:rsidR="009D6230">
        <w:rPr>
          <w:rFonts w:ascii="Calibri" w:eastAsia="Candara" w:hAnsi="Calibri" w:cs="Times New Roman"/>
          <w:b/>
        </w:rPr>
        <w:t>ające działalność gospodarczą z </w:t>
      </w:r>
      <w:r w:rsidRPr="00E320BC">
        <w:rPr>
          <w:rFonts w:ascii="Calibri" w:eastAsia="Candara" w:hAnsi="Calibri" w:cs="Times New Roman"/>
          <w:b/>
        </w:rPr>
        <w:t>wyko</w:t>
      </w:r>
      <w:r w:rsidR="009D6230">
        <w:rPr>
          <w:rFonts w:ascii="Calibri" w:eastAsia="Candara" w:hAnsi="Calibri" w:cs="Times New Roman"/>
          <w:b/>
        </w:rPr>
        <w:t>rzystaniem dotacji uzyskanych z Powiatowego Urzędu Pracy w </w:t>
      </w:r>
      <w:r w:rsidRPr="00E320BC">
        <w:rPr>
          <w:rFonts w:ascii="Calibri" w:eastAsia="Candara" w:hAnsi="Calibri" w:cs="Times New Roman"/>
          <w:b/>
        </w:rPr>
        <w:t>Hrubieszowie.</w:t>
      </w:r>
      <w:r w:rsidR="009D6230">
        <w:rPr>
          <w:rFonts w:ascii="Calibri" w:eastAsia="Candara" w:hAnsi="Calibri" w:cs="Times New Roman"/>
        </w:rPr>
        <w:t xml:space="preserve"> Niestety losy firm po </w:t>
      </w:r>
      <w:r w:rsidRPr="00E320BC">
        <w:rPr>
          <w:rFonts w:ascii="Calibri" w:eastAsia="Candara" w:hAnsi="Calibri" w:cs="Times New Roman"/>
        </w:rPr>
        <w:t>zakończeniu trwałości udzielonego wsparcia nie były monitorowane przez PUP i dokładnie nie wiadomo, jaki odsetek firm przeżywa po dwóch czy trzech latach funkcjonowania.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Poziom przedsiębiorczości mieszkańców można zmierzyć przy pomocy </w:t>
      </w:r>
      <w:r w:rsidRPr="00E320BC">
        <w:rPr>
          <w:rFonts w:ascii="Calibri" w:eastAsia="Candara" w:hAnsi="Calibri" w:cs="Times New Roman"/>
          <w:b/>
        </w:rPr>
        <w:t>wskaźnika przedsiębiorczości,</w:t>
      </w:r>
      <w:r w:rsidRPr="00E320BC">
        <w:rPr>
          <w:rFonts w:ascii="Calibri" w:eastAsia="Candara" w:hAnsi="Calibri" w:cs="Times New Roman"/>
        </w:rPr>
        <w:t xml:space="preserve"> czyli podmiotów wpisanych do rejestru REGON na 10 tys. ludności. </w:t>
      </w:r>
      <w:r w:rsidRPr="00E320BC">
        <w:rPr>
          <w:rFonts w:ascii="Calibri" w:eastAsia="Candara" w:hAnsi="Calibri" w:cs="Times New Roman"/>
          <w:b/>
        </w:rPr>
        <w:t xml:space="preserve">W 2019 roku dla HOF wskaźnik wynosił 929 </w:t>
      </w:r>
      <w:r w:rsidRPr="00E320BC">
        <w:rPr>
          <w:rFonts w:ascii="Calibri" w:eastAsia="Candara" w:hAnsi="Calibri" w:cs="Times New Roman"/>
        </w:rPr>
        <w:t>podmiotów i była to wartość wyższa niż dla powiatu hrubieszowskiego (705 podmiotów) oraz województwa lubelskiego (879 podmiotów). Analizując niniejszy wskaźnik na tle obszarów funkcjonalnych grupy porównawczej HOF osiąga wartości zbliżone do MOF Włodawy, jednak od 2016 roku są one nieco wyższe. Najniższą wartością wskaźnika charakteryzuje się MOF Krasnegostawu.</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rPr>
        <w:t xml:space="preserve">Najliczniejszą grupą na terenie HOF w 2020 roku, według klasyfikacji PKD, byli przedsiębiorcy z branży handlu hurtowego i detalicznego (sekcja G), budownictwa (sekcja F), sekcji S i T, czyli pozostała działalność usługowa oraz gospodarstwa zatrudniające pracowników oraz H, czyli transport </w:t>
      </w:r>
      <w:r w:rsidRPr="00E320BC">
        <w:rPr>
          <w:rFonts w:ascii="Calibri" w:eastAsia="Candara" w:hAnsi="Calibri" w:cs="Times New Roman"/>
        </w:rPr>
        <w:lastRenderedPageBreak/>
        <w:t xml:space="preserve">i gospodarka magazynowa. </w:t>
      </w:r>
      <w:r w:rsidRPr="00E320BC">
        <w:rPr>
          <w:rFonts w:ascii="Calibri" w:eastAsia="Candara" w:hAnsi="Calibri" w:cs="Times New Roman"/>
          <w:b/>
        </w:rPr>
        <w:t>Na uwagę zasługuje zbyt mały udział firm działających w sektorze przemysłu, co z jednej strony wynika z ogólnie niskiego uprzemysłowienia województwa lubelskiego, zaś z drugiej świadczy o strukturalnej słabości lokalnej gospodarki HOF, która jest mocno zdominowana przez mikro przedsiębiorstwa działające w sektorze prostych usług rynkowych</w:t>
      </w:r>
      <w:r w:rsidRPr="00E320BC">
        <w:rPr>
          <w:rFonts w:ascii="Calibri" w:eastAsia="Candara" w:hAnsi="Calibri" w:cs="Times New Roman"/>
        </w:rPr>
        <w:t xml:space="preserve"> (handel, transport, naprawy, gastronomia itp</w:t>
      </w:r>
      <w:proofErr w:type="gramStart"/>
      <w:r w:rsidRPr="00E320BC">
        <w:rPr>
          <w:rFonts w:ascii="Calibri" w:eastAsia="Candara" w:hAnsi="Calibri" w:cs="Times New Roman"/>
        </w:rPr>
        <w:t xml:space="preserve">.). </w:t>
      </w:r>
      <w:r w:rsidRPr="00E320BC">
        <w:rPr>
          <w:rFonts w:ascii="Calibri" w:eastAsia="Candara" w:hAnsi="Calibri" w:cs="Times New Roman"/>
          <w:b/>
        </w:rPr>
        <w:t>Zdecydowana</w:t>
      </w:r>
      <w:proofErr w:type="gramEnd"/>
      <w:r w:rsidRPr="00E320BC">
        <w:rPr>
          <w:rFonts w:ascii="Calibri" w:eastAsia="Candara" w:hAnsi="Calibri" w:cs="Times New Roman"/>
          <w:b/>
        </w:rPr>
        <w:t xml:space="preserve"> większość właścicieli firm (ponad 95%) to mieszkańcy HOF, którzy biznesowo i materialnie są związani z miastem i obszarem HOF i których przywiązanie i lojalność do HOF można wykorzystać do uruchomienia nowych form współdziałania i rozwoju lokalnej przedsiębiorczości. Rodzima przedsiębiorczość może stanowić dobrą podstawę do przyszłego rozwoju HOF.</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W strukturze wielkościowej przedsiębiorstw zlokalizowanych w granicach HOF wyraźnie </w:t>
      </w:r>
      <w:r w:rsidRPr="00E320BC">
        <w:rPr>
          <w:rFonts w:ascii="Calibri" w:eastAsia="Candara" w:hAnsi="Calibri" w:cs="Times New Roman"/>
          <w:b/>
        </w:rPr>
        <w:t>dominują mikroprzedsiębiorstwa zatrudniające do 9 pracowników – 2580 mikroprzedsiębiorstw.</w:t>
      </w:r>
      <w:r w:rsidRPr="00E320BC">
        <w:rPr>
          <w:rFonts w:ascii="Calibri" w:eastAsia="Candara" w:hAnsi="Calibri" w:cs="Times New Roman"/>
        </w:rPr>
        <w:t xml:space="preserve"> </w:t>
      </w:r>
      <w:r w:rsidR="004C7D9F">
        <w:rPr>
          <w:rFonts w:ascii="Calibri" w:eastAsia="Candara" w:hAnsi="Calibri" w:cs="Times New Roman"/>
        </w:rPr>
        <w:t>Zgodnie z danymi GUS p</w:t>
      </w:r>
      <w:r w:rsidRPr="00E320BC">
        <w:rPr>
          <w:rFonts w:ascii="Calibri" w:eastAsia="Candara" w:hAnsi="Calibri" w:cs="Times New Roman"/>
        </w:rPr>
        <w:t xml:space="preserve">rzedsiębiorstwa średnie i duże </w:t>
      </w:r>
      <w:r w:rsidR="004C7D9F" w:rsidRPr="00E320BC">
        <w:rPr>
          <w:rFonts w:ascii="Calibri" w:eastAsia="Candara" w:hAnsi="Calibri" w:cs="Times New Roman"/>
        </w:rPr>
        <w:t xml:space="preserve">występują tylko </w:t>
      </w:r>
      <w:r w:rsidRPr="00E320BC">
        <w:rPr>
          <w:rFonts w:ascii="Calibri" w:eastAsia="Candara" w:hAnsi="Calibri" w:cs="Times New Roman"/>
        </w:rPr>
        <w:t xml:space="preserve">na terenie miasta Hrubieszowa. </w:t>
      </w:r>
      <w:r w:rsidR="004C7D9F">
        <w:rPr>
          <w:rFonts w:ascii="Calibri" w:eastAsia="Candara" w:hAnsi="Calibri" w:cs="Times New Roman"/>
        </w:rPr>
        <w:t xml:space="preserve"> Na terenie Gminy Hrubieszów sporym jak na warunki Gminy jest Zakład Produkcyjno-Usługowy J. Kusiak i Spółka Sp. j. w Świerszczowie. </w:t>
      </w:r>
      <w:r w:rsidRPr="00E320BC">
        <w:rPr>
          <w:rFonts w:ascii="Calibri" w:eastAsia="Candara" w:hAnsi="Calibri" w:cs="Times New Roman"/>
        </w:rPr>
        <w:t xml:space="preserve">Tak niski odsetek dużych firm jest niekorzystny dla rozwoju gospodarki chociażby przez pryzmat </w:t>
      </w:r>
      <w:proofErr w:type="gramStart"/>
      <w:r w:rsidRPr="00E320BC">
        <w:rPr>
          <w:rFonts w:ascii="Calibri" w:eastAsia="Candara" w:hAnsi="Calibri" w:cs="Times New Roman"/>
        </w:rPr>
        <w:t>możliwości jakie</w:t>
      </w:r>
      <w:proofErr w:type="gramEnd"/>
      <w:r w:rsidRPr="00E320BC">
        <w:rPr>
          <w:rFonts w:ascii="Calibri" w:eastAsia="Candara" w:hAnsi="Calibri" w:cs="Times New Roman"/>
        </w:rPr>
        <w:t xml:space="preserve"> duże firmy (zwłaszcza produkcyjne) stwarzają w budowaniu lokalnych sieci współpracy i łańcuchów dostaw.</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Lokalny rynek pracy jest mocno zdominowany przez instytucje publiczne, które zapewniają większość istniejących miejsc pracy w mieście w sektorze usług niekomercyjnych.</w:t>
      </w:r>
      <w:r w:rsidRPr="00E320BC">
        <w:rPr>
          <w:rFonts w:ascii="Calibri" w:eastAsia="Candara" w:hAnsi="Calibri" w:cs="Times New Roman"/>
        </w:rPr>
        <w:t xml:space="preserve"> Wśród usług komercyjnych głównymi pracodawcami są firmy zajmujące się handlem (detalicznym i hurtowym), naprawami, gastronomią i transportem.</w:t>
      </w:r>
    </w:p>
    <w:p w:rsidR="00E320BC" w:rsidRPr="00E320BC" w:rsidRDefault="00E320BC" w:rsidP="00E320BC">
      <w:pPr>
        <w:spacing w:after="0"/>
        <w:ind w:left="284"/>
        <w:rPr>
          <w:rFonts w:ascii="Calibri" w:eastAsia="Candara" w:hAnsi="Calibri" w:cs="Times New Roman"/>
        </w:rPr>
      </w:pPr>
      <w:r w:rsidRPr="00E320BC">
        <w:rPr>
          <w:rFonts w:ascii="Calibri" w:eastAsia="Candara" w:hAnsi="Calibri" w:cs="Times New Roman"/>
          <w:b/>
          <w:i/>
          <w:noProof/>
          <w:color w:val="F5C040"/>
          <w:lang w:eastAsia="pl-PL"/>
        </w:rPr>
        <mc:AlternateContent>
          <mc:Choice Requires="wps">
            <w:drawing>
              <wp:anchor distT="0" distB="0" distL="114300" distR="114300" simplePos="0" relativeHeight="251694080" behindDoc="0" locked="0" layoutInCell="1" allowOverlap="1" wp14:anchorId="299B117C" wp14:editId="3CFA954B">
                <wp:simplePos x="0" y="0"/>
                <wp:positionH relativeFrom="column">
                  <wp:posOffset>-44662</wp:posOffset>
                </wp:positionH>
                <wp:positionV relativeFrom="paragraph">
                  <wp:posOffset>45507</wp:posOffset>
                </wp:positionV>
                <wp:extent cx="5901517" cy="1735667"/>
                <wp:effectExtent l="0" t="0" r="23495" b="17145"/>
                <wp:wrapNone/>
                <wp:docPr id="32" name="Prostokąt 32"/>
                <wp:cNvGraphicFramePr/>
                <a:graphic xmlns:a="http://schemas.openxmlformats.org/drawingml/2006/main">
                  <a:graphicData uri="http://schemas.microsoft.com/office/word/2010/wordprocessingShape">
                    <wps:wsp>
                      <wps:cNvSpPr/>
                      <wps:spPr>
                        <a:xfrm>
                          <a:off x="0" y="0"/>
                          <a:ext cx="5901517" cy="1735667"/>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32" o:spid="_x0000_s1026" style="position:absolute;margin-left:-3.5pt;margin-top:3.6pt;width:464.7pt;height:136.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" filled="f" strokecolor="#dc9f0c" strokeweight="1.25pt"/>
            </w:pict>
          </mc:Fallback>
        </mc:AlternateContent>
      </w:r>
      <w:r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Według respondentów ankiety największy wpływ na przyszły rozwój społeczno-gospodarczy Hrubieszowskiego Obszaru Funkcjonalnego ma sprowadzenie na obszar gmin dużego inwestora w branży rolno-spożywczej, przetwórczej oraz rozbudowa ścieżek rowerowych. Oba kierunki rozwoju wybrało aż po 45 respondentów (po 67,2% wszystkich odpowiedzi). W pytaniu dotyczącym stanu i jakości strefy gospodarczej HOF </w:t>
      </w:r>
      <w:r w:rsidRPr="00E320BC">
        <w:rPr>
          <w:rFonts w:ascii="Calibri" w:eastAsia="Candara" w:hAnsi="Calibri" w:cs="Times New Roman"/>
          <w:i/>
          <w:color w:val="936A07"/>
          <w:szCs w:val="20"/>
        </w:rPr>
        <w:t>zdecydowanie najlepiej mieszkańcy ocenili obszar warunki rozwoju działalności rolniczej – uzyskał on 41,8% głosów w kategorii „dobry” oraz 7,5% głosów w kategorii „bardzo dobry”.</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Rynek pracy</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 xml:space="preserve">W 2019 roku w HOF pracowało 4525 osób. </w:t>
      </w:r>
      <w:r w:rsidRPr="00E320BC">
        <w:rPr>
          <w:rFonts w:ascii="Calibri" w:eastAsia="Candara" w:hAnsi="Calibri" w:cs="Times New Roman"/>
        </w:rPr>
        <w:t xml:space="preserve">60,31% </w:t>
      </w:r>
      <w:proofErr w:type="gramStart"/>
      <w:r w:rsidRPr="00E320BC">
        <w:rPr>
          <w:rFonts w:ascii="Calibri" w:eastAsia="Candara" w:hAnsi="Calibri" w:cs="Times New Roman"/>
        </w:rPr>
        <w:t>osób</w:t>
      </w:r>
      <w:proofErr w:type="gramEnd"/>
      <w:r w:rsidRPr="00E320BC">
        <w:rPr>
          <w:rFonts w:ascii="Calibri" w:eastAsia="Candara" w:hAnsi="Calibri" w:cs="Times New Roman"/>
        </w:rPr>
        <w:t xml:space="preserve"> pracujących stanowiły kobiety, natomiast 39,69% - mężczyźni. </w:t>
      </w:r>
      <w:r w:rsidRPr="00E320BC">
        <w:rPr>
          <w:rFonts w:ascii="Calibri" w:eastAsia="Candara" w:hAnsi="Calibri" w:cs="Times New Roman"/>
          <w:b/>
        </w:rPr>
        <w:t>Duża dysproporcja w liczbie pracujących kobiet i mężczyzn wynika z rolniczego charakteru obszaru.</w:t>
      </w:r>
      <w:r w:rsidRPr="00E320BC">
        <w:rPr>
          <w:rFonts w:ascii="Calibri" w:eastAsia="Candara" w:hAnsi="Calibri" w:cs="Times New Roman"/>
        </w:rPr>
        <w:t xml:space="preserve"> Mężczyźni w dużej większości zajmują się prowadzeniem gospodarstwa rolnego, rezygnując z etatowej pracy zarobkowej. Dodatkowo dane Banku Danych Lokalnych Głównego Urzędu Statystycznego</w:t>
      </w:r>
      <w:r w:rsidR="00061206">
        <w:rPr>
          <w:rFonts w:ascii="Calibri" w:eastAsia="Candara" w:hAnsi="Calibri" w:cs="Times New Roman"/>
        </w:rPr>
        <w:t xml:space="preserve"> nie</w:t>
      </w:r>
      <w:r w:rsidRPr="00E320BC">
        <w:rPr>
          <w:rFonts w:ascii="Calibri" w:eastAsia="Candara" w:hAnsi="Calibri" w:cs="Times New Roman"/>
        </w:rPr>
        <w:t xml:space="preserve"> </w:t>
      </w:r>
      <w:r w:rsidR="00F428B3" w:rsidRPr="00E320BC">
        <w:rPr>
          <w:rFonts w:ascii="Calibri" w:eastAsia="Candara" w:hAnsi="Calibri" w:cs="Times New Roman"/>
        </w:rPr>
        <w:t>obejmują osób pracujących w jednostkach budżetowych działających w zakresie obrony narodowej i bezpieczeństwa publicznego</w:t>
      </w:r>
      <w:r w:rsidRPr="00E320BC">
        <w:rPr>
          <w:rFonts w:ascii="Calibri" w:eastAsia="Candara" w:hAnsi="Calibri" w:cs="Times New Roman"/>
        </w:rPr>
        <w:t>, osób pracujących w gospodarstwach indywidualnych w rolnictwie, duchownych oraz pracujących w organizacjach, fundacjach i związkach; bez podmiotów gospodarczych o liczbie pracujących do 9 osób.</w:t>
      </w:r>
    </w:p>
    <w:p w:rsid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Wskaźnik pracujących na 1000 ludności w HOF w 2019 roku wyniósł 164.</w:t>
      </w:r>
      <w:r w:rsidRPr="00E320BC">
        <w:rPr>
          <w:rFonts w:ascii="Calibri" w:eastAsia="Candara" w:hAnsi="Calibri" w:cs="Times New Roman"/>
        </w:rPr>
        <w:t xml:space="preserve"> Jest to wartość dużo wyższa niż dla powiatu hrubieszowskiego (108 osób), jednocześnie niższa niż dla województwa lubelskiego (191 osób). W analizowanym okresie czasu wskaźnik niemal nie ulegał zmianie. Na tej </w:t>
      </w:r>
      <w:r w:rsidRPr="00E320BC">
        <w:rPr>
          <w:rFonts w:ascii="Calibri" w:eastAsia="Candara" w:hAnsi="Calibri" w:cs="Times New Roman"/>
        </w:rPr>
        <w:lastRenderedPageBreak/>
        <w:t xml:space="preserve">podstawie stwierdzić można, iż rynek pracy w HOF jest nieco lepiej rozwinięty niż ma to miejsce w powiecie, ale nieco gorzej niż w regionie. Z jednej strony wpływ na taki stan rzeczy ma </w:t>
      </w:r>
      <w:r w:rsidRPr="00E320BC">
        <w:rPr>
          <w:rFonts w:ascii="Calibri" w:eastAsia="Candara" w:hAnsi="Calibri" w:cs="Times New Roman"/>
          <w:b/>
        </w:rPr>
        <w:t>pozycja Miasta Hrubieszowa, który jest ośrodkiem miejskim o randze powiatowej i skupiającym wiele funkcji administracyjno-usługowych i generujących zatrudnienie w sektorze usług nierynkowych. Z drugiej zaś strony pozytywny wpływ na lokalny rynek pracy i lepsze wskaźniki zatrudnienia mają również instytucje</w:t>
      </w:r>
      <w:r w:rsidR="0023739B">
        <w:rPr>
          <w:rFonts w:ascii="Calibri" w:eastAsia="Candara" w:hAnsi="Calibri" w:cs="Times New Roman"/>
          <w:b/>
        </w:rPr>
        <w:t xml:space="preserve">, </w:t>
      </w:r>
      <w:r w:rsidR="0023739B" w:rsidRPr="00F847D5">
        <w:rPr>
          <w:rFonts w:ascii="Calibri" w:eastAsia="Candara" w:hAnsi="Calibri" w:cs="Times New Roman"/>
          <w:b/>
        </w:rPr>
        <w:t>jednostka wojskowa</w:t>
      </w:r>
      <w:r w:rsidRPr="00F847D5">
        <w:rPr>
          <w:rFonts w:ascii="Calibri" w:eastAsia="Candara" w:hAnsi="Calibri" w:cs="Times New Roman"/>
          <w:b/>
        </w:rPr>
        <w:t xml:space="preserve"> i służby mundurowe </w:t>
      </w:r>
      <w:r w:rsidR="00F428B3" w:rsidRPr="00F847D5">
        <w:rPr>
          <w:rFonts w:ascii="Calibri" w:eastAsia="Candara" w:hAnsi="Calibri" w:cs="Times New Roman"/>
          <w:b/>
        </w:rPr>
        <w:t>odpowiedzialne</w:t>
      </w:r>
      <w:r w:rsidR="00CF7B8B" w:rsidRPr="00F847D5">
        <w:rPr>
          <w:rFonts w:ascii="Calibri" w:eastAsia="Candara" w:hAnsi="Calibri" w:cs="Times New Roman"/>
          <w:b/>
        </w:rPr>
        <w:t xml:space="preserve"> za kontrolę i </w:t>
      </w:r>
      <w:r w:rsidRPr="00F847D5">
        <w:rPr>
          <w:rFonts w:ascii="Calibri" w:eastAsia="Candara" w:hAnsi="Calibri" w:cs="Times New Roman"/>
          <w:b/>
        </w:rPr>
        <w:t>zarządzanie granicą RP na terenie powiatu hrubieszowskiego.</w:t>
      </w:r>
      <w:r w:rsidR="0023739B" w:rsidRPr="00F847D5">
        <w:rPr>
          <w:rFonts w:ascii="Calibri" w:eastAsia="Candara" w:hAnsi="Calibri" w:cs="Times New Roman"/>
          <w:b/>
        </w:rPr>
        <w:t xml:space="preserve"> </w:t>
      </w:r>
      <w:r w:rsidR="0023739B" w:rsidRPr="00F847D5">
        <w:rPr>
          <w:rFonts w:ascii="Calibri" w:eastAsia="Candara" w:hAnsi="Calibri" w:cs="Times New Roman"/>
        </w:rPr>
        <w:t>Grupa związana z</w:t>
      </w:r>
      <w:r w:rsidR="0023739B" w:rsidRPr="00F847D5">
        <w:rPr>
          <w:rFonts w:ascii="Calibri" w:eastAsia="Candara" w:hAnsi="Calibri" w:cs="Times New Roman"/>
          <w:b/>
        </w:rPr>
        <w:t xml:space="preserve"> </w:t>
      </w:r>
      <w:r w:rsidR="0023739B" w:rsidRPr="00F847D5">
        <w:rPr>
          <w:rFonts w:ascii="Calibri" w:eastAsia="Candara" w:hAnsi="Calibri" w:cs="Times New Roman"/>
        </w:rPr>
        <w:t>funkcją mundurową stanowi jedną z kluczowych grup na obszarze HOF zapewniających wiele miejsc pracy (</w:t>
      </w:r>
      <w:r w:rsidR="00CF7B8B" w:rsidRPr="00F847D5">
        <w:rPr>
          <w:rFonts w:ascii="Calibri" w:eastAsia="Candara" w:hAnsi="Calibri" w:cs="Times New Roman"/>
        </w:rPr>
        <w:t>najwięksi pracodawcy służb mundurowych (bez 2</w:t>
      </w:r>
      <w:r w:rsidR="0023739B" w:rsidRPr="00F847D5">
        <w:rPr>
          <w:rFonts w:ascii="Calibri" w:eastAsia="Candara" w:hAnsi="Calibri" w:cs="Times New Roman"/>
        </w:rPr>
        <w:t xml:space="preserve">. Hrubieszowskiego Pułku </w:t>
      </w:r>
      <w:r w:rsidR="00CF7B8B" w:rsidRPr="00F847D5">
        <w:rPr>
          <w:rFonts w:ascii="Calibri" w:eastAsia="Candara" w:hAnsi="Calibri" w:cs="Times New Roman"/>
        </w:rPr>
        <w:t>Rozpoznawczego</w:t>
      </w:r>
      <w:r w:rsidR="0023739B" w:rsidRPr="00F847D5">
        <w:rPr>
          <w:rFonts w:ascii="Calibri" w:eastAsia="Candara" w:hAnsi="Calibri" w:cs="Times New Roman"/>
        </w:rPr>
        <w:t xml:space="preserve"> im. </w:t>
      </w:r>
      <w:r w:rsidR="00CF7B8B" w:rsidRPr="00F847D5">
        <w:rPr>
          <w:rFonts w:ascii="Calibri" w:eastAsia="Candara" w:hAnsi="Calibri" w:cs="Times New Roman"/>
        </w:rPr>
        <w:t xml:space="preserve">mjr. Henryka Dobrzańskiego Hubala – brak danych) </w:t>
      </w:r>
      <w:r w:rsidR="0023739B" w:rsidRPr="00F847D5">
        <w:rPr>
          <w:rFonts w:eastAsiaTheme="minorEastAsia" w:cstheme="minorHAnsi"/>
          <w:sz w:val="20"/>
          <w:szCs w:val="20"/>
        </w:rPr>
        <w:t xml:space="preserve">w 2020 roku zatrudniała </w:t>
      </w:r>
      <w:r w:rsidR="00CF7B8B" w:rsidRPr="00F847D5">
        <w:rPr>
          <w:rFonts w:eastAsiaTheme="minorEastAsia" w:cstheme="minorHAnsi"/>
          <w:sz w:val="20"/>
          <w:szCs w:val="20"/>
        </w:rPr>
        <w:t>623</w:t>
      </w:r>
      <w:r w:rsidR="0023739B" w:rsidRPr="00F847D5">
        <w:rPr>
          <w:rFonts w:eastAsiaTheme="minorEastAsia" w:cstheme="minorHAnsi"/>
          <w:sz w:val="20"/>
          <w:szCs w:val="20"/>
        </w:rPr>
        <w:t xml:space="preserve"> pracowników).</w:t>
      </w:r>
    </w:p>
    <w:p w:rsidR="00E320BC" w:rsidRPr="00E320BC" w:rsidRDefault="004C7D9F" w:rsidP="00E320BC">
      <w:pPr>
        <w:spacing w:after="0"/>
        <w:ind w:firstLine="357"/>
        <w:rPr>
          <w:rFonts w:ascii="Calibri" w:eastAsia="Candara" w:hAnsi="Calibri" w:cs="Times New Roman"/>
        </w:rPr>
      </w:pPr>
      <w:r w:rsidRPr="00E320BC">
        <w:rPr>
          <w:rFonts w:ascii="Calibri" w:eastAsia="Candara" w:hAnsi="Calibri" w:cs="Times New Roman"/>
          <w:b/>
          <w:noProof/>
          <w:lang w:eastAsia="pl-PL"/>
        </w:rPr>
        <mc:AlternateContent>
          <mc:Choice Requires="wps">
            <w:drawing>
              <wp:anchor distT="0" distB="0" distL="114300" distR="114300" simplePos="0" relativeHeight="251696128" behindDoc="0" locked="0" layoutInCell="1" allowOverlap="1" wp14:anchorId="743E3084" wp14:editId="10D822BB">
                <wp:simplePos x="0" y="0"/>
                <wp:positionH relativeFrom="column">
                  <wp:posOffset>1995805</wp:posOffset>
                </wp:positionH>
                <wp:positionV relativeFrom="paragraph">
                  <wp:posOffset>746125</wp:posOffset>
                </wp:positionV>
                <wp:extent cx="3788410" cy="3048000"/>
                <wp:effectExtent l="0" t="0" r="2540" b="0"/>
                <wp:wrapSquare wrapText="bothSides"/>
                <wp:docPr id="35"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8410" cy="3048000"/>
                        </a:xfrm>
                        <a:prstGeom prst="rect">
                          <a:avLst/>
                        </a:prstGeom>
                        <a:solidFill>
                          <a:srgbClr val="FFFFFF"/>
                        </a:solidFill>
                        <a:ln w="9525">
                          <a:noFill/>
                          <a:miter lim="800000"/>
                          <a:headEnd/>
                          <a:tailEnd/>
                        </a:ln>
                      </wps:spPr>
                      <wps:txbx>
                        <w:txbxContent>
                          <w:p w:rsidR="002441D5" w:rsidRPr="00163727" w:rsidRDefault="002441D5" w:rsidP="009D6230">
                            <w:pPr>
                              <w:pStyle w:val="Legenda"/>
                              <w:keepNext/>
                              <w:ind w:firstLine="0"/>
                              <w:rPr>
                                <w:color w:val="31B6FD" w:themeColor="accent1"/>
                              </w:rPr>
                            </w:pPr>
                            <w:bookmarkStart w:id="27" w:name="_Toc138068619"/>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11</w:t>
                            </w:r>
                            <w:r w:rsidRPr="00163727">
                              <w:rPr>
                                <w:noProof/>
                                <w:color w:val="31B6FD" w:themeColor="accent1"/>
                              </w:rPr>
                              <w:fldChar w:fldCharType="end"/>
                            </w:r>
                            <w:r w:rsidRPr="00163727">
                              <w:rPr>
                                <w:color w:val="31B6FD" w:themeColor="accent1"/>
                              </w:rPr>
                              <w:t>. Udział bezrobotnych zarejestrowanych w liczbie ludności w wieku produkcyjnym</w:t>
                            </w:r>
                            <w:bookmarkEnd w:id="27"/>
                          </w:p>
                          <w:p w:rsidR="002441D5" w:rsidRDefault="002441D5" w:rsidP="009D6230">
                            <w:pPr>
                              <w:spacing w:before="0" w:after="0"/>
                              <w:ind w:firstLine="0"/>
                              <w:jc w:val="center"/>
                            </w:pPr>
                            <w:r>
                              <w:rPr>
                                <w:noProof/>
                                <w:lang w:eastAsia="pl-PL"/>
                              </w:rPr>
                              <w:drawing>
                                <wp:inline distT="0" distB="0" distL="0" distR="0" wp14:anchorId="16EDC2A9" wp14:editId="3A5189A3">
                                  <wp:extent cx="3764342" cy="2258291"/>
                                  <wp:effectExtent l="0" t="0" r="7620" b="8890"/>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67467" cy="2260166"/>
                                          </a:xfrm>
                                          <a:prstGeom prst="rect">
                                            <a:avLst/>
                                          </a:prstGeom>
                                          <a:noFill/>
                                        </pic:spPr>
                                      </pic:pic>
                                    </a:graphicData>
                                  </a:graphic>
                                </wp:inline>
                              </w:drawing>
                            </w:r>
                          </w:p>
                          <w:p w:rsidR="002441D5" w:rsidRPr="001F259F" w:rsidRDefault="002441D5" w:rsidP="009D6230">
                            <w:pPr>
                              <w:spacing w:before="0"/>
                              <w:rPr>
                                <w:i/>
                                <w:sz w:val="18"/>
                                <w:szCs w:val="18"/>
                              </w:rPr>
                            </w:pPr>
                            <w:r w:rsidRPr="001F259F">
                              <w:rPr>
                                <w:i/>
                                <w:sz w:val="18"/>
                                <w:szCs w:val="18"/>
                              </w:rPr>
                              <w:t>Źródło: BDL GUS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157.15pt;margin-top:58.75pt;width:298.3pt;height:24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" stroked="f">
                <v:textbox>
                  <w:txbxContent>
                    <w:p w:rsidR="002441D5" w:rsidRPr="00163727" w:rsidRDefault="002441D5" w:rsidP="009D6230">
                      <w:pPr>
                        <w:pStyle w:val="Legenda"/>
                        <w:keepNext/>
                        <w:ind w:firstLine="0"/>
                        <w:rPr>
                          <w:color w:val="31B6FD" w:themeColor="accent1"/>
                        </w:rPr>
                      </w:pPr>
                      <w:bookmarkStart w:id="28" w:name="_Toc138068619"/>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11</w:t>
                      </w:r>
                      <w:r w:rsidRPr="00163727">
                        <w:rPr>
                          <w:noProof/>
                          <w:color w:val="31B6FD" w:themeColor="accent1"/>
                        </w:rPr>
                        <w:fldChar w:fldCharType="end"/>
                      </w:r>
                      <w:r w:rsidRPr="00163727">
                        <w:rPr>
                          <w:color w:val="31B6FD" w:themeColor="accent1"/>
                        </w:rPr>
                        <w:t>. Udział bezrobotnych zarejestrowanych w liczbie ludności w wieku produkcyjnym</w:t>
                      </w:r>
                      <w:bookmarkEnd w:id="28"/>
                    </w:p>
                    <w:p w:rsidR="002441D5" w:rsidRDefault="002441D5" w:rsidP="009D6230">
                      <w:pPr>
                        <w:spacing w:before="0" w:after="0"/>
                        <w:ind w:firstLine="0"/>
                        <w:jc w:val="center"/>
                      </w:pPr>
                      <w:r>
                        <w:rPr>
                          <w:noProof/>
                          <w:lang w:eastAsia="pl-PL"/>
                        </w:rPr>
                        <w:drawing>
                          <wp:inline distT="0" distB="0" distL="0" distR="0" wp14:anchorId="16EDC2A9" wp14:editId="3A5189A3">
                            <wp:extent cx="3764342" cy="2258291"/>
                            <wp:effectExtent l="0" t="0" r="7620" b="8890"/>
                            <wp:docPr id="497" name="Obraz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767467" cy="2260166"/>
                                    </a:xfrm>
                                    <a:prstGeom prst="rect">
                                      <a:avLst/>
                                    </a:prstGeom>
                                    <a:noFill/>
                                  </pic:spPr>
                                </pic:pic>
                              </a:graphicData>
                            </a:graphic>
                          </wp:inline>
                        </w:drawing>
                      </w:r>
                    </w:p>
                    <w:p w:rsidR="002441D5" w:rsidRPr="001F259F" w:rsidRDefault="002441D5" w:rsidP="009D6230">
                      <w:pPr>
                        <w:spacing w:before="0"/>
                        <w:rPr>
                          <w:i/>
                          <w:sz w:val="18"/>
                          <w:szCs w:val="18"/>
                        </w:rPr>
                      </w:pPr>
                      <w:r w:rsidRPr="001F259F">
                        <w:rPr>
                          <w:i/>
                          <w:sz w:val="18"/>
                          <w:szCs w:val="18"/>
                        </w:rPr>
                        <w:t>Źródło: BDL GUS</w:t>
                      </w:r>
                    </w:p>
                  </w:txbxContent>
                </v:textbox>
                <w10:wrap type="square"/>
              </v:shape>
            </w:pict>
          </mc:Fallback>
        </mc:AlternateContent>
      </w:r>
      <w:r w:rsidR="00E320BC" w:rsidRPr="00E320BC">
        <w:rPr>
          <w:rFonts w:ascii="Calibri" w:eastAsia="Candara" w:hAnsi="Calibri" w:cs="Times New Roman"/>
        </w:rPr>
        <w:t xml:space="preserve">HOF boryka się z problemami na rynku pracy związanymi z bezrobociem oraz niedostateczną liczbą miejsc pracy. </w:t>
      </w:r>
      <w:r w:rsidR="00E320BC" w:rsidRPr="00E320BC">
        <w:rPr>
          <w:rFonts w:ascii="Calibri" w:eastAsia="Candara" w:hAnsi="Calibri" w:cs="Times New Roman"/>
          <w:b/>
        </w:rPr>
        <w:t>Według danych PUP liczba bezrobotnych w 2019 roku w HOF kształtowała się na poziomie 1563 osób</w:t>
      </w:r>
      <w:r w:rsidR="00E320BC" w:rsidRPr="00E320BC">
        <w:rPr>
          <w:rFonts w:ascii="Calibri" w:eastAsia="Candara" w:hAnsi="Calibri" w:cs="Times New Roman"/>
        </w:rPr>
        <w:t xml:space="preserve">, (z czego 59,37% to osoby zamieszkałe w mieście Hrubieszów, a 40,63% w Gminie Hrubieszów). </w:t>
      </w:r>
      <w:r w:rsidR="00E320BC" w:rsidRPr="00E320BC">
        <w:rPr>
          <w:rFonts w:ascii="Calibri" w:eastAsia="Candara" w:hAnsi="Calibri" w:cs="Times New Roman"/>
          <w:b/>
        </w:rPr>
        <w:t>Liczba osób długotrwale bezrobotnych</w:t>
      </w:r>
      <w:r w:rsidR="00E320BC" w:rsidRPr="00E320BC">
        <w:rPr>
          <w:rFonts w:ascii="Calibri" w:eastAsia="Candara" w:hAnsi="Calibri" w:cs="Times New Roman"/>
          <w:b/>
          <w:vertAlign w:val="superscript"/>
        </w:rPr>
        <w:footnoteReference w:id="12"/>
      </w:r>
      <w:r w:rsidR="00E320BC" w:rsidRPr="00E320BC">
        <w:rPr>
          <w:rFonts w:ascii="Calibri" w:eastAsia="Candara" w:hAnsi="Calibri" w:cs="Times New Roman"/>
          <w:b/>
        </w:rPr>
        <w:t xml:space="preserve"> w 2019 roku wynosiła 419 (26,81% wszystkich bezrobotnych). </w:t>
      </w:r>
      <w:r w:rsidR="00E320BC" w:rsidRPr="00E320BC">
        <w:rPr>
          <w:rFonts w:ascii="Calibri" w:eastAsia="Candara" w:hAnsi="Calibri" w:cs="Times New Roman"/>
        </w:rPr>
        <w:t>Do zasiłku uprawnionych było 136 osób (8,7% osób bezrobotnych). Duży odsetek osób długotrwale bezrobotnych wskazuje na problem tzw. strukturalnego bezrobocia w HOF, czyli problem aktywizacji zawodowej osób długotrwale bezrobotnych.</w:t>
      </w:r>
    </w:p>
    <w:p w:rsid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Wskaźnik bezrobocia</w:t>
      </w:r>
      <w:r w:rsidRPr="00E320BC">
        <w:rPr>
          <w:rFonts w:ascii="Calibri" w:eastAsia="Candara" w:hAnsi="Calibri" w:cs="Times New Roman"/>
        </w:rPr>
        <w:t xml:space="preserve">, czyli udział osób bezrobotnych w liczbie ludności w wieku produkcyjnym, obrazuje stopień nasilenia zjawiska bezrobocia. </w:t>
      </w:r>
      <w:r w:rsidRPr="00E320BC">
        <w:rPr>
          <w:rFonts w:ascii="Calibri" w:eastAsia="Candara" w:hAnsi="Calibri" w:cs="Times New Roman"/>
          <w:b/>
        </w:rPr>
        <w:t>W 2019 roku wyniósł on 9,4%</w:t>
      </w:r>
      <w:r w:rsidRPr="00E320BC">
        <w:rPr>
          <w:rFonts w:ascii="Calibri" w:eastAsia="Candara" w:hAnsi="Calibri" w:cs="Times New Roman"/>
        </w:rPr>
        <w:t xml:space="preserve"> i był niemal równy z wartością tego wskaźnika dla powiatu hrubieszowskiego. W odniesieniu do wartości tego wskaźnika dla województwa (5,5%) HOF wypada pod tym względem niekorzystnie. W latach 2014-2019 wskaźnik dla HOF oraz powiatu hrubieszowskiego był na tym samym poziomie. Analiza danych również na obszarach funkcjonalnych grupy porównawczej obrazuje gorszy stan rynku pracy w HOF niż w MOF Krasnegostawu oraz w latach 2014-2016 lepszy niż w MOF Włodawy. Od 2017 roku wskaźnik osiąga niemal identyczne wartości jak dla MOF Włodawy. Może to potwierdzić tezę o słabości lokalnej gospodarki, a z drugiej strony może obrazować zjawisko niedostosowania kwalifikacji osób poszukujących pracy z potrzebami i oczekiwaniami pracodawców. Warto zwrócić uwagę, że wskaźnik ten do roku 2019 systematycznie spadał, co świadczy o wzroście gospodarczym.</w:t>
      </w:r>
    </w:p>
    <w:p w:rsidR="00405114" w:rsidRDefault="00405114" w:rsidP="00E320BC">
      <w:pPr>
        <w:spacing w:after="0"/>
        <w:ind w:left="284"/>
        <w:rPr>
          <w:rFonts w:ascii="Calibri" w:eastAsia="Candara" w:hAnsi="Calibri" w:cs="Times New Roman"/>
          <w:b/>
          <w:i/>
          <w:color w:val="936A07"/>
        </w:rPr>
      </w:pPr>
    </w:p>
    <w:p w:rsidR="00405114" w:rsidRDefault="00405114" w:rsidP="00E320BC">
      <w:pPr>
        <w:spacing w:after="0"/>
        <w:ind w:left="284"/>
        <w:rPr>
          <w:rFonts w:ascii="Calibri" w:eastAsia="Candara" w:hAnsi="Calibri" w:cs="Times New Roman"/>
          <w:b/>
          <w:i/>
          <w:color w:val="936A07"/>
        </w:rPr>
      </w:pPr>
    </w:p>
    <w:p w:rsidR="00E320BC" w:rsidRPr="00E320BC" w:rsidRDefault="004E12E1" w:rsidP="00E320BC">
      <w:pPr>
        <w:spacing w:after="0"/>
        <w:ind w:left="284"/>
        <w:rPr>
          <w:rFonts w:ascii="Calibri" w:eastAsia="Candara" w:hAnsi="Calibri" w:cs="Times New Roman"/>
        </w:rPr>
      </w:pPr>
      <w:r w:rsidRPr="00E320BC">
        <w:rPr>
          <w:rFonts w:ascii="Calibri" w:eastAsia="Candara" w:hAnsi="Calibri" w:cs="Times New Roman"/>
          <w:b/>
          <w:i/>
          <w:noProof/>
          <w:color w:val="F5C040"/>
          <w:lang w:eastAsia="pl-PL"/>
        </w:rPr>
        <w:lastRenderedPageBreak/>
        <mc:AlternateContent>
          <mc:Choice Requires="wps">
            <w:drawing>
              <wp:anchor distT="0" distB="0" distL="114300" distR="114300" simplePos="0" relativeHeight="251704320" behindDoc="0" locked="0" layoutInCell="1" allowOverlap="1" wp14:anchorId="4EB90D44" wp14:editId="2C3EBF6C">
                <wp:simplePos x="0" y="0"/>
                <wp:positionH relativeFrom="column">
                  <wp:posOffset>-79180</wp:posOffset>
                </wp:positionH>
                <wp:positionV relativeFrom="paragraph">
                  <wp:posOffset>2882</wp:posOffset>
                </wp:positionV>
                <wp:extent cx="5901055" cy="1465385"/>
                <wp:effectExtent l="0" t="0" r="23495" b="20955"/>
                <wp:wrapNone/>
                <wp:docPr id="50" name="Prostokąt 50"/>
                <wp:cNvGraphicFramePr/>
                <a:graphic xmlns:a="http://schemas.openxmlformats.org/drawingml/2006/main">
                  <a:graphicData uri="http://schemas.microsoft.com/office/word/2010/wordprocessingShape">
                    <wps:wsp>
                      <wps:cNvSpPr/>
                      <wps:spPr>
                        <a:xfrm>
                          <a:off x="0" y="0"/>
                          <a:ext cx="5901055" cy="1465385"/>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50" o:spid="_x0000_s1026" style="position:absolute;margin-left:-6.25pt;margin-top:.25pt;width:464.65pt;height:115.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" filled="f" strokecolor="#dc9f0c" strokeweight="1.25pt"/>
            </w:pict>
          </mc:Fallback>
        </mc:AlternateContent>
      </w:r>
      <w:r w:rsidR="00E320BC"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szCs w:val="20"/>
        </w:rPr>
      </w:pPr>
      <w:r w:rsidRPr="00E320BC">
        <w:rPr>
          <w:rFonts w:ascii="Calibri" w:eastAsia="Candara" w:hAnsi="Calibri" w:cs="Times New Roman"/>
          <w:i/>
          <w:color w:val="936A07"/>
        </w:rPr>
        <w:t xml:space="preserve">W ankiecie w pytaniu dotyczącym stanu i jakości strefy gospodarczej HOF obszar: </w:t>
      </w:r>
      <w:r w:rsidRPr="00E320BC">
        <w:rPr>
          <w:rFonts w:ascii="Calibri" w:eastAsia="Candara" w:hAnsi="Calibri" w:cs="Times New Roman"/>
          <w:i/>
          <w:color w:val="936A07"/>
          <w:szCs w:val="20"/>
        </w:rPr>
        <w:t>możliwość uzyskania zatrudnienia w Hrubieszowskim Obszarze Funkcjonalnym</w:t>
      </w:r>
      <w:r w:rsidRPr="00E320BC">
        <w:rPr>
          <w:rFonts w:ascii="Calibri" w:eastAsia="Candara" w:hAnsi="Calibri" w:cs="Times New Roman"/>
          <w:i/>
          <w:color w:val="936A07"/>
        </w:rPr>
        <w:t xml:space="preserve"> został oceniony najgorzej otrzymując noty </w:t>
      </w:r>
      <w:r w:rsidRPr="00E320BC">
        <w:rPr>
          <w:rFonts w:ascii="Calibri" w:eastAsia="Candara" w:hAnsi="Calibri" w:cs="Times New Roman"/>
          <w:i/>
          <w:color w:val="936A07"/>
          <w:szCs w:val="20"/>
        </w:rPr>
        <w:t>– 28,4% odpowiedzi w kategorii „bardzo zły” oraz 34,3% odpowiedzi w kategorii „zły”. Jednocześnie wymienionymi problemami, które najczęściej dotykają mieszkańców HOF jest brak atrakcjach miejsc pracy oraz bezrobocie. Jakość lokalnego rynku pracy również została słabo oceniona: 22,4% odpowiedzi „bardzo zły”, 46,3% „zły”, 23,9% odpowiedzi „</w:t>
      </w:r>
      <w:proofErr w:type="gramStart"/>
      <w:r w:rsidRPr="00E320BC">
        <w:rPr>
          <w:rFonts w:ascii="Calibri" w:eastAsia="Candara" w:hAnsi="Calibri" w:cs="Times New Roman"/>
          <w:i/>
          <w:color w:val="936A07"/>
          <w:szCs w:val="20"/>
        </w:rPr>
        <w:t>przeciętny”.</w:t>
      </w:r>
      <w:proofErr w:type="gramEnd"/>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Z porównania liczby mieszkańców w przedziale wiekowym 10-24 lat z liczbą mieszkańców w przedziale 50-64 lat wynika, </w:t>
      </w:r>
      <w:r w:rsidRPr="00E320BC">
        <w:rPr>
          <w:rFonts w:ascii="Calibri" w:eastAsia="Candara" w:hAnsi="Calibri" w:cs="Times New Roman"/>
          <w:b/>
        </w:rPr>
        <w:t>że w najbliższych latach w HOF nasili się problem niedoboru zasobów pracy.</w:t>
      </w:r>
      <w:r w:rsidRPr="00E320BC">
        <w:rPr>
          <w:rFonts w:ascii="Calibri" w:eastAsia="Candara" w:hAnsi="Calibri" w:cs="Times New Roman"/>
        </w:rPr>
        <w:t xml:space="preserve"> W latach 2018 i 2019 niedobór, </w:t>
      </w:r>
      <w:proofErr w:type="gramStart"/>
      <w:r w:rsidRPr="00E320BC">
        <w:rPr>
          <w:rFonts w:ascii="Calibri" w:eastAsia="Candara" w:hAnsi="Calibri" w:cs="Times New Roman"/>
        </w:rPr>
        <w:t>liczony jako</w:t>
      </w:r>
      <w:proofErr w:type="gramEnd"/>
      <w:r w:rsidRPr="00E320BC">
        <w:rPr>
          <w:rFonts w:ascii="Calibri" w:eastAsia="Candara" w:hAnsi="Calibri" w:cs="Times New Roman"/>
        </w:rPr>
        <w:t xml:space="preserve"> różnica liczby mieszkańców w wieku 10-24 i liczby mieszkańców w wieku 50-64 lat, wynosi około 2280 osób, a deficyt będzie się pogłębiał w miarę postępowania procesów starzenia się społeczeństwa w HOF i powiecie hrubieszowskim. </w:t>
      </w:r>
      <w:r w:rsidRPr="00E320BC">
        <w:rPr>
          <w:rFonts w:ascii="Calibri" w:eastAsia="Candara" w:hAnsi="Calibri" w:cs="Times New Roman"/>
          <w:b/>
        </w:rPr>
        <w:t>W praktyce oznacza to, że będą coraz większe trudności w zastąpieniu osób odchodzących na emeryturę osobami, które obecnie są w wieku przedprodukcyjnym. W próbie zwalczania coraz większego deficytu ludzi do pracy doraźnie pomaga sięganie po pracowników przyjeżdżających z Ukrainy.</w:t>
      </w:r>
      <w:r w:rsidRPr="00E320BC">
        <w:rPr>
          <w:rFonts w:ascii="Calibri" w:eastAsia="Candara" w:hAnsi="Calibri" w:cs="Times New Roman"/>
        </w:rPr>
        <w:t xml:space="preserve"> Zgodnie z danymi Powiatowego Urzędu Pracy w Hrubieszowie, w 2</w:t>
      </w:r>
      <w:r w:rsidR="009D6230">
        <w:rPr>
          <w:rFonts w:ascii="Calibri" w:eastAsia="Candara" w:hAnsi="Calibri" w:cs="Times New Roman"/>
        </w:rPr>
        <w:t>018 roku wydano 554 zezwoleń na </w:t>
      </w:r>
      <w:r w:rsidRPr="00E320BC">
        <w:rPr>
          <w:rFonts w:ascii="Calibri" w:eastAsia="Candara" w:hAnsi="Calibri" w:cs="Times New Roman"/>
        </w:rPr>
        <w:t xml:space="preserve">pracę sezonową dla obywateli Ukrainy, zaś w roku 2019 takich zezwoleń dla obywateli </w:t>
      </w:r>
      <w:r w:rsidR="004C7D9F">
        <w:rPr>
          <w:rFonts w:ascii="Calibri" w:eastAsia="Candara" w:hAnsi="Calibri" w:cs="Times New Roman"/>
        </w:rPr>
        <w:t>Ukrainy było 625</w:t>
      </w:r>
      <w:r w:rsidRPr="00E320BC">
        <w:rPr>
          <w:rFonts w:ascii="Calibri" w:eastAsia="Candara" w:hAnsi="Calibri" w:cs="Times New Roman"/>
        </w:rPr>
        <w:t>.</w:t>
      </w:r>
    </w:p>
    <w:p w:rsidR="00E320BC" w:rsidRPr="00E320BC" w:rsidRDefault="00B36889" w:rsidP="00E320BC">
      <w:pPr>
        <w:spacing w:after="0"/>
        <w:ind w:firstLine="357"/>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698176" behindDoc="0" locked="0" layoutInCell="1" allowOverlap="1" wp14:anchorId="7E426447" wp14:editId="540DF406">
                <wp:simplePos x="0" y="0"/>
                <wp:positionH relativeFrom="column">
                  <wp:posOffset>-18415</wp:posOffset>
                </wp:positionH>
                <wp:positionV relativeFrom="paragraph">
                  <wp:posOffset>-1164590</wp:posOffset>
                </wp:positionV>
                <wp:extent cx="3380105" cy="2499360"/>
                <wp:effectExtent l="0" t="0" r="0" b="0"/>
                <wp:wrapSquare wrapText="bothSides"/>
                <wp:docPr id="3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0105" cy="2499360"/>
                        </a:xfrm>
                        <a:prstGeom prst="rect">
                          <a:avLst/>
                        </a:prstGeom>
                        <a:solidFill>
                          <a:srgbClr val="FFFFFF"/>
                        </a:solidFill>
                        <a:ln w="9525">
                          <a:noFill/>
                          <a:miter lim="800000"/>
                          <a:headEnd/>
                          <a:tailEnd/>
                        </a:ln>
                      </wps:spPr>
                      <wps:txbx>
                        <w:txbxContent>
                          <w:p w:rsidR="002441D5" w:rsidRPr="00163727" w:rsidRDefault="002441D5" w:rsidP="009D6230">
                            <w:pPr>
                              <w:pStyle w:val="Legenda"/>
                              <w:keepNext/>
                              <w:ind w:firstLine="0"/>
                              <w:rPr>
                                <w:color w:val="31B6FD" w:themeColor="accent1"/>
                              </w:rPr>
                            </w:pPr>
                            <w:bookmarkStart w:id="29" w:name="_Toc138068620"/>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12</w:t>
                            </w:r>
                            <w:r w:rsidRPr="00163727">
                              <w:rPr>
                                <w:noProof/>
                                <w:color w:val="31B6FD" w:themeColor="accent1"/>
                              </w:rPr>
                              <w:fldChar w:fldCharType="end"/>
                            </w:r>
                            <w:r w:rsidRPr="00163727">
                              <w:rPr>
                                <w:color w:val="31B6FD" w:themeColor="accent1"/>
                              </w:rPr>
                              <w:t>. Różnica liczby mieszkańców w wieku 10-24 i 50-64 lat w HOF</w:t>
                            </w:r>
                            <w:bookmarkEnd w:id="29"/>
                          </w:p>
                          <w:p w:rsidR="002441D5" w:rsidRDefault="002441D5" w:rsidP="009D6230">
                            <w:pPr>
                              <w:spacing w:before="0" w:after="0"/>
                              <w:ind w:firstLine="0"/>
                            </w:pPr>
                            <w:r w:rsidRPr="001F259F">
                              <w:rPr>
                                <w:noProof/>
                                <w:lang w:eastAsia="pl-PL"/>
                              </w:rPr>
                              <w:drawing>
                                <wp:inline distT="0" distB="0" distL="0" distR="0" wp14:anchorId="02C29B83" wp14:editId="7ED4A018">
                                  <wp:extent cx="2954301" cy="1766454"/>
                                  <wp:effectExtent l="0" t="0" r="0" b="5715"/>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6455" cy="1767742"/>
                                          </a:xfrm>
                                          <a:prstGeom prst="rect">
                                            <a:avLst/>
                                          </a:prstGeom>
                                          <a:noFill/>
                                          <a:ln>
                                            <a:noFill/>
                                          </a:ln>
                                        </pic:spPr>
                                      </pic:pic>
                                    </a:graphicData>
                                  </a:graphic>
                                </wp:inline>
                              </w:drawing>
                            </w:r>
                          </w:p>
                          <w:p w:rsidR="002441D5" w:rsidRPr="001F259F" w:rsidRDefault="002441D5" w:rsidP="009D6230">
                            <w:pPr>
                              <w:spacing w:before="0"/>
                              <w:rPr>
                                <w:i/>
                                <w:sz w:val="18"/>
                                <w:szCs w:val="18"/>
                              </w:rPr>
                            </w:pPr>
                            <w:r w:rsidRPr="001F259F">
                              <w:rPr>
                                <w:i/>
                                <w:sz w:val="18"/>
                                <w:szCs w:val="18"/>
                              </w:rPr>
                              <w:t>Źródło: BDL GUS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1.45pt;margin-top:-91.7pt;width:266.15pt;height:196.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" stroked="f">
                <v:textbox>
                  <w:txbxContent>
                    <w:p w:rsidR="002441D5" w:rsidRPr="00163727" w:rsidRDefault="002441D5" w:rsidP="009D6230">
                      <w:pPr>
                        <w:pStyle w:val="Legenda"/>
                        <w:keepNext/>
                        <w:ind w:firstLine="0"/>
                        <w:rPr>
                          <w:color w:val="31B6FD" w:themeColor="accent1"/>
                        </w:rPr>
                      </w:pPr>
                      <w:bookmarkStart w:id="30" w:name="_Toc138068620"/>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12</w:t>
                      </w:r>
                      <w:r w:rsidRPr="00163727">
                        <w:rPr>
                          <w:noProof/>
                          <w:color w:val="31B6FD" w:themeColor="accent1"/>
                        </w:rPr>
                        <w:fldChar w:fldCharType="end"/>
                      </w:r>
                      <w:r w:rsidRPr="00163727">
                        <w:rPr>
                          <w:color w:val="31B6FD" w:themeColor="accent1"/>
                        </w:rPr>
                        <w:t>. Różnica liczby mieszkańców w wieku 10-24 i 50-64 lat w HOF</w:t>
                      </w:r>
                      <w:bookmarkEnd w:id="30"/>
                    </w:p>
                    <w:p w:rsidR="002441D5" w:rsidRDefault="002441D5" w:rsidP="009D6230">
                      <w:pPr>
                        <w:spacing w:before="0" w:after="0"/>
                        <w:ind w:firstLine="0"/>
                      </w:pPr>
                      <w:r w:rsidRPr="001F259F">
                        <w:rPr>
                          <w:noProof/>
                          <w:lang w:eastAsia="pl-PL"/>
                        </w:rPr>
                        <w:drawing>
                          <wp:inline distT="0" distB="0" distL="0" distR="0" wp14:anchorId="02C29B83" wp14:editId="7ED4A018">
                            <wp:extent cx="2954301" cy="1766454"/>
                            <wp:effectExtent l="0" t="0" r="0" b="5715"/>
                            <wp:docPr id="499" name="Obraz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56455" cy="1767742"/>
                                    </a:xfrm>
                                    <a:prstGeom prst="rect">
                                      <a:avLst/>
                                    </a:prstGeom>
                                    <a:noFill/>
                                    <a:ln>
                                      <a:noFill/>
                                    </a:ln>
                                  </pic:spPr>
                                </pic:pic>
                              </a:graphicData>
                            </a:graphic>
                          </wp:inline>
                        </w:drawing>
                      </w:r>
                    </w:p>
                    <w:p w:rsidR="002441D5" w:rsidRPr="001F259F" w:rsidRDefault="002441D5" w:rsidP="009D6230">
                      <w:pPr>
                        <w:spacing w:before="0"/>
                        <w:rPr>
                          <w:i/>
                          <w:sz w:val="18"/>
                          <w:szCs w:val="18"/>
                        </w:rPr>
                      </w:pPr>
                      <w:r w:rsidRPr="001F259F">
                        <w:rPr>
                          <w:i/>
                          <w:sz w:val="18"/>
                          <w:szCs w:val="18"/>
                        </w:rPr>
                        <w:t>Źródło: BDL GUS</w:t>
                      </w:r>
                    </w:p>
                  </w:txbxContent>
                </v:textbox>
                <w10:wrap type="square"/>
              </v:shape>
            </w:pict>
          </mc:Fallback>
        </mc:AlternateContent>
      </w:r>
      <w:r w:rsidR="00E320BC" w:rsidRPr="00E320BC">
        <w:rPr>
          <w:rFonts w:ascii="Calibri" w:eastAsia="Candara" w:hAnsi="Calibri" w:cs="Times New Roman"/>
          <w:b/>
        </w:rPr>
        <w:t>Liczba absolwentów szkół średnich obrazuje ilu młodych ludzi z kwalifikacjami zwiększyło potencjał siły roboczej. Od 2010 roku na terenie HOF liczba ta regularnie spada.</w:t>
      </w:r>
      <w:r w:rsidR="00E320BC" w:rsidRPr="00E320BC">
        <w:rPr>
          <w:rFonts w:ascii="Calibri" w:eastAsia="Candara" w:hAnsi="Calibri" w:cs="Times New Roman"/>
        </w:rPr>
        <w:t xml:space="preserve"> Taki sam trend notowany jest w obszarach funkcjonalnych grupy porównawczej. </w:t>
      </w:r>
    </w:p>
    <w:p w:rsidR="00E320BC" w:rsidRPr="00E320BC" w:rsidRDefault="00E320BC" w:rsidP="00E320BC">
      <w:pPr>
        <w:keepNext/>
        <w:spacing w:after="0" w:line="240" w:lineRule="auto"/>
        <w:ind w:firstLine="357"/>
        <w:rPr>
          <w:rFonts w:ascii="Calibri" w:eastAsia="Candara" w:hAnsi="Calibri" w:cs="Times New Roman"/>
          <w:b/>
          <w:bCs/>
          <w:color w:val="31B6FD"/>
          <w:sz w:val="18"/>
          <w:szCs w:val="18"/>
        </w:rPr>
      </w:pPr>
      <w:bookmarkStart w:id="31" w:name="_Toc138068533"/>
      <w:r w:rsidRPr="00E320BC">
        <w:rPr>
          <w:rFonts w:ascii="Calibri" w:eastAsia="Candara" w:hAnsi="Calibri" w:cs="Times New Roman"/>
          <w:b/>
          <w:bCs/>
          <w:color w:val="31B6FD"/>
          <w:sz w:val="18"/>
          <w:szCs w:val="18"/>
        </w:rPr>
        <w:t xml:space="preserve">Tabela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Tabela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3</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Liczba absolwentów szkół średnich</w:t>
      </w:r>
      <w:bookmarkEnd w:id="31"/>
    </w:p>
    <w:tbl>
      <w:tblPr>
        <w:tblStyle w:val="Jasnasiatkaakcent21"/>
        <w:tblW w:w="0" w:type="auto"/>
        <w:tblLook w:val="04A0" w:firstRow="1" w:lastRow="0" w:firstColumn="1" w:lastColumn="0" w:noHBand="0" w:noVBand="1"/>
      </w:tblPr>
      <w:tblGrid>
        <w:gridCol w:w="837"/>
        <w:gridCol w:w="837"/>
        <w:gridCol w:w="837"/>
        <w:gridCol w:w="837"/>
        <w:gridCol w:w="837"/>
        <w:gridCol w:w="837"/>
        <w:gridCol w:w="838"/>
        <w:gridCol w:w="838"/>
        <w:gridCol w:w="838"/>
        <w:gridCol w:w="838"/>
        <w:gridCol w:w="838"/>
      </w:tblGrid>
      <w:tr w:rsidR="00E320BC" w:rsidRPr="00E320BC" w:rsidTr="00E320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7" w:type="dxa"/>
            <w:tcBorders>
              <w:top w:val="nil"/>
              <w:left w:val="nil"/>
            </w:tcBorders>
          </w:tcPr>
          <w:p w:rsidR="00E320BC" w:rsidRPr="00E320BC" w:rsidRDefault="00E320BC" w:rsidP="00E320BC">
            <w:pPr>
              <w:rPr>
                <w:rFonts w:ascii="Calibri" w:hAnsi="Calibri"/>
              </w:rPr>
            </w:pPr>
          </w:p>
        </w:tc>
        <w:tc>
          <w:tcPr>
            <w:tcW w:w="837"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2010</w:t>
            </w:r>
          </w:p>
        </w:tc>
        <w:tc>
          <w:tcPr>
            <w:tcW w:w="837"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2011</w:t>
            </w:r>
          </w:p>
        </w:tc>
        <w:tc>
          <w:tcPr>
            <w:tcW w:w="837"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2012</w:t>
            </w:r>
          </w:p>
        </w:tc>
        <w:tc>
          <w:tcPr>
            <w:tcW w:w="837"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2013</w:t>
            </w:r>
          </w:p>
        </w:tc>
        <w:tc>
          <w:tcPr>
            <w:tcW w:w="837"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2014</w:t>
            </w:r>
          </w:p>
        </w:tc>
        <w:tc>
          <w:tcPr>
            <w:tcW w:w="838"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2015</w:t>
            </w:r>
          </w:p>
        </w:tc>
        <w:tc>
          <w:tcPr>
            <w:tcW w:w="838"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2016</w:t>
            </w:r>
          </w:p>
        </w:tc>
        <w:tc>
          <w:tcPr>
            <w:tcW w:w="838"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2017</w:t>
            </w:r>
          </w:p>
        </w:tc>
        <w:tc>
          <w:tcPr>
            <w:tcW w:w="838"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2018</w:t>
            </w:r>
          </w:p>
        </w:tc>
        <w:tc>
          <w:tcPr>
            <w:tcW w:w="838" w:type="dxa"/>
          </w:tcPr>
          <w:p w:rsidR="00E320BC" w:rsidRPr="00E320BC" w:rsidRDefault="00E320BC" w:rsidP="00E320BC">
            <w:pPr>
              <w:ind w:firstLine="14"/>
              <w:jc w:val="center"/>
              <w:cnfStyle w:val="100000000000" w:firstRow="1" w:lastRow="0" w:firstColumn="0" w:lastColumn="0" w:oddVBand="0" w:evenVBand="0" w:oddHBand="0" w:evenHBand="0" w:firstRowFirstColumn="0" w:firstRowLastColumn="0" w:lastRowFirstColumn="0" w:lastRowLastColumn="0"/>
              <w:rPr>
                <w:rFonts w:ascii="Calibri" w:hAnsi="Calibri"/>
                <w:sz w:val="20"/>
                <w:szCs w:val="20"/>
              </w:rPr>
            </w:pPr>
            <w:r w:rsidRPr="00E320BC">
              <w:rPr>
                <w:rFonts w:ascii="Calibri" w:hAnsi="Calibri"/>
                <w:sz w:val="20"/>
                <w:szCs w:val="20"/>
              </w:rPr>
              <w:t>2019</w:t>
            </w:r>
          </w:p>
        </w:tc>
      </w:tr>
      <w:tr w:rsidR="00E320BC" w:rsidRPr="00E320BC" w:rsidTr="00E320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7" w:type="dxa"/>
          </w:tcPr>
          <w:p w:rsidR="00E320BC" w:rsidRPr="00E320BC" w:rsidRDefault="00E320BC" w:rsidP="009D6230">
            <w:pPr>
              <w:ind w:firstLine="0"/>
              <w:rPr>
                <w:rFonts w:ascii="Calibri" w:hAnsi="Calibri"/>
              </w:rPr>
            </w:pPr>
            <w:r w:rsidRPr="00E320BC">
              <w:rPr>
                <w:rFonts w:ascii="Calibri" w:hAnsi="Calibri"/>
              </w:rPr>
              <w:t>HOF</w:t>
            </w:r>
          </w:p>
        </w:tc>
        <w:tc>
          <w:tcPr>
            <w:tcW w:w="837"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619</w:t>
            </w:r>
          </w:p>
        </w:tc>
        <w:tc>
          <w:tcPr>
            <w:tcW w:w="837"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553</w:t>
            </w:r>
          </w:p>
        </w:tc>
        <w:tc>
          <w:tcPr>
            <w:tcW w:w="837"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575</w:t>
            </w:r>
          </w:p>
        </w:tc>
        <w:tc>
          <w:tcPr>
            <w:tcW w:w="837"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580</w:t>
            </w:r>
          </w:p>
        </w:tc>
        <w:tc>
          <w:tcPr>
            <w:tcW w:w="837"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518</w:t>
            </w:r>
          </w:p>
        </w:tc>
        <w:tc>
          <w:tcPr>
            <w:tcW w:w="838"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491</w:t>
            </w:r>
          </w:p>
        </w:tc>
        <w:tc>
          <w:tcPr>
            <w:tcW w:w="838"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490</w:t>
            </w:r>
          </w:p>
        </w:tc>
        <w:tc>
          <w:tcPr>
            <w:tcW w:w="838"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445</w:t>
            </w:r>
          </w:p>
        </w:tc>
        <w:tc>
          <w:tcPr>
            <w:tcW w:w="838"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454</w:t>
            </w:r>
          </w:p>
        </w:tc>
        <w:tc>
          <w:tcPr>
            <w:tcW w:w="838" w:type="dxa"/>
          </w:tcPr>
          <w:p w:rsidR="00E320BC" w:rsidRPr="00E320BC" w:rsidRDefault="00E320BC" w:rsidP="00E320BC">
            <w:pPr>
              <w:ind w:firstLine="14"/>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370</w:t>
            </w:r>
          </w:p>
        </w:tc>
      </w:tr>
    </w:tbl>
    <w:p w:rsidR="00E320BC" w:rsidRPr="00E320BC" w:rsidRDefault="00E320BC" w:rsidP="00E320BC">
      <w:pPr>
        <w:spacing w:after="240"/>
        <w:ind w:firstLine="708"/>
        <w:rPr>
          <w:rFonts w:ascii="Calibri" w:eastAsia="Candara" w:hAnsi="Calibri" w:cs="Times New Roman"/>
          <w:i/>
          <w:sz w:val="18"/>
          <w:szCs w:val="18"/>
        </w:rPr>
      </w:pPr>
      <w:r w:rsidRPr="00E320BC">
        <w:rPr>
          <w:rFonts w:ascii="Calibri" w:eastAsia="Candara" w:hAnsi="Calibri" w:cs="Times New Roman"/>
          <w:i/>
          <w:sz w:val="18"/>
          <w:szCs w:val="18"/>
        </w:rPr>
        <w:t>Źródło: Opracowanie własne na podstawie MRL</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Dobrze rozwinięta infrastruktura edukacyjna może stanowić dobrą podstawę do kształcenia przyszłych kadr pod obecne i przyszłe potrzeby rozwojowe HOF</w:t>
      </w:r>
      <w:r w:rsidRPr="00E320BC">
        <w:rPr>
          <w:rFonts w:ascii="Calibri" w:eastAsia="Candara" w:hAnsi="Calibri" w:cs="Times New Roman"/>
        </w:rPr>
        <w:t>, w tym te związane np. z rozwojem usług służb mundurowych dzięki kształceniu służb mundurowych w Liceum Ogólnokształcącym przy Zespole Szkół nr 3.</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Na terenie HOF podaż ofert pracy ze strony lokalnych pracodawców jest w miarę nieduża, rynek pracy rozwija się wolno</w:t>
      </w:r>
      <w:r w:rsidRPr="00E320BC">
        <w:rPr>
          <w:rFonts w:ascii="Calibri" w:eastAsia="Candara" w:hAnsi="Calibri" w:cs="Times New Roman"/>
        </w:rPr>
        <w:t>, co wynika z tępa rozwoju lokalnej gospodarki, która w miarę powoli tworzy nowe miejsca pracy i w związku z tym generuje mniejsze zapotrzebowanie na pracowników.</w:t>
      </w:r>
    </w:p>
    <w:p w:rsidR="00E320BC" w:rsidRPr="00E320BC" w:rsidRDefault="00E320BC" w:rsidP="00E320BC">
      <w:pPr>
        <w:keepNext/>
        <w:spacing w:after="0" w:line="240" w:lineRule="auto"/>
        <w:ind w:firstLine="357"/>
        <w:rPr>
          <w:rFonts w:ascii="Calibri" w:eastAsia="Candara" w:hAnsi="Calibri" w:cs="Times New Roman"/>
          <w:b/>
          <w:bCs/>
          <w:color w:val="31B6FD"/>
          <w:sz w:val="18"/>
          <w:szCs w:val="18"/>
        </w:rPr>
      </w:pPr>
      <w:bookmarkStart w:id="32" w:name="_Toc138068534"/>
      <w:r w:rsidRPr="00E320BC">
        <w:rPr>
          <w:rFonts w:ascii="Calibri" w:eastAsia="Candara" w:hAnsi="Calibri" w:cs="Times New Roman"/>
          <w:b/>
          <w:bCs/>
          <w:color w:val="31B6FD"/>
          <w:sz w:val="18"/>
          <w:szCs w:val="18"/>
        </w:rPr>
        <w:lastRenderedPageBreak/>
        <w:t xml:space="preserve">Tabela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Tabela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4</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Zawody deficytowe oraz nadwyżkowe dla powiatu hrubieszowskiego na rok 2021</w:t>
      </w:r>
      <w:bookmarkEnd w:id="32"/>
    </w:p>
    <w:tbl>
      <w:tblPr>
        <w:tblStyle w:val="Jasnasiatkaakcent21"/>
        <w:tblW w:w="0" w:type="auto"/>
        <w:tblLook w:val="04A0" w:firstRow="1" w:lastRow="0" w:firstColumn="1" w:lastColumn="0" w:noHBand="0" w:noVBand="1"/>
      </w:tblPr>
      <w:tblGrid>
        <w:gridCol w:w="4606"/>
        <w:gridCol w:w="4606"/>
      </w:tblGrid>
      <w:tr w:rsidR="00E320BC" w:rsidRPr="00E320BC" w:rsidTr="00E320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E320BC" w:rsidRPr="00E320BC" w:rsidRDefault="00E320BC" w:rsidP="00E320BC">
            <w:pPr>
              <w:jc w:val="center"/>
              <w:rPr>
                <w:rFonts w:ascii="Calibri" w:hAnsi="Calibri"/>
              </w:rPr>
            </w:pPr>
            <w:r w:rsidRPr="00E320BC">
              <w:rPr>
                <w:rFonts w:ascii="Calibri" w:hAnsi="Calibri"/>
              </w:rPr>
              <w:t>Zawody deficytowe</w:t>
            </w:r>
          </w:p>
        </w:tc>
        <w:tc>
          <w:tcPr>
            <w:tcW w:w="4606" w:type="dxa"/>
          </w:tcPr>
          <w:p w:rsidR="00E320BC" w:rsidRPr="00E320BC" w:rsidRDefault="00E320BC" w:rsidP="00E320BC">
            <w:pPr>
              <w:jc w:val="center"/>
              <w:cnfStyle w:val="100000000000" w:firstRow="1" w:lastRow="0" w:firstColumn="0" w:lastColumn="0" w:oddVBand="0" w:evenVBand="0" w:oddHBand="0" w:evenHBand="0" w:firstRowFirstColumn="0" w:firstRowLastColumn="0" w:lastRowFirstColumn="0" w:lastRowLastColumn="0"/>
              <w:rPr>
                <w:rFonts w:ascii="Calibri" w:hAnsi="Calibri"/>
              </w:rPr>
            </w:pPr>
            <w:r w:rsidRPr="00E320BC">
              <w:rPr>
                <w:rFonts w:ascii="Calibri" w:hAnsi="Calibri"/>
              </w:rPr>
              <w:t>Zawody nadwyżkowe</w:t>
            </w:r>
          </w:p>
        </w:tc>
      </w:tr>
      <w:tr w:rsidR="00E320BC" w:rsidRPr="00E320BC" w:rsidTr="00E320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tcPr>
          <w:p w:rsidR="00E320BC" w:rsidRPr="007B27EA" w:rsidRDefault="00E320BC" w:rsidP="00F847D5">
            <w:pPr>
              <w:ind w:firstLine="0"/>
              <w:rPr>
                <w:rFonts w:ascii="Calibri" w:hAnsi="Calibri"/>
                <w:b w:val="0"/>
                <w:sz w:val="20"/>
                <w:szCs w:val="20"/>
              </w:rPr>
            </w:pPr>
            <w:proofErr w:type="gramStart"/>
            <w:r w:rsidRPr="007B27EA">
              <w:rPr>
                <w:rFonts w:ascii="Calibri" w:hAnsi="Calibri"/>
                <w:b w:val="0"/>
                <w:sz w:val="20"/>
                <w:szCs w:val="20"/>
              </w:rPr>
              <w:t>administratorzy</w:t>
            </w:r>
            <w:proofErr w:type="gramEnd"/>
            <w:r w:rsidRPr="007B27EA">
              <w:rPr>
                <w:rFonts w:ascii="Calibri" w:hAnsi="Calibri"/>
                <w:b w:val="0"/>
                <w:sz w:val="20"/>
                <w:szCs w:val="20"/>
              </w:rPr>
              <w:t xml:space="preserve"> stron internetowych, elektrycy, elektromechanicy i elektromonterzy, geodeci i kartografowie, graficy komputerowi, inżynierowie elektrycy i energetycy, kierowcy samochodów ciężarowych i ciągników siodłowych, kierownicy budowy, lekarze, nauczyciele języków obcych i lektorzy, pielęgniarki i położne, pracownicy ds. rachunkowości i księgowości, pracownicy służb mundurowych, projektanci i administratorzy baz danych, programiści, ratownicy medyczni, samodzielni księgowi, spawacze, szefowie kuchni.</w:t>
            </w:r>
          </w:p>
        </w:tc>
        <w:tc>
          <w:tcPr>
            <w:tcW w:w="4606" w:type="dxa"/>
          </w:tcPr>
          <w:p w:rsidR="00E320BC" w:rsidRPr="00E320BC" w:rsidRDefault="00E320BC" w:rsidP="00F847D5">
            <w:pPr>
              <w:ind w:firstLine="0"/>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sz w:val="20"/>
                <w:szCs w:val="20"/>
              </w:rPr>
            </w:pPr>
            <w:proofErr w:type="gramStart"/>
            <w:r w:rsidRPr="00E320BC">
              <w:rPr>
                <w:rFonts w:ascii="Calibri" w:eastAsia="Candara" w:hAnsi="Calibri" w:cs="Times New Roman"/>
                <w:sz w:val="20"/>
                <w:szCs w:val="20"/>
              </w:rPr>
              <w:t>brukarze</w:t>
            </w:r>
            <w:proofErr w:type="gramEnd"/>
            <w:r w:rsidRPr="00E320BC">
              <w:rPr>
                <w:rFonts w:ascii="Calibri" w:eastAsia="Candara" w:hAnsi="Calibri" w:cs="Times New Roman"/>
                <w:sz w:val="20"/>
                <w:szCs w:val="20"/>
              </w:rPr>
              <w:t>, ekonomiści, filolodzy i tłumacze, filozofowie, historycy, politolodzy i kulturoznawcy, kosmetyczki, krawcy i pracownicy produkcji odzieży, kucharze, magazynierzy, mechanicy maszyn i urządzeń, pedagodzy, pracownicy biur podróży i organizatorzy obsługi turystycznej, pracownicy przetwórstwa spożywczego, rolnicy i hodowcy, sekretarki i asystenci, specjaliści administracji publicznej, specjaliści technologii żywności i żywienia, technicy budownictwa, technicy informatycy, technicy mechanicy.</w:t>
            </w:r>
          </w:p>
        </w:tc>
      </w:tr>
    </w:tbl>
    <w:p w:rsidR="00E320BC" w:rsidRPr="00E320BC" w:rsidRDefault="00E320BC" w:rsidP="00E320BC">
      <w:pPr>
        <w:spacing w:after="0"/>
        <w:ind w:firstLine="357"/>
        <w:rPr>
          <w:rFonts w:ascii="Calibri" w:eastAsia="Candara" w:hAnsi="Calibri" w:cs="Times New Roman"/>
          <w:i/>
          <w:sz w:val="18"/>
          <w:szCs w:val="18"/>
        </w:rPr>
      </w:pPr>
      <w:r w:rsidRPr="00F847D5">
        <w:rPr>
          <w:rFonts w:ascii="Calibri" w:eastAsia="Candara" w:hAnsi="Calibri" w:cs="Times New Roman"/>
          <w:i/>
          <w:sz w:val="18"/>
          <w:szCs w:val="18"/>
        </w:rPr>
        <w:t xml:space="preserve">Źródło: </w:t>
      </w:r>
      <w:r w:rsidR="0012310D" w:rsidRPr="00F847D5">
        <w:rPr>
          <w:rFonts w:ascii="Calibri" w:eastAsia="Candara" w:hAnsi="Calibri" w:cs="Times New Roman"/>
          <w:i/>
          <w:sz w:val="18"/>
          <w:szCs w:val="18"/>
        </w:rPr>
        <w:t>https</w:t>
      </w:r>
      <w:proofErr w:type="gramStart"/>
      <w:r w:rsidR="0012310D" w:rsidRPr="00F847D5">
        <w:rPr>
          <w:rFonts w:ascii="Calibri" w:eastAsia="Candara" w:hAnsi="Calibri" w:cs="Times New Roman"/>
          <w:i/>
          <w:sz w:val="18"/>
          <w:szCs w:val="18"/>
        </w:rPr>
        <w:t>://barometrzawodow</w:t>
      </w:r>
      <w:proofErr w:type="gramEnd"/>
      <w:r w:rsidR="0012310D" w:rsidRPr="00F847D5">
        <w:rPr>
          <w:rFonts w:ascii="Calibri" w:eastAsia="Candara" w:hAnsi="Calibri" w:cs="Times New Roman"/>
          <w:i/>
          <w:sz w:val="18"/>
          <w:szCs w:val="18"/>
        </w:rPr>
        <w:t>.</w:t>
      </w:r>
      <w:proofErr w:type="gramStart"/>
      <w:r w:rsidR="0012310D" w:rsidRPr="00F847D5">
        <w:rPr>
          <w:rFonts w:ascii="Calibri" w:eastAsia="Candara" w:hAnsi="Calibri" w:cs="Times New Roman"/>
          <w:i/>
          <w:sz w:val="18"/>
          <w:szCs w:val="18"/>
        </w:rPr>
        <w:t>pl</w:t>
      </w:r>
      <w:proofErr w:type="gramEnd"/>
      <w:r w:rsidR="0012310D" w:rsidRPr="00F847D5">
        <w:rPr>
          <w:rFonts w:ascii="Calibri" w:eastAsia="Candara" w:hAnsi="Calibri" w:cs="Times New Roman"/>
          <w:i/>
          <w:sz w:val="18"/>
          <w:szCs w:val="18"/>
        </w:rPr>
        <w:t>/modul/publikacje?</w:t>
      </w:r>
      <w:proofErr w:type="gramStart"/>
      <w:r w:rsidR="0012310D" w:rsidRPr="00F847D5">
        <w:rPr>
          <w:rFonts w:ascii="Calibri" w:eastAsia="Candara" w:hAnsi="Calibri" w:cs="Times New Roman"/>
          <w:i/>
          <w:sz w:val="18"/>
          <w:szCs w:val="18"/>
        </w:rPr>
        <w:t>publication</w:t>
      </w:r>
      <w:proofErr w:type="gramEnd"/>
      <w:r w:rsidR="0012310D" w:rsidRPr="00F847D5">
        <w:rPr>
          <w:rFonts w:ascii="Calibri" w:eastAsia="Candara" w:hAnsi="Calibri" w:cs="Times New Roman"/>
          <w:i/>
          <w:sz w:val="18"/>
          <w:szCs w:val="18"/>
        </w:rPr>
        <w:t>=county&amp;province=3&amp;county=79&amp;year=2021</w:t>
      </w:r>
    </w:p>
    <w:p w:rsidR="0076053D" w:rsidRPr="00E320BC" w:rsidRDefault="0076053D" w:rsidP="0076053D">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Turystyka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 xml:space="preserve">Hrubieszowski Obszar Funkcjonalny to miejsce o dużym potencjale turystycznym i rekreacyjnym, dzięki korzystnym warunkom przyrodniczym i kulturowym, szczególnie położeniu geograficznemu, walorom krajobrazowym, czystemu środowisku naturalnemu, bogatej tradycji kulturowej i ciekawym zabytkom i </w:t>
      </w:r>
      <w:r w:rsidR="0076053D" w:rsidRPr="00E320BC">
        <w:rPr>
          <w:rFonts w:ascii="Calibri" w:eastAsia="Candara" w:hAnsi="Calibri" w:cs="Times New Roman"/>
          <w:b/>
        </w:rPr>
        <w:t xml:space="preserve">rozbudowanej sieci ścieżek turystycznych oraz </w:t>
      </w:r>
      <w:r w:rsidR="0076053D">
        <w:rPr>
          <w:rFonts w:ascii="Calibri" w:eastAsia="Candara" w:hAnsi="Calibri" w:cs="Times New Roman"/>
          <w:b/>
        </w:rPr>
        <w:t xml:space="preserve">tras </w:t>
      </w:r>
      <w:r w:rsidR="0076053D" w:rsidRPr="00E320BC">
        <w:rPr>
          <w:rFonts w:ascii="Calibri" w:eastAsia="Candara" w:hAnsi="Calibri" w:cs="Times New Roman"/>
          <w:b/>
        </w:rPr>
        <w:t>rowerowych.</w:t>
      </w:r>
      <w:r w:rsidR="0076053D" w:rsidRPr="00E320BC">
        <w:rPr>
          <w:rFonts w:ascii="Calibri" w:eastAsia="Candara" w:hAnsi="Calibri" w:cs="Times New Roman"/>
        </w:rPr>
        <w:t xml:space="preserve"> </w:t>
      </w:r>
      <w:r w:rsidRPr="00E320BC">
        <w:rPr>
          <w:rFonts w:ascii="Calibri" w:eastAsia="Candara" w:hAnsi="Calibri" w:cs="Times New Roman"/>
        </w:rPr>
        <w:t xml:space="preserve"> Szczegółowo walory przyrodnicze i kulturowe zostały opisane w podrozdziałach dotyczących sfery środowiskowej i kulturowej.</w:t>
      </w:r>
    </w:p>
    <w:p w:rsidR="00E320BC" w:rsidRPr="00E320BC" w:rsidRDefault="00E320BC" w:rsidP="00E320BC">
      <w:pPr>
        <w:spacing w:after="120"/>
        <w:ind w:firstLine="357"/>
        <w:rPr>
          <w:rFonts w:ascii="Calibri" w:eastAsia="Candara" w:hAnsi="Calibri" w:cs="Times New Roman"/>
        </w:rPr>
      </w:pPr>
      <w:r w:rsidRPr="00E320BC">
        <w:rPr>
          <w:rFonts w:ascii="Calibri" w:eastAsia="Candara" w:hAnsi="Calibri" w:cs="Times New Roman"/>
          <w:b/>
        </w:rPr>
        <w:t>Turystyka jest dziedziną gospodarki rozwijającą się w sposób niezwykle dynamiczny i ma szczególne znaczenie w sektorze lokalnej gospodarki ze względu na aktywizację nie tylko rynku turystycznego, ale również pozostałych sektorów gospodarki</w:t>
      </w:r>
      <w:r w:rsidRPr="00E320BC">
        <w:rPr>
          <w:rFonts w:ascii="Calibri" w:eastAsia="Candara" w:hAnsi="Calibri" w:cs="Times New Roman"/>
        </w:rPr>
        <w:t>, takich jak: transport, łączność, przemysł, budownictwo, rolnictwo, działalność finansową i ubezpieczeniową. Dzięki rozwojowi turystyki zwiększa się liczba miejsc pracy, a lokalna gospodarka zostaje zasilona dzięki dochodom z usług oferowanych turystom w danych miejscowościach.</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Candara"/>
        </w:rPr>
        <w:t>Ważnym elementem infrastruktury turystycznej na obszarze HOF, którego potencjalny rozwój wiąże się z walorami przyrodniczymi</w:t>
      </w:r>
      <w:r w:rsidRPr="00E320BC">
        <w:rPr>
          <w:rFonts w:ascii="Calibri" w:eastAsia="Candara" w:hAnsi="Calibri" w:cs="Candara"/>
          <w:b/>
        </w:rPr>
        <w:t>, są szlaki rowerowe i turystyczne oraz ścieżki piesze.</w:t>
      </w:r>
      <w:r w:rsidRPr="00E320BC">
        <w:rPr>
          <w:rFonts w:ascii="Calibri" w:eastAsia="Candara" w:hAnsi="Calibri" w:cs="Candara"/>
        </w:rPr>
        <w:t xml:space="preserve"> W Mieście Hrubieszów swój początek biorą 4 trasy rowerowe tworzące pętle</w:t>
      </w:r>
      <w:r w:rsidRPr="00E320BC">
        <w:rPr>
          <w:rFonts w:ascii="Calibri" w:eastAsia="Candara" w:hAnsi="Calibri" w:cs="Times New Roman"/>
        </w:rPr>
        <w:t xml:space="preserve"> o łącznej długości ponad 220 km. Ponadto przez gminę wzdłuż trasy Janów Podlaski – Hrubieszów przechodzi odcinek Rowerowego Szlaku Nadbużańskiego.</w:t>
      </w:r>
    </w:p>
    <w:p w:rsidR="0076053D" w:rsidRPr="00E320BC" w:rsidRDefault="00B705D1" w:rsidP="0076053D">
      <w:pPr>
        <w:spacing w:after="0"/>
        <w:ind w:firstLine="357"/>
        <w:rPr>
          <w:rFonts w:ascii="Calibri" w:eastAsia="Candara" w:hAnsi="Calibri" w:cs="Times New Roman"/>
        </w:rPr>
      </w:pPr>
      <w:r w:rsidRPr="00536805">
        <w:t xml:space="preserve">Na terenie </w:t>
      </w:r>
      <w:r>
        <w:t>HOF</w:t>
      </w:r>
      <w:r w:rsidRPr="00536805">
        <w:t xml:space="preserve"> w roku 2019 </w:t>
      </w:r>
      <w:r>
        <w:t>funkcjonowało</w:t>
      </w:r>
      <w:r w:rsidRPr="00536805">
        <w:t xml:space="preserve"> </w:t>
      </w:r>
      <w:r>
        <w:t>9</w:t>
      </w:r>
      <w:r w:rsidRPr="00536805">
        <w:t xml:space="preserve"> km ścieżek rowerowych (dane </w:t>
      </w:r>
      <w:r>
        <w:t xml:space="preserve">BDL </w:t>
      </w:r>
      <w:r w:rsidRPr="00536805">
        <w:t>GUS</w:t>
      </w:r>
      <w:proofErr w:type="gramStart"/>
      <w:r w:rsidRPr="00536805">
        <w:t>)</w:t>
      </w:r>
      <w:r>
        <w:t xml:space="preserve">. </w:t>
      </w:r>
      <w:r w:rsidR="0076053D" w:rsidRPr="00E320BC">
        <w:rPr>
          <w:rFonts w:ascii="Calibri" w:eastAsia="Candara" w:hAnsi="Calibri" w:cs="Times New Roman"/>
        </w:rPr>
        <w:t>Ścieżki</w:t>
      </w:r>
      <w:proofErr w:type="gramEnd"/>
      <w:r w:rsidR="0076053D" w:rsidRPr="00E320BC">
        <w:rPr>
          <w:rFonts w:ascii="Calibri" w:eastAsia="Candara" w:hAnsi="Calibri" w:cs="Times New Roman"/>
        </w:rPr>
        <w:t xml:space="preserve"> rowerowe zlokalizowane są przede wszystkim przy drodze powiatowej numer 3432 L w miejscowościach Czumów, Ślipcze i Kosmów</w:t>
      </w:r>
      <w:r w:rsidR="004C7D9F">
        <w:rPr>
          <w:rFonts w:ascii="Calibri" w:eastAsia="Candara" w:hAnsi="Calibri" w:cs="Times New Roman"/>
        </w:rPr>
        <w:t xml:space="preserve"> (9,5 km)</w:t>
      </w:r>
      <w:r w:rsidR="0076053D" w:rsidRPr="00E320BC">
        <w:rPr>
          <w:rFonts w:ascii="Calibri" w:eastAsia="Candara" w:hAnsi="Calibri" w:cs="Times New Roman"/>
        </w:rPr>
        <w:t>. W samym Mieście Hrubieszów istnieją tylko</w:t>
      </w:r>
      <w:r w:rsidR="004C7D9F" w:rsidRPr="00E320BC">
        <w:rPr>
          <w:rFonts w:ascii="Calibri" w:eastAsia="Candara" w:hAnsi="Calibri" w:cs="Times New Roman"/>
        </w:rPr>
        <w:t xml:space="preserve"> 2 km </w:t>
      </w:r>
      <w:r w:rsidR="0076053D" w:rsidRPr="00E320BC">
        <w:rPr>
          <w:rFonts w:ascii="Calibri" w:eastAsia="Candara" w:hAnsi="Calibri" w:cs="Times New Roman"/>
        </w:rPr>
        <w:t>ścieżek rowerowych (dane GUS)</w:t>
      </w:r>
      <w:r>
        <w:rPr>
          <w:rFonts w:ascii="Calibri" w:eastAsia="Candara" w:hAnsi="Calibri" w:cs="Times New Roman"/>
        </w:rPr>
        <w:t>.</w:t>
      </w:r>
    </w:p>
    <w:p w:rsidR="00E320BC" w:rsidRPr="00E320BC" w:rsidRDefault="00E320BC" w:rsidP="00E320BC">
      <w:pPr>
        <w:spacing w:after="0"/>
        <w:ind w:firstLine="357"/>
        <w:rPr>
          <w:rFonts w:ascii="Calibri" w:eastAsia="Candara" w:hAnsi="Calibri" w:cs="Candara"/>
        </w:rPr>
      </w:pPr>
      <w:r w:rsidRPr="00E320BC">
        <w:rPr>
          <w:rFonts w:ascii="Calibri" w:eastAsia="Candara" w:hAnsi="Calibri" w:cs="Times New Roman"/>
          <w:b/>
        </w:rPr>
        <w:t xml:space="preserve">Teren Hrubieszowskiego Obszaru Funkcjonalnego posiada ciekawą ofertę tras turystycznych. </w:t>
      </w:r>
      <w:r w:rsidRPr="00E320BC">
        <w:rPr>
          <w:rFonts w:ascii="Calibri" w:eastAsia="Candara" w:hAnsi="Calibri" w:cs="Times New Roman"/>
        </w:rPr>
        <w:t xml:space="preserve">Występują tutaj liczne szlaki o charakterze lokalnym prezentujące wyjątkowość omawianego obszaru. </w:t>
      </w:r>
      <w:r w:rsidRPr="00E320BC">
        <w:rPr>
          <w:rFonts w:ascii="Calibri" w:eastAsia="Candara" w:hAnsi="Calibri" w:cs="Candara"/>
        </w:rPr>
        <w:t>Łączna długość oznakowanych pieszych szlaków turystycznych wynosi ok. 110 km.</w:t>
      </w:r>
      <w:r w:rsidRPr="00E320BC">
        <w:rPr>
          <w:rFonts w:ascii="Calibri" w:eastAsia="Candara" w:hAnsi="Calibri" w:cs="Times New Roman"/>
        </w:rPr>
        <w:t xml:space="preserve"> Znajduje się tu ścieżka historyczno-przyrodnicza „Królewski Kąt” Gródek – Czumów (oznakowana na niebiesko). Szlak Nadbużański, oznaczony na czerwono, łączy Kózki- Hrubieszów – Dołhobyczów. Znajduje się tu również Szlak Gocki będący jednym z najatrakcyjniejszych szlaków turystycznych powiatu </w:t>
      </w:r>
      <w:r w:rsidRPr="00E320BC">
        <w:rPr>
          <w:rFonts w:ascii="Calibri" w:eastAsia="Candara" w:hAnsi="Calibri" w:cs="Candara"/>
        </w:rPr>
        <w:t>hrubieszowskiego</w:t>
      </w:r>
      <w:r w:rsidR="001C55F9">
        <w:rPr>
          <w:rFonts w:ascii="Calibri" w:eastAsia="Candara" w:hAnsi="Calibri" w:cs="Candara"/>
        </w:rPr>
        <w:t xml:space="preserve">. </w:t>
      </w:r>
      <w:r w:rsidRPr="00E320BC">
        <w:rPr>
          <w:rFonts w:ascii="Calibri" w:eastAsia="Candara" w:hAnsi="Calibri" w:cs="Candara"/>
          <w:shd w:val="clear" w:color="auto" w:fill="FFFFFF"/>
        </w:rPr>
        <w:t xml:space="preserve">Zgodnie z danymi Urzędu Miasta na terenie Gminy Miejskiej Hrubieszów </w:t>
      </w:r>
      <w:r w:rsidRPr="00E320BC">
        <w:rPr>
          <w:rFonts w:ascii="Calibri" w:eastAsia="Candara" w:hAnsi="Calibri" w:cs="Candara"/>
          <w:shd w:val="clear" w:color="auto" w:fill="FFFFFF"/>
        </w:rPr>
        <w:lastRenderedPageBreak/>
        <w:t>funkcjonuje niesklasyfikowany czerwony, pieszy szlak turystyczny o długości około 3 km. Jest on oznakowany i przebiega od ul. Żeromskiego, prowadzi przez ul. 3 Maja do ul. Piłsudskiego gdzie się kończy.</w:t>
      </w:r>
    </w:p>
    <w:p w:rsidR="00E320BC" w:rsidRPr="00E320BC" w:rsidRDefault="00E320BC" w:rsidP="00E320BC">
      <w:pPr>
        <w:spacing w:after="0"/>
        <w:ind w:firstLine="357"/>
        <w:rPr>
          <w:rFonts w:ascii="Calibri" w:eastAsia="Candara" w:hAnsi="Calibri" w:cs="Candara"/>
          <w:shd w:val="clear" w:color="auto" w:fill="FFFFFF"/>
        </w:rPr>
      </w:pPr>
      <w:r w:rsidRPr="00E320BC">
        <w:rPr>
          <w:rFonts w:ascii="Calibri" w:eastAsia="Candara" w:hAnsi="Calibri" w:cs="Times New Roman"/>
          <w:b/>
        </w:rPr>
        <w:t xml:space="preserve">Interesującą formą </w:t>
      </w:r>
      <w:r w:rsidRPr="00E320BC">
        <w:rPr>
          <w:rFonts w:ascii="Calibri" w:eastAsia="Candara" w:hAnsi="Calibri" w:cs="Candara"/>
          <w:b/>
          <w:shd w:val="clear" w:color="auto" w:fill="FFFFFF"/>
        </w:rPr>
        <w:t xml:space="preserve">zabawy, zwiedzania i odkrywania walorów miejsca są </w:t>
      </w:r>
      <w:proofErr w:type="spellStart"/>
      <w:r w:rsidRPr="00E320BC">
        <w:rPr>
          <w:rFonts w:ascii="Calibri" w:eastAsia="Candara" w:hAnsi="Calibri" w:cs="Candara"/>
          <w:b/>
          <w:shd w:val="clear" w:color="auto" w:fill="FFFFFF"/>
        </w:rPr>
        <w:t>questy</w:t>
      </w:r>
      <w:proofErr w:type="spellEnd"/>
      <w:r w:rsidRPr="00E320BC">
        <w:rPr>
          <w:rFonts w:ascii="Calibri" w:eastAsia="Candara" w:hAnsi="Calibri" w:cs="Candara"/>
          <w:b/>
          <w:shd w:val="clear" w:color="auto" w:fill="FFFFFF"/>
        </w:rPr>
        <w:t>.</w:t>
      </w:r>
      <w:r w:rsidRPr="00E320BC">
        <w:rPr>
          <w:rFonts w:ascii="Calibri" w:eastAsia="Candara" w:hAnsi="Calibri" w:cs="Candara"/>
          <w:shd w:val="clear" w:color="auto" w:fill="FFFFFF"/>
        </w:rPr>
        <w:t xml:space="preserve"> Produkt lokalny Hrubieszowa stworzony został pod postacią rymowanych wierszyków prowadzących czytającego trasą wybranych hrubieszowskich zabytków (początek znajduje się na placu przed Miejską Biblioteką Publiczną</w:t>
      </w:r>
      <w:r w:rsidR="003A2ABD">
        <w:rPr>
          <w:rFonts w:ascii="Calibri" w:eastAsia="Candara" w:hAnsi="Calibri" w:cs="Candara"/>
          <w:shd w:val="clear" w:color="auto" w:fill="FFFFFF"/>
        </w:rPr>
        <w:t xml:space="preserve"> (</w:t>
      </w:r>
      <w:r w:rsidR="003A2ABD">
        <w:t xml:space="preserve">od 2023 r. </w:t>
      </w:r>
      <w:r w:rsidR="003A2ABD" w:rsidRPr="00D837F7">
        <w:rPr>
          <w:rStyle w:val="Pogrubienie"/>
          <w:b w:val="0"/>
        </w:rPr>
        <w:t xml:space="preserve">Miejska Biblioteka Publiczna – Hrubieszowskie Centrum Dziedzictwa im. Krystyny i Stefana </w:t>
      </w:r>
      <w:proofErr w:type="spellStart"/>
      <w:r w:rsidR="003A2ABD" w:rsidRPr="00D837F7">
        <w:rPr>
          <w:rStyle w:val="Pogrubienie"/>
          <w:b w:val="0"/>
        </w:rPr>
        <w:t>Du</w:t>
      </w:r>
      <w:proofErr w:type="spellEnd"/>
      <w:r w:rsidR="003A2ABD" w:rsidRPr="00D837F7">
        <w:rPr>
          <w:rStyle w:val="Pogrubienie"/>
          <w:b w:val="0"/>
        </w:rPr>
        <w:t xml:space="preserve"> </w:t>
      </w:r>
      <w:proofErr w:type="spellStart"/>
      <w:r w:rsidR="003A2ABD" w:rsidRPr="00D837F7">
        <w:rPr>
          <w:rStyle w:val="Pogrubienie"/>
          <w:b w:val="0"/>
        </w:rPr>
        <w:t>Chateau</w:t>
      </w:r>
      <w:proofErr w:type="spellEnd"/>
      <w:r w:rsidR="003A2ABD" w:rsidRPr="00D837F7">
        <w:rPr>
          <w:rStyle w:val="Pogrubienie"/>
          <w:b w:val="0"/>
        </w:rPr>
        <w:t>)</w:t>
      </w:r>
      <w:r w:rsidRPr="00E320BC">
        <w:rPr>
          <w:rFonts w:ascii="Calibri" w:eastAsia="Candara" w:hAnsi="Calibri" w:cs="Candara"/>
          <w:shd w:val="clear" w:color="auto" w:fill="FFFFFF"/>
        </w:rPr>
        <w:t>, koniec w pensjonacie Magistrat).</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Na ofertę turystyczną Hrubieszowskiego Obszaru Funkcjonalnego składają się również imprezy o zasięgu lokalnym, regionalnym, krajowym a nawet międzynarodowym oraz twórczość ludowa mieszkańców.</w:t>
      </w:r>
      <w:r w:rsidRPr="00E320BC">
        <w:rPr>
          <w:rFonts w:ascii="Calibri" w:eastAsia="Candara" w:hAnsi="Calibri" w:cs="Times New Roman"/>
        </w:rPr>
        <w:t xml:space="preserve"> Mogą one stać się istotnym wyróżnikiem w rozwoju zintegrowanego produktu turystycznego HOF i mogą służyć promowaniu dziedzictwa kulturowego oraz produktów lokalnych Obszaru Funkcjonalnego. </w:t>
      </w:r>
      <w:r w:rsidRPr="00E320BC">
        <w:rPr>
          <w:rFonts w:ascii="Calibri" w:eastAsia="Candara" w:hAnsi="Calibri" w:cs="Times New Roman"/>
          <w:b/>
          <w:lang w:eastAsia="pl-PL"/>
        </w:rPr>
        <w:t>Katalog imprez kulturalnych rok rocznie ulega rozbudowie.</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Bazę noclegową na terenie gminy stanowi 8 gospodarstw agroturystycznych, w tym część umiejscowiona w pobliżu rzeki Bug. W Mieście Hrubieszowie działa 1 agroturystyka oraz 5 hoteli. Ponadto, miejsca noclegowe oferowane są w hostelach, zajazdach, pokojach noclegowych, bursie, domach weselnych i kwaterach prywatnych. Część obiektów noclegowych prowadzi ofertę gastronomiczną. Ponadto w mieście działają liczne restauracje, pizzerie, puby, kawiarnie i piwiarnie.</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699200" behindDoc="0" locked="0" layoutInCell="1" allowOverlap="1" wp14:anchorId="36576A2A" wp14:editId="52909AE2">
                <wp:simplePos x="0" y="0"/>
                <wp:positionH relativeFrom="column">
                  <wp:posOffset>-635</wp:posOffset>
                </wp:positionH>
                <wp:positionV relativeFrom="paragraph">
                  <wp:posOffset>43815</wp:posOffset>
                </wp:positionV>
                <wp:extent cx="3262630" cy="2621280"/>
                <wp:effectExtent l="0" t="0" r="0" b="7620"/>
                <wp:wrapSquare wrapText="bothSides"/>
                <wp:docPr id="40"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2630" cy="2621280"/>
                        </a:xfrm>
                        <a:prstGeom prst="rect">
                          <a:avLst/>
                        </a:prstGeom>
                        <a:solidFill>
                          <a:srgbClr val="FFFFFF"/>
                        </a:solidFill>
                        <a:ln w="9525">
                          <a:noFill/>
                          <a:miter lim="800000"/>
                          <a:headEnd/>
                          <a:tailEnd/>
                        </a:ln>
                      </wps:spPr>
                      <wps:txbx>
                        <w:txbxContent>
                          <w:p w:rsidR="002441D5" w:rsidRPr="00163727" w:rsidRDefault="002441D5" w:rsidP="009D6230">
                            <w:pPr>
                              <w:pStyle w:val="Legenda"/>
                              <w:keepNext/>
                              <w:ind w:firstLine="0"/>
                              <w:rPr>
                                <w:color w:val="31B6FD" w:themeColor="accent1"/>
                              </w:rPr>
                            </w:pPr>
                            <w:bookmarkStart w:id="33" w:name="_Toc138068621"/>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13</w:t>
                            </w:r>
                            <w:r w:rsidRPr="00163727">
                              <w:rPr>
                                <w:noProof/>
                                <w:color w:val="31B6FD" w:themeColor="accent1"/>
                              </w:rPr>
                              <w:fldChar w:fldCharType="end"/>
                            </w:r>
                            <w:r w:rsidRPr="00163727">
                              <w:rPr>
                                <w:color w:val="31B6FD" w:themeColor="accent1"/>
                              </w:rPr>
                              <w:t>. Liczba całorocznych miejsc noclegowych i turystów zagranicznych (nierezydentów) w HOF w latach 2014-2019</w:t>
                            </w:r>
                            <w:bookmarkEnd w:id="33"/>
                          </w:p>
                          <w:p w:rsidR="002441D5" w:rsidRDefault="002441D5" w:rsidP="009D6230">
                            <w:pPr>
                              <w:spacing w:after="0"/>
                              <w:ind w:firstLine="0"/>
                            </w:pPr>
                            <w:r>
                              <w:rPr>
                                <w:noProof/>
                                <w:lang w:eastAsia="pl-PL"/>
                              </w:rPr>
                              <w:drawing>
                                <wp:inline distT="0" distB="0" distL="0" distR="0" wp14:anchorId="51F0648F" wp14:editId="0E4EA562">
                                  <wp:extent cx="3172691" cy="1903129"/>
                                  <wp:effectExtent l="0" t="0" r="8890" b="1905"/>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4442" cy="1904180"/>
                                          </a:xfrm>
                                          <a:prstGeom prst="rect">
                                            <a:avLst/>
                                          </a:prstGeom>
                                          <a:noFill/>
                                        </pic:spPr>
                                      </pic:pic>
                                    </a:graphicData>
                                  </a:graphic>
                                </wp:inline>
                              </w:drawing>
                            </w:r>
                          </w:p>
                          <w:p w:rsidR="002441D5" w:rsidRPr="004B01F4" w:rsidRDefault="002441D5" w:rsidP="009D6230">
                            <w:pPr>
                              <w:spacing w:before="0"/>
                              <w:rPr>
                                <w:i/>
                                <w:sz w:val="18"/>
                                <w:szCs w:val="18"/>
                              </w:rPr>
                            </w:pPr>
                            <w:r w:rsidRPr="004B01F4">
                              <w:rPr>
                                <w:i/>
                                <w:sz w:val="18"/>
                                <w:szCs w:val="18"/>
                              </w:rPr>
                              <w:t>Źródło: BDL GUS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05pt;margin-top:3.45pt;width:256.9pt;height:206.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" stroked="f">
                <v:textbox>
                  <w:txbxContent>
                    <w:p w:rsidR="002441D5" w:rsidRPr="00163727" w:rsidRDefault="002441D5" w:rsidP="009D6230">
                      <w:pPr>
                        <w:pStyle w:val="Legenda"/>
                        <w:keepNext/>
                        <w:ind w:firstLine="0"/>
                        <w:rPr>
                          <w:color w:val="31B6FD" w:themeColor="accent1"/>
                        </w:rPr>
                      </w:pPr>
                      <w:bookmarkStart w:id="34" w:name="_Toc138068621"/>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13</w:t>
                      </w:r>
                      <w:r w:rsidRPr="00163727">
                        <w:rPr>
                          <w:noProof/>
                          <w:color w:val="31B6FD" w:themeColor="accent1"/>
                        </w:rPr>
                        <w:fldChar w:fldCharType="end"/>
                      </w:r>
                      <w:r w:rsidRPr="00163727">
                        <w:rPr>
                          <w:color w:val="31B6FD" w:themeColor="accent1"/>
                        </w:rPr>
                        <w:t>. Liczba całorocznych miejsc noclegowych i turystów zagranicznych (nierezydentów) w HOF w latach 2014-2019</w:t>
                      </w:r>
                      <w:bookmarkEnd w:id="34"/>
                    </w:p>
                    <w:p w:rsidR="002441D5" w:rsidRDefault="002441D5" w:rsidP="009D6230">
                      <w:pPr>
                        <w:spacing w:after="0"/>
                        <w:ind w:firstLine="0"/>
                      </w:pPr>
                      <w:r>
                        <w:rPr>
                          <w:noProof/>
                          <w:lang w:eastAsia="pl-PL"/>
                        </w:rPr>
                        <w:drawing>
                          <wp:inline distT="0" distB="0" distL="0" distR="0" wp14:anchorId="51F0648F" wp14:editId="0E4EA562">
                            <wp:extent cx="3172691" cy="1903129"/>
                            <wp:effectExtent l="0" t="0" r="8890" b="1905"/>
                            <wp:docPr id="501" name="Obraz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4442" cy="1904180"/>
                                    </a:xfrm>
                                    <a:prstGeom prst="rect">
                                      <a:avLst/>
                                    </a:prstGeom>
                                    <a:noFill/>
                                  </pic:spPr>
                                </pic:pic>
                              </a:graphicData>
                            </a:graphic>
                          </wp:inline>
                        </w:drawing>
                      </w:r>
                    </w:p>
                    <w:p w:rsidR="002441D5" w:rsidRPr="004B01F4" w:rsidRDefault="002441D5" w:rsidP="009D6230">
                      <w:pPr>
                        <w:spacing w:before="0"/>
                        <w:rPr>
                          <w:i/>
                          <w:sz w:val="18"/>
                          <w:szCs w:val="18"/>
                        </w:rPr>
                      </w:pPr>
                      <w:r w:rsidRPr="004B01F4">
                        <w:rPr>
                          <w:i/>
                          <w:sz w:val="18"/>
                          <w:szCs w:val="18"/>
                        </w:rPr>
                        <w:t>Źródło: BDL GUS</w:t>
                      </w:r>
                    </w:p>
                  </w:txbxContent>
                </v:textbox>
                <w10:wrap type="square"/>
              </v:shape>
            </w:pict>
          </mc:Fallback>
        </mc:AlternateContent>
      </w:r>
      <w:r w:rsidRPr="00E320BC">
        <w:rPr>
          <w:rFonts w:ascii="Calibri" w:eastAsia="Candara" w:hAnsi="Calibri" w:cs="Times New Roman"/>
        </w:rPr>
        <w:t xml:space="preserve">Zgodnie z danymi BDL GUS w 2019 roku obiekty na terenie HOF oferowały 229 całorocznych miejsc noclegowych (88,42% miejsc noclegowych w powiecie hrubieszowskim). </w:t>
      </w:r>
      <w:r w:rsidRPr="00E320BC">
        <w:rPr>
          <w:rFonts w:ascii="Calibri" w:eastAsia="Candara" w:hAnsi="Calibri" w:cs="Times New Roman"/>
          <w:b/>
        </w:rPr>
        <w:t>W ciągu ostatnich siedmiu lat w Mieście Hrubieszów odnotowany został dwukrotny skokowy wzrost liczby całorocznych miejsc noclegowych</w:t>
      </w:r>
      <w:r w:rsidRPr="00E320BC">
        <w:rPr>
          <w:rFonts w:ascii="Calibri" w:eastAsia="Candara" w:hAnsi="Calibri" w:cs="Times New Roman"/>
        </w:rPr>
        <w:t xml:space="preserve"> (rok 2014 oraz 2018), </w:t>
      </w:r>
      <w:r w:rsidRPr="00E320BC">
        <w:rPr>
          <w:rFonts w:ascii="Calibri" w:eastAsia="Candara" w:hAnsi="Calibri" w:cs="Times New Roman"/>
          <w:b/>
        </w:rPr>
        <w:t>jednocześnie na terenie gminy wiejskiej w 2018 roku wskaźnik ten wyraźnie spadł o 81,5%.</w:t>
      </w:r>
      <w:r w:rsidRPr="00E320BC">
        <w:rPr>
          <w:rFonts w:ascii="Calibri" w:eastAsia="Candara" w:hAnsi="Calibri" w:cs="Times New Roman"/>
        </w:rPr>
        <w:t xml:space="preserve"> W 2019 HOF odwiedziło 1328 turystów zagranicznych. </w:t>
      </w:r>
      <w:r w:rsidRPr="00E320BC">
        <w:rPr>
          <w:rFonts w:ascii="Calibri" w:eastAsia="Candara" w:hAnsi="Calibri" w:cs="Times New Roman"/>
          <w:b/>
        </w:rPr>
        <w:t>Wg danych BDL GUS liczba turystów zagranicznych stale rośnie, lecz są to głównie osoby nocujące na terenie miasta.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Ewidencja liczby turystów ogółem nie jest prowadzona, ale można w przybliżeniu oszacować liczbę osób odwiedzających obszar HOF na podstawie szacunkowej liczby turystów (sprzedanych biletów) odwiedzających </w:t>
      </w:r>
      <w:r w:rsidRPr="00920A69">
        <w:rPr>
          <w:rFonts w:ascii="Calibri" w:eastAsia="Candara" w:hAnsi="Calibri" w:cs="Times New Roman"/>
        </w:rPr>
        <w:t xml:space="preserve">Wioskę Gotów w </w:t>
      </w:r>
      <w:proofErr w:type="spellStart"/>
      <w:r w:rsidRPr="00920A69">
        <w:rPr>
          <w:rFonts w:ascii="Calibri" w:eastAsia="Candara" w:hAnsi="Calibri" w:cs="Times New Roman"/>
        </w:rPr>
        <w:t>Masłomęczu</w:t>
      </w:r>
      <w:proofErr w:type="spellEnd"/>
      <w:r w:rsidRPr="00920A69">
        <w:rPr>
          <w:rFonts w:ascii="Calibri" w:eastAsia="Candara" w:hAnsi="Calibri" w:cs="Times New Roman"/>
        </w:rPr>
        <w:t xml:space="preserve"> (najatrakcyjniejszy punkt na trasie większości turystów zwiedzających zarówno obszar miasta jak i Gminy Hrubieszów).</w:t>
      </w:r>
      <w:r w:rsidRPr="00E320BC">
        <w:rPr>
          <w:rFonts w:ascii="Calibri" w:eastAsia="Candara" w:hAnsi="Calibri" w:cs="Times New Roman"/>
        </w:rPr>
        <w:t xml:space="preserve"> Szacuje się, że w 2019 roku było około 5500 – 6000 odwiedzających.</w:t>
      </w:r>
      <w:r w:rsidR="00920A69">
        <w:rPr>
          <w:rFonts w:ascii="Calibri" w:eastAsia="Candara" w:hAnsi="Calibri" w:cs="Times New Roman"/>
        </w:rPr>
        <w:t xml:space="preserve"> </w:t>
      </w:r>
      <w:r w:rsidR="00920A69">
        <w:t xml:space="preserve">Na podstawie sprawozdania dotyczącego trwałości projektu „Od wizji do nowoczesnego zarządzania podregionem </w:t>
      </w:r>
      <w:proofErr w:type="spellStart"/>
      <w:r w:rsidR="00920A69">
        <w:t>Gotania</w:t>
      </w:r>
      <w:proofErr w:type="spellEnd"/>
      <w:r w:rsidR="00920A69">
        <w:t>” Miasto Hrubieszów w 2019 roku odwiedziło 11 716 osób</w:t>
      </w:r>
      <w:r w:rsidR="00920A69">
        <w:rPr>
          <w:rStyle w:val="Odwoanieprzypisudolnego"/>
        </w:rPr>
        <w:footnoteReference w:id="13"/>
      </w:r>
      <w:r w:rsidR="00920A69">
        <w:t>.</w:t>
      </w:r>
    </w:p>
    <w:p w:rsidR="00E320BC" w:rsidRPr="00F77499" w:rsidRDefault="00E320BC" w:rsidP="00E320BC">
      <w:pPr>
        <w:spacing w:after="0"/>
        <w:ind w:firstLine="357"/>
      </w:pPr>
      <w:r w:rsidRPr="00E320BC">
        <w:rPr>
          <w:rFonts w:ascii="Calibri" w:eastAsia="Candara" w:hAnsi="Calibri" w:cs="Times New Roman"/>
          <w:b/>
        </w:rPr>
        <w:lastRenderedPageBreak/>
        <w:t>HOF posiada bogate zasoby dziedzictwa kulturowego i unikaln</w:t>
      </w:r>
      <w:r w:rsidRPr="00E320BC">
        <w:rPr>
          <w:rFonts w:ascii="Calibri" w:eastAsia="Candara" w:hAnsi="Calibri" w:cs="Times New Roman" w:hint="eastAsia"/>
          <w:b/>
        </w:rPr>
        <w:t>ą</w:t>
      </w:r>
      <w:r w:rsidRPr="00E320BC">
        <w:rPr>
          <w:rFonts w:ascii="Calibri" w:eastAsia="Candara" w:hAnsi="Calibri" w:cs="Times New Roman"/>
          <w:b/>
        </w:rPr>
        <w:t xml:space="preserve"> to</w:t>
      </w:r>
      <w:r w:rsidRPr="00E320BC">
        <w:rPr>
          <w:rFonts w:ascii="Calibri" w:eastAsia="Candara" w:hAnsi="Calibri" w:cs="Times New Roman" w:hint="eastAsia"/>
          <w:b/>
        </w:rPr>
        <w:t>ż</w:t>
      </w:r>
      <w:r w:rsidRPr="00E320BC">
        <w:rPr>
          <w:rFonts w:ascii="Calibri" w:eastAsia="Candara" w:hAnsi="Calibri" w:cs="Times New Roman"/>
          <w:b/>
        </w:rPr>
        <w:t>samo</w:t>
      </w:r>
      <w:r w:rsidRPr="00E320BC">
        <w:rPr>
          <w:rFonts w:ascii="Calibri" w:eastAsia="Candara" w:hAnsi="Calibri" w:cs="Times New Roman" w:hint="eastAsia"/>
          <w:b/>
        </w:rPr>
        <w:t>ść</w:t>
      </w:r>
      <w:r w:rsidRPr="00E320BC">
        <w:rPr>
          <w:rFonts w:ascii="Calibri" w:eastAsia="Candara" w:hAnsi="Calibri" w:cs="Times New Roman"/>
          <w:b/>
        </w:rPr>
        <w:t>. Dlatego kontynuacja rozwoju turystyki przy wsp</w:t>
      </w:r>
      <w:r w:rsidRPr="00E320BC">
        <w:rPr>
          <w:rFonts w:ascii="Calibri" w:eastAsia="Candara" w:hAnsi="Calibri" w:cs="Times New Roman" w:hint="eastAsia"/>
          <w:b/>
        </w:rPr>
        <w:t>ół</w:t>
      </w:r>
      <w:r w:rsidRPr="00E320BC">
        <w:rPr>
          <w:rFonts w:ascii="Calibri" w:eastAsia="Candara" w:hAnsi="Calibri" w:cs="Times New Roman"/>
          <w:b/>
        </w:rPr>
        <w:t>udziale instytucji kultury i sztuki, medi</w:t>
      </w:r>
      <w:r w:rsidRPr="00E320BC">
        <w:rPr>
          <w:rFonts w:ascii="Calibri" w:eastAsia="Candara" w:hAnsi="Calibri" w:cs="Times New Roman" w:hint="eastAsia"/>
          <w:b/>
        </w:rPr>
        <w:t>ó</w:t>
      </w:r>
      <w:r w:rsidRPr="00E320BC">
        <w:rPr>
          <w:rFonts w:ascii="Calibri" w:eastAsia="Candara" w:hAnsi="Calibri" w:cs="Times New Roman"/>
          <w:b/>
        </w:rPr>
        <w:t>w, przedsi</w:t>
      </w:r>
      <w:r w:rsidRPr="00E320BC">
        <w:rPr>
          <w:rFonts w:ascii="Calibri" w:eastAsia="Candara" w:hAnsi="Calibri" w:cs="Times New Roman" w:hint="eastAsia"/>
          <w:b/>
        </w:rPr>
        <w:t>ę</w:t>
      </w:r>
      <w:r w:rsidRPr="00E320BC">
        <w:rPr>
          <w:rFonts w:ascii="Calibri" w:eastAsia="Candara" w:hAnsi="Calibri" w:cs="Times New Roman"/>
          <w:b/>
        </w:rPr>
        <w:t>biorstw i dzia</w:t>
      </w:r>
      <w:r w:rsidRPr="00E320BC">
        <w:rPr>
          <w:rFonts w:ascii="Calibri" w:eastAsia="Candara" w:hAnsi="Calibri" w:cs="Times New Roman" w:hint="eastAsia"/>
          <w:b/>
        </w:rPr>
        <w:t>ł</w:t>
      </w:r>
      <w:r w:rsidRPr="00E320BC">
        <w:rPr>
          <w:rFonts w:ascii="Calibri" w:eastAsia="Candara" w:hAnsi="Calibri" w:cs="Times New Roman"/>
          <w:b/>
        </w:rPr>
        <w:t>a</w:t>
      </w:r>
      <w:r w:rsidRPr="00E320BC">
        <w:rPr>
          <w:rFonts w:ascii="Calibri" w:eastAsia="Candara" w:hAnsi="Calibri" w:cs="Times New Roman" w:hint="eastAsia"/>
          <w:b/>
        </w:rPr>
        <w:t>ń</w:t>
      </w:r>
      <w:r w:rsidRPr="00E320BC">
        <w:rPr>
          <w:rFonts w:ascii="Calibri" w:eastAsia="Candara" w:hAnsi="Calibri" w:cs="Times New Roman"/>
          <w:b/>
        </w:rPr>
        <w:t xml:space="preserve"> promocyjnych to kierunek o du</w:t>
      </w:r>
      <w:r w:rsidRPr="00E320BC">
        <w:rPr>
          <w:rFonts w:ascii="Calibri" w:eastAsia="Candara" w:hAnsi="Calibri" w:cs="Times New Roman" w:hint="eastAsia"/>
          <w:b/>
        </w:rPr>
        <w:t>ż</w:t>
      </w:r>
      <w:r w:rsidRPr="00E320BC">
        <w:rPr>
          <w:rFonts w:ascii="Calibri" w:eastAsia="Candara" w:hAnsi="Calibri" w:cs="Times New Roman"/>
          <w:b/>
        </w:rPr>
        <w:t>ym potencjale rozwoju.</w:t>
      </w:r>
      <w:r w:rsidRPr="00E320BC">
        <w:rPr>
          <w:rFonts w:ascii="Calibri" w:eastAsia="Candara" w:hAnsi="Calibri" w:cs="Times New Roman"/>
        </w:rPr>
        <w:t xml:space="preserve"> </w:t>
      </w:r>
      <w:r w:rsidRPr="00E320BC">
        <w:rPr>
          <w:rFonts w:ascii="Calibri" w:eastAsia="Candara" w:hAnsi="Calibri" w:cs="Times New Roman"/>
          <w:b/>
        </w:rPr>
        <w:t>Jednocześnie zasoby przyrodnicze stanowią na tym obszarze istotny walor rozwojowy. Należy podjąć działania zmierzające do poprawy stanu infrastruktury turystycznej.</w:t>
      </w:r>
      <w:r w:rsidRPr="00E320BC">
        <w:rPr>
          <w:rFonts w:ascii="Calibri" w:eastAsia="Candara" w:hAnsi="Calibri" w:cs="Times New Roman"/>
        </w:rPr>
        <w:t xml:space="preserve"> Dwie piękne trasy turystyczne wytyczone przez tereny HOF nie funkcjonują ze względu na brak oznakowania ich w terenie oraz brak map przedstawiających ich przebieg. Znaczącym elementem decydującym o rozwoju sektora turystyki są również prowadzone działania promocyjne i informacyjne, które mają na celu ułatwić turystom zorganizowanie czasu spędzonego w danym miejscu oraz zachęcić ich do jak najdłuższego pobytu. Dzia</w:t>
      </w:r>
      <w:r w:rsidRPr="00E320BC">
        <w:rPr>
          <w:rFonts w:ascii="Calibri" w:eastAsia="Candara" w:hAnsi="Calibri" w:cs="Times New Roman" w:hint="eastAsia"/>
        </w:rPr>
        <w:t>ł</w:t>
      </w:r>
      <w:r w:rsidRPr="00E320BC">
        <w:rPr>
          <w:rFonts w:ascii="Calibri" w:eastAsia="Candara" w:hAnsi="Calibri" w:cs="Times New Roman"/>
        </w:rPr>
        <w:t>ania integracyjne i zwi</w:t>
      </w:r>
      <w:r w:rsidRPr="00E320BC">
        <w:rPr>
          <w:rFonts w:ascii="Calibri" w:eastAsia="Candara" w:hAnsi="Calibri" w:cs="Times New Roman" w:hint="eastAsia"/>
        </w:rPr>
        <w:t>ą</w:t>
      </w:r>
      <w:r w:rsidRPr="00E320BC">
        <w:rPr>
          <w:rFonts w:ascii="Calibri" w:eastAsia="Candara" w:hAnsi="Calibri" w:cs="Times New Roman"/>
        </w:rPr>
        <w:t>zane z przemys</w:t>
      </w:r>
      <w:r w:rsidRPr="00E320BC">
        <w:rPr>
          <w:rFonts w:ascii="Calibri" w:eastAsia="Candara" w:hAnsi="Calibri" w:cs="Times New Roman" w:hint="eastAsia"/>
        </w:rPr>
        <w:t>ł</w:t>
      </w:r>
      <w:r w:rsidRPr="00E320BC">
        <w:rPr>
          <w:rFonts w:ascii="Calibri" w:eastAsia="Candara" w:hAnsi="Calibri" w:cs="Times New Roman"/>
        </w:rPr>
        <w:t xml:space="preserve">em czasu wolnego, rozwój turystyki to kierunki nie tylko przekładające się na </w:t>
      </w:r>
      <w:proofErr w:type="gramStart"/>
      <w:r w:rsidRPr="00E320BC">
        <w:rPr>
          <w:rFonts w:ascii="Calibri" w:eastAsia="Candara" w:hAnsi="Calibri" w:cs="Times New Roman"/>
        </w:rPr>
        <w:t>wzrost jakości</w:t>
      </w:r>
      <w:proofErr w:type="gramEnd"/>
      <w:r w:rsidRPr="00E320BC">
        <w:rPr>
          <w:rFonts w:ascii="Calibri" w:eastAsia="Candara" w:hAnsi="Calibri" w:cs="Times New Roman"/>
        </w:rPr>
        <w:t xml:space="preserve"> życia, ale też decydujące o atrakcyjności HOF dla osób z zewnątrz, w tym m.in. osób studiujących i migrujących zarobkowo, przedsiębiorców, inwestorów. Należałoby wykorzystać potencjał HOF </w:t>
      </w:r>
      <w:r w:rsidR="00B705D1" w:rsidRPr="00E320BC">
        <w:rPr>
          <w:rFonts w:ascii="Calibri" w:eastAsia="Candara" w:hAnsi="Calibri" w:cs="Times New Roman"/>
        </w:rPr>
        <w:t>w</w:t>
      </w:r>
      <w:r w:rsidRPr="00E320BC">
        <w:rPr>
          <w:rFonts w:ascii="Calibri" w:eastAsia="Candara" w:hAnsi="Calibri" w:cs="Times New Roman"/>
        </w:rPr>
        <w:t xml:space="preserve"> tym zakresie </w:t>
      </w:r>
      <w:r w:rsidR="00F56D46" w:rsidRPr="00F77499">
        <w:rPr>
          <w:rFonts w:ascii="Calibri" w:eastAsia="Candara" w:hAnsi="Calibri" w:cs="Times New Roman"/>
        </w:rPr>
        <w:t>(wykorzystanie zarów</w:t>
      </w:r>
      <w:r w:rsidR="009D6230" w:rsidRPr="00F77499">
        <w:rPr>
          <w:rFonts w:ascii="Calibri" w:eastAsia="Candara" w:hAnsi="Calibri" w:cs="Times New Roman"/>
        </w:rPr>
        <w:t>no walorów przyrodniczych jak i </w:t>
      </w:r>
      <w:r w:rsidR="00F56D46" w:rsidRPr="00F77499">
        <w:rPr>
          <w:rFonts w:ascii="Calibri" w:eastAsia="Candara" w:hAnsi="Calibri" w:cs="Times New Roman"/>
        </w:rPr>
        <w:t xml:space="preserve">bogatej historii i wielokulturowości obszaru HOF) </w:t>
      </w:r>
      <w:r w:rsidRPr="00F77499">
        <w:rPr>
          <w:rFonts w:ascii="Calibri" w:eastAsia="Candara" w:hAnsi="Calibri" w:cs="Times New Roman"/>
        </w:rPr>
        <w:t>i podjąć się realizacji zadań zmierzających do rozwoju wskazanych dziedzin oraz rozbudowy zaplecza i infrastruktury turystycznej.</w:t>
      </w:r>
      <w:r w:rsidR="00F56D46" w:rsidRPr="00F77499">
        <w:rPr>
          <w:rFonts w:ascii="Calibri" w:eastAsia="Candara" w:hAnsi="Calibri" w:cs="Times New Roman"/>
        </w:rPr>
        <w:t xml:space="preserve"> Warto podjąć działania skierowane na innowacje (</w:t>
      </w:r>
      <w:r w:rsidR="00F56D46" w:rsidRPr="00F77499">
        <w:t>produktowe, klasyczne innowacje procesowe, innowacje procesowe w zakresie informacji, zarządzania oraz innowacje instytucjonalne</w:t>
      </w:r>
      <w:r w:rsidR="00F56D46" w:rsidRPr="00F77499">
        <w:rPr>
          <w:rStyle w:val="Odwoanieprzypisudolnego"/>
          <w:rFonts w:ascii="Calibri" w:eastAsia="Candara" w:hAnsi="Calibri" w:cs="Times New Roman"/>
        </w:rPr>
        <w:footnoteReference w:id="14"/>
      </w:r>
      <w:r w:rsidR="00F56D46" w:rsidRPr="00F77499">
        <w:rPr>
          <w:rFonts w:ascii="Calibri" w:eastAsia="Candara" w:hAnsi="Calibri" w:cs="Times New Roman"/>
        </w:rPr>
        <w:t>) w turystyce, które stanowią jeden z kluczowych czynników warunkujących konkurencyjność.</w:t>
      </w:r>
      <w:r w:rsidR="007B27EA" w:rsidRPr="00F77499">
        <w:rPr>
          <w:rFonts w:ascii="Calibri" w:eastAsia="Candara" w:hAnsi="Calibri" w:cs="Times New Roman"/>
        </w:rPr>
        <w:t xml:space="preserve"> Są to </w:t>
      </w:r>
      <w:r w:rsidR="007B27EA" w:rsidRPr="00F77499">
        <w:t>zmienione lub całkowicie nowe usługi/produkty związane na przykład z zakwaterowaniem, gastronomią czy transportem. Mogą stanowić je także programy lojalnościowe, org</w:t>
      </w:r>
      <w:r w:rsidR="009D6230" w:rsidRPr="00F77499">
        <w:t>anizacja wydarzeń bazujących na </w:t>
      </w:r>
      <w:r w:rsidR="007B27EA" w:rsidRPr="00F77499">
        <w:t>lokalnej tradycji, czy tworzenie nowych atrakcji dla turystów, d nowa technologia pozwalająca zaoszczędzić energię elektryczną lub zredukować zatrudnienie w przedsiębiorstwie turystycznym, szkolenia dla personelu, itp.</w:t>
      </w:r>
      <w:r w:rsidR="0007274E" w:rsidRPr="00F77499">
        <w:t xml:space="preserve"> Dobrym rozwiązaniem innowacyjnym wpisującym się w cele rozwojowe Żywicielskiego Obszaru Strategicznej Interwencji jest kreowanie ośrodka łączącego funkcje poznawcze, edukacyjne z kulturalnymi i rekreacyjnymi, które pozwoli poznać walory turystyczno-kulturowe przez doświadczenie, bliski kontakt z przyrodą i przejawami historii (zabytki, postaci i miejsca historyczne, kultura. Przekaz ustny, itp.).</w:t>
      </w:r>
    </w:p>
    <w:p w:rsidR="007B27EA" w:rsidRPr="009D6230" w:rsidRDefault="007B27EA" w:rsidP="007B27EA">
      <w:pPr>
        <w:rPr>
          <w:rFonts w:eastAsia="Candara" w:cstheme="minorHAnsi"/>
        </w:rPr>
      </w:pPr>
      <w:r w:rsidRPr="00F77499">
        <w:rPr>
          <w:rFonts w:cstheme="minorHAnsi"/>
        </w:rPr>
        <w:t xml:space="preserve">Przykładem dobrych praktyk na terenie HOF jest przeniesienie Punktu Informacji Turystycznej do lokalu w świeżo wyremontowanych „Sutkach” przy Rynku Hrubieszowa. Działa tam również </w:t>
      </w:r>
      <w:r w:rsidRPr="00F77499">
        <w:rPr>
          <w:rFonts w:cstheme="minorHAnsi"/>
          <w:shd w:val="clear" w:color="auto" w:fill="FFFFFF"/>
        </w:rPr>
        <w:t xml:space="preserve">Punkt Informacji o Rewitalizacji oraz siedziba Stowarzyszenia Lokalna Organizacja Turystyczna </w:t>
      </w:r>
      <w:proofErr w:type="spellStart"/>
      <w:r w:rsidRPr="00F77499">
        <w:rPr>
          <w:rFonts w:cstheme="minorHAnsi"/>
          <w:shd w:val="clear" w:color="auto" w:fill="FFFFFF"/>
        </w:rPr>
        <w:t>Gotania</w:t>
      </w:r>
      <w:proofErr w:type="spellEnd"/>
      <w:r w:rsidRPr="00F77499">
        <w:rPr>
          <w:rFonts w:cstheme="minorHAnsi"/>
          <w:shd w:val="clear" w:color="auto" w:fill="FFFFFF"/>
        </w:rPr>
        <w:t xml:space="preserve">. Można tam zapoznać się nie tylko z ofertą turystyczną HOF, ale również pozostałych Gmin współpracujących w ramach Lokalnej Organizacji Turystycznej </w:t>
      </w:r>
      <w:proofErr w:type="spellStart"/>
      <w:r w:rsidRPr="00F77499">
        <w:rPr>
          <w:rFonts w:cstheme="minorHAnsi"/>
          <w:shd w:val="clear" w:color="auto" w:fill="FFFFFF"/>
        </w:rPr>
        <w:t>Gotania</w:t>
      </w:r>
      <w:proofErr w:type="spellEnd"/>
      <w:r w:rsidRPr="00F77499">
        <w:rPr>
          <w:rFonts w:cstheme="minorHAnsi"/>
          <w:shd w:val="clear" w:color="auto" w:fill="FFFFFF"/>
        </w:rPr>
        <w:t>. Współpraca pociąga za sobą nie tylko korzyści czysto techniczne dla turystów, ale również ekonomiczne dla Gmin członkowskich.</w:t>
      </w:r>
    </w:p>
    <w:p w:rsidR="009D6230" w:rsidRDefault="00163727" w:rsidP="00E320BC">
      <w:pPr>
        <w:spacing w:after="0"/>
        <w:ind w:firstLine="357"/>
        <w:rPr>
          <w:rFonts w:ascii="Calibri" w:eastAsia="Candara" w:hAnsi="Calibri" w:cs="Times New Roman"/>
          <w:sz w:val="18"/>
          <w:szCs w:val="18"/>
        </w:rPr>
      </w:pPr>
      <w:r w:rsidRPr="00E320BC">
        <w:rPr>
          <w:rFonts w:ascii="Calibri" w:eastAsia="Candara" w:hAnsi="Calibri" w:cs="Times New Roman"/>
          <w:b/>
          <w:i/>
          <w:noProof/>
          <w:color w:val="F5C040"/>
          <w:lang w:eastAsia="pl-PL"/>
        </w:rPr>
        <mc:AlternateContent>
          <mc:Choice Requires="wps">
            <w:drawing>
              <wp:anchor distT="0" distB="0" distL="114300" distR="114300" simplePos="0" relativeHeight="251701248" behindDoc="0" locked="0" layoutInCell="1" allowOverlap="1" wp14:anchorId="1092B0D6" wp14:editId="6696C853">
                <wp:simplePos x="0" y="0"/>
                <wp:positionH relativeFrom="column">
                  <wp:posOffset>-44010</wp:posOffset>
                </wp:positionH>
                <wp:positionV relativeFrom="paragraph">
                  <wp:posOffset>144731</wp:posOffset>
                </wp:positionV>
                <wp:extent cx="5901055" cy="1359877"/>
                <wp:effectExtent l="0" t="0" r="23495" b="12065"/>
                <wp:wrapNone/>
                <wp:docPr id="41" name="Prostokąt 41"/>
                <wp:cNvGraphicFramePr/>
                <a:graphic xmlns:a="http://schemas.openxmlformats.org/drawingml/2006/main">
                  <a:graphicData uri="http://schemas.microsoft.com/office/word/2010/wordprocessingShape">
                    <wps:wsp>
                      <wps:cNvSpPr/>
                      <wps:spPr>
                        <a:xfrm>
                          <a:off x="0" y="0"/>
                          <a:ext cx="5901055" cy="1359877"/>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41" o:spid="_x0000_s1026" style="position:absolute;margin-left:-3.45pt;margin-top:11.4pt;width:464.65pt;height:107.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" filled="f" strokecolor="#dc9f0c" strokeweight="1.25pt"/>
            </w:pict>
          </mc:Fallback>
        </mc:AlternateContent>
      </w:r>
    </w:p>
    <w:p w:rsidR="00E320BC" w:rsidRPr="00E320BC" w:rsidRDefault="00E320BC" w:rsidP="009D6230">
      <w:pPr>
        <w:spacing w:after="0"/>
        <w:ind w:firstLine="357"/>
        <w:rPr>
          <w:rFonts w:ascii="Calibri" w:eastAsia="Candara" w:hAnsi="Calibri" w:cs="Times New Roman"/>
        </w:rPr>
      </w:pPr>
      <w:r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W pytaniu ankietowym dotyczącym inwestycji w HOF, jakie należałoby wprowadzić na omawianym terenie wiele odpowiedzi dotyczyło właśnie zagadnienia turystyki i rekreacji. Najczęściej wymienianym zadaniem było budowanie ścieżek rowerowych. Mieszkańcy HOF zgłaszają też potrzebę tworzenia miejsc spotkań dla dorosłych i młodzieży zachęcających do aktywności oraz integracji z rówieśnikami, tworzeniem miejsc rekreacji, czy rozwojem infrastruktury turystycznej, </w:t>
      </w:r>
      <w:r w:rsidRPr="00E320BC">
        <w:rPr>
          <w:rFonts w:ascii="Calibri" w:eastAsia="Candara" w:hAnsi="Calibri" w:cs="Times New Roman"/>
          <w:i/>
          <w:color w:val="936A07"/>
        </w:rPr>
        <w:lastRenderedPageBreak/>
        <w:t>w tym bazy noclegowej i gastronomicznej. W pytaniu dotyczącym oceny strefy turystycznej HOF Ankietowani najgorzej ocenili sieć ścieżek i szlaków rowerowych przyznając 23,9% głosów w kategorii „bardzo zły” oraz 43,3% w kategorii „zły”. Nienajlepsze oceny uzyskały również oferty turystyczne skierowane do różnych grup wiekowych: dzieci, seniorzy i dorośli. Mieszkańcy najwyżej ocenili poziom bazy gastronomicznej (43,3% głosów w kategorii „dobry” i 13,4% głosów w kategorii „bardzo dobry”) oraz wyposażenie placów zabaw i siłowni zewnętrznych (41,8% głosów w kategorii „dobry” i 11,9% głosów w kategorii „bardzo dobry”).</w:t>
      </w:r>
    </w:p>
    <w:p w:rsidR="00E320BC" w:rsidRPr="00E320BC" w:rsidRDefault="00405114"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i/>
          <w:noProof/>
          <w:color w:val="F5C040"/>
          <w:lang w:eastAsia="pl-PL"/>
        </w:rPr>
        <mc:AlternateContent>
          <mc:Choice Requires="wps">
            <w:drawing>
              <wp:anchor distT="0" distB="0" distL="114300" distR="114300" simplePos="0" relativeHeight="251777024" behindDoc="0" locked="0" layoutInCell="1" allowOverlap="1" wp14:anchorId="418FF60A" wp14:editId="4ADEA7F6">
                <wp:simplePos x="0" y="0"/>
                <wp:positionH relativeFrom="column">
                  <wp:posOffset>-61595</wp:posOffset>
                </wp:positionH>
                <wp:positionV relativeFrom="paragraph">
                  <wp:posOffset>-1399296</wp:posOffset>
                </wp:positionV>
                <wp:extent cx="5901055" cy="1412631"/>
                <wp:effectExtent l="0" t="0" r="23495" b="16510"/>
                <wp:wrapNone/>
                <wp:docPr id="749" name="Prostokąt 749"/>
                <wp:cNvGraphicFramePr/>
                <a:graphic xmlns:a="http://schemas.openxmlformats.org/drawingml/2006/main">
                  <a:graphicData uri="http://schemas.microsoft.com/office/word/2010/wordprocessingShape">
                    <wps:wsp>
                      <wps:cNvSpPr/>
                      <wps:spPr>
                        <a:xfrm>
                          <a:off x="0" y="0"/>
                          <a:ext cx="5901055" cy="1412631"/>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749" o:spid="_x0000_s1026" style="position:absolute;margin-left:-4.85pt;margin-top:-110.2pt;width:464.65pt;height:111.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" filled="f" strokecolor="#dc9f0c" strokeweight="1.25pt"/>
            </w:pict>
          </mc:Fallback>
        </mc:AlternateContent>
      </w:r>
      <w:r w:rsidR="00E320BC" w:rsidRPr="00E320BC">
        <w:rPr>
          <w:rFonts w:ascii="Calibri" w:eastAsia="Candara" w:hAnsi="Calibri" w:cs="Times New Roman"/>
          <w:b/>
          <w:bCs/>
          <w:i/>
          <w:iCs/>
          <w:color w:val="31B6FD"/>
        </w:rPr>
        <w:t>Rolnictwo</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rPr>
        <w:t xml:space="preserve">Rolnictwo jest podstawowym sektorem gospodarki w gminach wiejskich. </w:t>
      </w:r>
      <w:r w:rsidRPr="00E320BC">
        <w:rPr>
          <w:rFonts w:ascii="Calibri" w:eastAsia="Candara" w:hAnsi="Calibri" w:cs="Times New Roman"/>
          <w:b/>
        </w:rPr>
        <w:t xml:space="preserve">Ze względu na bardzo </w:t>
      </w:r>
      <w:proofErr w:type="gramStart"/>
      <w:r w:rsidRPr="00E320BC">
        <w:rPr>
          <w:rFonts w:ascii="Calibri" w:eastAsia="Candara" w:hAnsi="Calibri" w:cs="Times New Roman"/>
          <w:b/>
        </w:rPr>
        <w:t>dobrą jakość</w:t>
      </w:r>
      <w:proofErr w:type="gramEnd"/>
      <w:r w:rsidRPr="00E320BC">
        <w:rPr>
          <w:rFonts w:ascii="Calibri" w:eastAsia="Candara" w:hAnsi="Calibri" w:cs="Times New Roman"/>
          <w:b/>
        </w:rPr>
        <w:t xml:space="preserve"> gleb oraz brak rozwiniętej działalności przemysłowej w regionie na obszarze Gminy Hrubieszów rolnictwo stanowi najważniejszy dział gospodarki i główne źródło dochodów. </w:t>
      </w:r>
      <w:r w:rsidRPr="00E320BC">
        <w:rPr>
          <w:rFonts w:ascii="Calibri" w:eastAsia="Calibri" w:hAnsi="Calibri" w:cs="Candara"/>
          <w:b/>
        </w:rPr>
        <w:t>Na terenie Gminy Miejskiej Hrubieszów rolnictwo pełni funkcję marginalną.</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Ogólna powierzchnia użytków rolnych w HOF według Powszechnego Spisu Rolnego z 2010 roku wynosiła 22 516,77 ha, z czego łąki zajmowały 1 920,68 ha (8,14%), sady 220,83 ha (0,94%), pastwiska 98,22 ha (0,42%), uprawy trwałe 237,14 ha (1,01%), natomiast </w:t>
      </w:r>
      <w:r w:rsidR="007468F0">
        <w:rPr>
          <w:rFonts w:ascii="Calibri" w:eastAsia="Candara" w:hAnsi="Calibri" w:cs="Times New Roman"/>
        </w:rPr>
        <w:t>lasy i grunty leśne 184,11 </w:t>
      </w:r>
      <w:r w:rsidRPr="00E320BC">
        <w:rPr>
          <w:rFonts w:ascii="Calibri" w:eastAsia="Candara" w:hAnsi="Calibri" w:cs="Times New Roman"/>
        </w:rPr>
        <w:t>ha (0,78%).</w:t>
      </w:r>
    </w:p>
    <w:p w:rsidR="00E320BC" w:rsidRPr="00E320BC" w:rsidRDefault="00E320BC" w:rsidP="00E320BC">
      <w:pPr>
        <w:keepNext/>
        <w:spacing w:after="0" w:line="240" w:lineRule="auto"/>
        <w:ind w:firstLine="357"/>
        <w:rPr>
          <w:rFonts w:ascii="Calibri" w:eastAsia="Candara" w:hAnsi="Calibri" w:cs="Times New Roman"/>
          <w:b/>
          <w:bCs/>
          <w:color w:val="31B6FD"/>
          <w:sz w:val="18"/>
          <w:szCs w:val="18"/>
        </w:rPr>
      </w:pPr>
      <w:bookmarkStart w:id="35" w:name="_Toc138068535"/>
      <w:r w:rsidRPr="00E320BC">
        <w:rPr>
          <w:rFonts w:ascii="Calibri" w:eastAsia="Candara" w:hAnsi="Calibri" w:cs="Times New Roman"/>
          <w:b/>
          <w:bCs/>
          <w:color w:val="31B6FD"/>
          <w:sz w:val="18"/>
          <w:szCs w:val="18"/>
        </w:rPr>
        <w:t xml:space="preserve">Tabela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Tabela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5</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Użytkowanie gruntów w HOF w oparciu o spis rolny z 2010 roku</w:t>
      </w:r>
      <w:bookmarkEnd w:id="35"/>
    </w:p>
    <w:tbl>
      <w:tblPr>
        <w:tblStyle w:val="Jasnasiatkaakcent21"/>
        <w:tblW w:w="0" w:type="auto"/>
        <w:tblLook w:val="04A0" w:firstRow="1" w:lastRow="0" w:firstColumn="1" w:lastColumn="0" w:noHBand="0" w:noVBand="1"/>
      </w:tblPr>
      <w:tblGrid>
        <w:gridCol w:w="1842"/>
        <w:gridCol w:w="1842"/>
        <w:gridCol w:w="1842"/>
        <w:gridCol w:w="1843"/>
        <w:gridCol w:w="1843"/>
      </w:tblGrid>
      <w:tr w:rsidR="00E320BC" w:rsidRPr="00E320BC" w:rsidTr="00E7014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Borders>
              <w:top w:val="nil"/>
              <w:left w:val="nil"/>
            </w:tcBorders>
          </w:tcPr>
          <w:p w:rsidR="00E320BC" w:rsidRPr="00E320BC" w:rsidRDefault="00E320BC" w:rsidP="00E320BC">
            <w:pPr>
              <w:rPr>
                <w:rFonts w:eastAsia="Calibri" w:cs="Candara"/>
                <w:sz w:val="20"/>
                <w:szCs w:val="20"/>
              </w:rPr>
            </w:pPr>
          </w:p>
        </w:tc>
        <w:tc>
          <w:tcPr>
            <w:tcW w:w="1842" w:type="dxa"/>
            <w:vAlign w:val="bottom"/>
          </w:tcPr>
          <w:p w:rsidR="00E320BC" w:rsidRPr="00E320BC" w:rsidRDefault="00E320BC" w:rsidP="00E7014F">
            <w:pPr>
              <w:ind w:firstLine="0"/>
              <w:jc w:val="center"/>
              <w:cnfStyle w:val="100000000000" w:firstRow="1" w:lastRow="0" w:firstColumn="0" w:lastColumn="0" w:oddVBand="0" w:evenVBand="0" w:oddHBand="0" w:evenHBand="0" w:firstRowFirstColumn="0" w:firstRowLastColumn="0" w:lastRowFirstColumn="0" w:lastRowLastColumn="0"/>
              <w:rPr>
                <w:rFonts w:cs="Candara"/>
                <w:color w:val="000000"/>
                <w:sz w:val="20"/>
                <w:szCs w:val="20"/>
              </w:rPr>
            </w:pPr>
            <w:proofErr w:type="gramStart"/>
            <w:r w:rsidRPr="00E320BC">
              <w:rPr>
                <w:rFonts w:cs="Candara"/>
                <w:color w:val="000000"/>
                <w:sz w:val="20"/>
                <w:szCs w:val="20"/>
              </w:rPr>
              <w:t>liczba</w:t>
            </w:r>
            <w:proofErr w:type="gramEnd"/>
            <w:r w:rsidRPr="00E320BC">
              <w:rPr>
                <w:rFonts w:cs="Candara"/>
                <w:color w:val="000000"/>
                <w:sz w:val="20"/>
                <w:szCs w:val="20"/>
              </w:rPr>
              <w:t xml:space="preserve"> gospodarstw rolnych (szt.)</w:t>
            </w:r>
          </w:p>
        </w:tc>
        <w:tc>
          <w:tcPr>
            <w:tcW w:w="1842" w:type="dxa"/>
            <w:vAlign w:val="bottom"/>
          </w:tcPr>
          <w:p w:rsidR="00E320BC" w:rsidRPr="00E320BC" w:rsidRDefault="00E320BC" w:rsidP="00E7014F">
            <w:pPr>
              <w:ind w:firstLine="0"/>
              <w:jc w:val="center"/>
              <w:cnfStyle w:val="100000000000" w:firstRow="1" w:lastRow="0" w:firstColumn="0" w:lastColumn="0" w:oddVBand="0" w:evenVBand="0" w:oddHBand="0" w:evenHBand="0" w:firstRowFirstColumn="0" w:firstRowLastColumn="0" w:lastRowFirstColumn="0" w:lastRowLastColumn="0"/>
              <w:rPr>
                <w:rFonts w:cs="Candara"/>
                <w:color w:val="000000"/>
                <w:sz w:val="20"/>
                <w:szCs w:val="20"/>
              </w:rPr>
            </w:pPr>
            <w:proofErr w:type="gramStart"/>
            <w:r w:rsidRPr="00E320BC">
              <w:rPr>
                <w:rFonts w:cs="Candara"/>
                <w:color w:val="000000"/>
                <w:sz w:val="20"/>
                <w:szCs w:val="20"/>
              </w:rPr>
              <w:t>udział</w:t>
            </w:r>
            <w:proofErr w:type="gramEnd"/>
            <w:r w:rsidRPr="00E320BC">
              <w:rPr>
                <w:rFonts w:cs="Candara"/>
                <w:color w:val="000000"/>
                <w:sz w:val="20"/>
                <w:szCs w:val="20"/>
              </w:rPr>
              <w:t xml:space="preserve"> w gruntach rolnych ogółem (%)</w:t>
            </w:r>
          </w:p>
        </w:tc>
        <w:tc>
          <w:tcPr>
            <w:tcW w:w="1843" w:type="dxa"/>
            <w:vAlign w:val="center"/>
          </w:tcPr>
          <w:p w:rsidR="00E320BC" w:rsidRPr="00E320BC" w:rsidRDefault="00E320BC" w:rsidP="00E7014F">
            <w:pPr>
              <w:spacing w:before="0"/>
              <w:ind w:firstLine="0"/>
              <w:jc w:val="center"/>
              <w:cnfStyle w:val="100000000000" w:firstRow="1" w:lastRow="0" w:firstColumn="0" w:lastColumn="0" w:oddVBand="0" w:evenVBand="0" w:oddHBand="0" w:evenHBand="0" w:firstRowFirstColumn="0" w:firstRowLastColumn="0" w:lastRowFirstColumn="0" w:lastRowLastColumn="0"/>
              <w:rPr>
                <w:rFonts w:cs="Candara"/>
                <w:color w:val="000000"/>
                <w:sz w:val="20"/>
                <w:szCs w:val="20"/>
              </w:rPr>
            </w:pPr>
            <w:r w:rsidRPr="00E320BC">
              <w:rPr>
                <w:rFonts w:cs="Candara"/>
                <w:color w:val="000000"/>
                <w:sz w:val="20"/>
                <w:szCs w:val="20"/>
              </w:rPr>
              <w:t>Powierzchnia gospodarstw (ha)</w:t>
            </w:r>
          </w:p>
        </w:tc>
        <w:tc>
          <w:tcPr>
            <w:tcW w:w="1843" w:type="dxa"/>
            <w:vAlign w:val="bottom"/>
          </w:tcPr>
          <w:p w:rsidR="00E320BC" w:rsidRPr="00E320BC" w:rsidRDefault="00E320BC" w:rsidP="00E7014F">
            <w:pPr>
              <w:ind w:firstLine="0"/>
              <w:jc w:val="center"/>
              <w:cnfStyle w:val="100000000000" w:firstRow="1" w:lastRow="0" w:firstColumn="0" w:lastColumn="0" w:oddVBand="0" w:evenVBand="0" w:oddHBand="0" w:evenHBand="0" w:firstRowFirstColumn="0" w:firstRowLastColumn="0" w:lastRowFirstColumn="0" w:lastRowLastColumn="0"/>
              <w:rPr>
                <w:rFonts w:cs="Candara"/>
                <w:color w:val="000000"/>
                <w:sz w:val="20"/>
                <w:szCs w:val="20"/>
              </w:rPr>
            </w:pPr>
            <w:proofErr w:type="gramStart"/>
            <w:r w:rsidRPr="00E320BC">
              <w:rPr>
                <w:rFonts w:cs="Candara"/>
                <w:color w:val="000000"/>
                <w:sz w:val="20"/>
                <w:szCs w:val="20"/>
              </w:rPr>
              <w:t>udział</w:t>
            </w:r>
            <w:proofErr w:type="gramEnd"/>
            <w:r w:rsidRPr="00E320BC">
              <w:rPr>
                <w:rFonts w:cs="Candara"/>
                <w:color w:val="000000"/>
                <w:sz w:val="20"/>
                <w:szCs w:val="20"/>
              </w:rPr>
              <w:t xml:space="preserve"> w gruntach rolnych ogółem (%)</w:t>
            </w:r>
          </w:p>
        </w:tc>
      </w:tr>
      <w:tr w:rsidR="00E320BC" w:rsidRPr="00E320BC" w:rsidTr="00E320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grunty</w:t>
            </w:r>
            <w:proofErr w:type="gramEnd"/>
            <w:r w:rsidRPr="00E320BC">
              <w:rPr>
                <w:rFonts w:cs="Candara"/>
                <w:sz w:val="20"/>
                <w:szCs w:val="20"/>
              </w:rPr>
              <w:t xml:space="preserve"> ogółem</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2 964</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100</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23 587,08</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100</w:t>
            </w:r>
          </w:p>
        </w:tc>
      </w:tr>
      <w:tr w:rsidR="00E320BC" w:rsidRPr="00E320BC" w:rsidTr="00E320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użytki</w:t>
            </w:r>
            <w:proofErr w:type="gramEnd"/>
            <w:r w:rsidRPr="00E320BC">
              <w:rPr>
                <w:rFonts w:cs="Candara"/>
                <w:sz w:val="20"/>
                <w:szCs w:val="20"/>
              </w:rPr>
              <w:t xml:space="preserve"> rolne ogółem</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2 963</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99,97</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22 516,77</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95,46</w:t>
            </w:r>
          </w:p>
        </w:tc>
      </w:tr>
      <w:tr w:rsidR="00E320BC" w:rsidRPr="00E320BC" w:rsidTr="00E320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7014F" w:rsidP="00E7014F">
            <w:pPr>
              <w:ind w:firstLine="0"/>
              <w:jc w:val="left"/>
              <w:rPr>
                <w:rFonts w:cs="Candara"/>
                <w:sz w:val="20"/>
                <w:szCs w:val="20"/>
              </w:rPr>
            </w:pPr>
            <w:proofErr w:type="gramStart"/>
            <w:r>
              <w:rPr>
                <w:rFonts w:cs="Candara"/>
                <w:sz w:val="20"/>
                <w:szCs w:val="20"/>
              </w:rPr>
              <w:t>użytki</w:t>
            </w:r>
            <w:proofErr w:type="gramEnd"/>
            <w:r>
              <w:rPr>
                <w:rFonts w:cs="Candara"/>
                <w:sz w:val="20"/>
                <w:szCs w:val="20"/>
              </w:rPr>
              <w:t xml:space="preserve"> rolne w </w:t>
            </w:r>
            <w:r w:rsidR="00E320BC" w:rsidRPr="00E320BC">
              <w:rPr>
                <w:rFonts w:cs="Candara"/>
                <w:sz w:val="20"/>
                <w:szCs w:val="20"/>
              </w:rPr>
              <w:t>dobrej kulturze</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2 790</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94,13</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22 233,68</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94,26</w:t>
            </w:r>
          </w:p>
        </w:tc>
      </w:tr>
      <w:tr w:rsidR="00E320BC" w:rsidRPr="00E320BC" w:rsidTr="00E320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pod</w:t>
            </w:r>
            <w:proofErr w:type="gramEnd"/>
            <w:r w:rsidRPr="00E320BC">
              <w:rPr>
                <w:rFonts w:cs="Candara"/>
                <w:sz w:val="20"/>
                <w:szCs w:val="20"/>
              </w:rPr>
              <w:t xml:space="preserve"> zasiewami</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2 593</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87,48</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19 583,22</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83,03</w:t>
            </w:r>
          </w:p>
        </w:tc>
      </w:tr>
      <w:tr w:rsidR="00E320BC" w:rsidRPr="00E320BC" w:rsidTr="00E320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7014F" w:rsidP="00E7014F">
            <w:pPr>
              <w:ind w:firstLine="0"/>
              <w:jc w:val="left"/>
              <w:rPr>
                <w:rFonts w:cs="Candara"/>
                <w:sz w:val="20"/>
                <w:szCs w:val="20"/>
              </w:rPr>
            </w:pPr>
            <w:proofErr w:type="gramStart"/>
            <w:r>
              <w:rPr>
                <w:rFonts w:cs="Candara"/>
                <w:sz w:val="20"/>
                <w:szCs w:val="20"/>
              </w:rPr>
              <w:t>grunty</w:t>
            </w:r>
            <w:proofErr w:type="gramEnd"/>
            <w:r>
              <w:rPr>
                <w:rFonts w:cs="Candara"/>
                <w:sz w:val="20"/>
                <w:szCs w:val="20"/>
              </w:rPr>
              <w:t xml:space="preserve"> ugorowane łącznie z </w:t>
            </w:r>
            <w:r w:rsidR="00E320BC" w:rsidRPr="00E320BC">
              <w:rPr>
                <w:rFonts w:cs="Candara"/>
                <w:sz w:val="20"/>
                <w:szCs w:val="20"/>
              </w:rPr>
              <w:t>nawozami zielonymi</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153</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5,16</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213,76</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0,91</w:t>
            </w:r>
          </w:p>
        </w:tc>
      </w:tr>
      <w:tr w:rsidR="00E320BC" w:rsidRPr="00E320BC" w:rsidTr="00E320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uprawy</w:t>
            </w:r>
            <w:proofErr w:type="gramEnd"/>
            <w:r w:rsidRPr="00E320BC">
              <w:rPr>
                <w:rFonts w:cs="Candara"/>
                <w:sz w:val="20"/>
                <w:szCs w:val="20"/>
              </w:rPr>
              <w:t xml:space="preserve"> trwałe</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637</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21,49</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237,14</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1,01</w:t>
            </w:r>
          </w:p>
        </w:tc>
      </w:tr>
      <w:tr w:rsidR="00E320BC" w:rsidRPr="00E320BC" w:rsidTr="00E320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sady</w:t>
            </w:r>
            <w:proofErr w:type="gramEnd"/>
            <w:r w:rsidRPr="00E320BC">
              <w:rPr>
                <w:rFonts w:cs="Candara"/>
                <w:sz w:val="20"/>
                <w:szCs w:val="20"/>
              </w:rPr>
              <w:t xml:space="preserve"> ogółem</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469</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15,82</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220,83</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0,94</w:t>
            </w:r>
          </w:p>
        </w:tc>
      </w:tr>
      <w:tr w:rsidR="00E320BC" w:rsidRPr="00E320BC" w:rsidTr="00E320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ogrody</w:t>
            </w:r>
            <w:proofErr w:type="gramEnd"/>
            <w:r w:rsidRPr="00E320BC">
              <w:rPr>
                <w:rFonts w:cs="Candara"/>
                <w:sz w:val="20"/>
                <w:szCs w:val="20"/>
              </w:rPr>
              <w:t xml:space="preserve"> przydomowe</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2 133</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71,96</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180,67</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0,77</w:t>
            </w:r>
          </w:p>
        </w:tc>
      </w:tr>
      <w:tr w:rsidR="00E320BC" w:rsidRPr="00E320BC" w:rsidTr="00E320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łąki</w:t>
            </w:r>
            <w:proofErr w:type="gramEnd"/>
            <w:r w:rsidRPr="00E320BC">
              <w:rPr>
                <w:rFonts w:cs="Candara"/>
                <w:sz w:val="20"/>
                <w:szCs w:val="20"/>
              </w:rPr>
              <w:t xml:space="preserve"> trwałe</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1 517</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51,18</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1 920,68</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8,14</w:t>
            </w:r>
          </w:p>
        </w:tc>
      </w:tr>
      <w:tr w:rsidR="00E320BC" w:rsidRPr="00E320BC" w:rsidTr="00E320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pastwiska</w:t>
            </w:r>
            <w:proofErr w:type="gramEnd"/>
            <w:r w:rsidRPr="00E320BC">
              <w:rPr>
                <w:rFonts w:cs="Candara"/>
                <w:sz w:val="20"/>
                <w:szCs w:val="20"/>
              </w:rPr>
              <w:t xml:space="preserve"> trwałe</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177</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5,97</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98,22</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0,42</w:t>
            </w:r>
          </w:p>
        </w:tc>
      </w:tr>
      <w:tr w:rsidR="00E320BC" w:rsidRPr="00E320BC" w:rsidTr="00E320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pozostałe</w:t>
            </w:r>
            <w:proofErr w:type="gramEnd"/>
            <w:r w:rsidRPr="00E320BC">
              <w:rPr>
                <w:rFonts w:cs="Candara"/>
                <w:sz w:val="20"/>
                <w:szCs w:val="20"/>
              </w:rPr>
              <w:t xml:space="preserve"> użytki rolne</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372</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12,55</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283,09</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1,20</w:t>
            </w:r>
          </w:p>
        </w:tc>
      </w:tr>
      <w:tr w:rsidR="00E320BC" w:rsidRPr="00E320BC" w:rsidTr="00E320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lasy</w:t>
            </w:r>
            <w:proofErr w:type="gramEnd"/>
            <w:r w:rsidRPr="00E320BC">
              <w:rPr>
                <w:rFonts w:cs="Candara"/>
                <w:sz w:val="20"/>
                <w:szCs w:val="20"/>
              </w:rPr>
              <w:t xml:space="preserve"> i grunty leśne</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291</w:t>
            </w:r>
          </w:p>
        </w:tc>
        <w:tc>
          <w:tcPr>
            <w:tcW w:w="1842"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9,82</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184,11</w:t>
            </w:r>
          </w:p>
        </w:tc>
        <w:tc>
          <w:tcPr>
            <w:tcW w:w="1843" w:type="dxa"/>
            <w:vAlign w:val="center"/>
          </w:tcPr>
          <w:p w:rsidR="00E320BC" w:rsidRPr="00E320BC" w:rsidRDefault="00E320BC" w:rsidP="00E7014F">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0,78</w:t>
            </w:r>
          </w:p>
        </w:tc>
      </w:tr>
      <w:tr w:rsidR="00E320BC" w:rsidRPr="00E320BC" w:rsidTr="00E320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2" w:type="dxa"/>
          </w:tcPr>
          <w:p w:rsidR="00E320BC" w:rsidRPr="00E320BC" w:rsidRDefault="00E320BC" w:rsidP="00E7014F">
            <w:pPr>
              <w:ind w:firstLine="0"/>
              <w:jc w:val="left"/>
              <w:rPr>
                <w:rFonts w:cs="Candara"/>
                <w:sz w:val="20"/>
                <w:szCs w:val="20"/>
              </w:rPr>
            </w:pPr>
            <w:proofErr w:type="gramStart"/>
            <w:r w:rsidRPr="00E320BC">
              <w:rPr>
                <w:rFonts w:cs="Candara"/>
                <w:sz w:val="20"/>
                <w:szCs w:val="20"/>
              </w:rPr>
              <w:t>pozostałe</w:t>
            </w:r>
            <w:proofErr w:type="gramEnd"/>
            <w:r w:rsidRPr="00E320BC">
              <w:rPr>
                <w:rFonts w:cs="Candara"/>
                <w:sz w:val="20"/>
                <w:szCs w:val="20"/>
              </w:rPr>
              <w:t xml:space="preserve"> grunty</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2 398</w:t>
            </w:r>
          </w:p>
        </w:tc>
        <w:tc>
          <w:tcPr>
            <w:tcW w:w="1842"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80,90</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886,19</w:t>
            </w:r>
          </w:p>
        </w:tc>
        <w:tc>
          <w:tcPr>
            <w:tcW w:w="1843" w:type="dxa"/>
            <w:vAlign w:val="center"/>
          </w:tcPr>
          <w:p w:rsidR="00E320BC" w:rsidRPr="00E320BC" w:rsidRDefault="00E320BC" w:rsidP="00E7014F">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Candara"/>
                <w:sz w:val="20"/>
                <w:szCs w:val="20"/>
              </w:rPr>
            </w:pPr>
            <w:r w:rsidRPr="00E320BC">
              <w:rPr>
                <w:rFonts w:ascii="Calibri" w:eastAsia="Candara" w:hAnsi="Calibri" w:cs="Candara"/>
                <w:sz w:val="20"/>
                <w:szCs w:val="20"/>
              </w:rPr>
              <w:t>3,76</w:t>
            </w:r>
          </w:p>
        </w:tc>
      </w:tr>
    </w:tbl>
    <w:p w:rsidR="00E320BC" w:rsidRPr="00E320BC" w:rsidRDefault="00E320BC" w:rsidP="00163727">
      <w:pPr>
        <w:spacing w:after="240"/>
        <w:ind w:firstLine="0"/>
        <w:rPr>
          <w:rFonts w:ascii="Calibri" w:eastAsia="Candara" w:hAnsi="Calibri" w:cs="Times New Roman"/>
          <w:i/>
          <w:sz w:val="18"/>
          <w:szCs w:val="18"/>
        </w:rPr>
      </w:pPr>
      <w:r w:rsidRPr="00E320BC">
        <w:rPr>
          <w:rFonts w:ascii="Calibri" w:eastAsia="Candara" w:hAnsi="Calibri" w:cs="Times New Roman"/>
          <w:i/>
          <w:sz w:val="18"/>
          <w:szCs w:val="18"/>
        </w:rPr>
        <w:t>Źródło: Opracowanie własne na podstawie BDL GUS</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lastRenderedPageBreak/>
        <w:t xml:space="preserve">Nieco inaczej prezentuje się sytuacja w roku 2014. Zgodnie z danymi GUS ogólna powierzchnia użytków rolnych wynosiła 24 169 ha, z czego łąki zajmowały 2 654 ha (10,98%), sady 330 ha (1,37%), pastwiska 423 ha (1,75%), grunty orne 19 849 ha (82.13%), </w:t>
      </w:r>
      <w:proofErr w:type="gramStart"/>
      <w:r w:rsidRPr="00E320BC">
        <w:rPr>
          <w:rFonts w:ascii="Calibri" w:eastAsia="Candara" w:hAnsi="Calibri" w:cs="Times New Roman"/>
        </w:rPr>
        <w:t>natomiast</w:t>
      </w:r>
      <w:proofErr w:type="gramEnd"/>
      <w:r w:rsidRPr="00E320BC">
        <w:rPr>
          <w:rFonts w:ascii="Calibri" w:eastAsia="Candara" w:hAnsi="Calibri" w:cs="Times New Roman"/>
        </w:rPr>
        <w:t xml:space="preserve"> grunty leśne oraz zadrzewione i zakrzewione 3 209 ha (13,28%).</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Zgodnie z danymi Urzędu Gminy przedstawionymi w Raporcie o stanie gminy Hrubieszów za 2019 rok </w:t>
      </w:r>
      <w:r w:rsidRPr="00E320BC">
        <w:rPr>
          <w:rFonts w:ascii="Calibri" w:eastAsia="Candara" w:hAnsi="Calibri" w:cs="Times New Roman"/>
          <w:b/>
        </w:rPr>
        <w:t>średnia wielkość gospodarstwa wynosiła ok. 7,2 ha</w:t>
      </w:r>
      <w:r w:rsidRPr="00E320BC">
        <w:rPr>
          <w:rFonts w:ascii="Calibri" w:eastAsia="Candara" w:hAnsi="Calibri" w:cs="Times New Roman"/>
        </w:rPr>
        <w:t xml:space="preserve"> była poniżej średniej wojewódzkiej, kształtującej się na poziomie 7,93 ha oraz poniżej średniej dla obszaru ca</w:t>
      </w:r>
      <w:r w:rsidR="007468F0">
        <w:rPr>
          <w:rFonts w:ascii="Calibri" w:eastAsia="Candara" w:hAnsi="Calibri" w:cs="Times New Roman"/>
        </w:rPr>
        <w:t>łego kraju, który wynosił 10,95 </w:t>
      </w:r>
      <w:r w:rsidRPr="00E320BC">
        <w:rPr>
          <w:rFonts w:ascii="Calibri" w:eastAsia="Candara" w:hAnsi="Calibri" w:cs="Times New Roman"/>
        </w:rPr>
        <w:t>ha.</w:t>
      </w:r>
    </w:p>
    <w:p w:rsidR="00E320BC" w:rsidRPr="00E320BC" w:rsidRDefault="003A332D" w:rsidP="00E320BC">
      <w:pPr>
        <w:spacing w:after="0"/>
        <w:ind w:firstLine="357"/>
        <w:rPr>
          <w:rFonts w:ascii="Calibri" w:eastAsia="Candara" w:hAnsi="Calibri" w:cs="Times New Roman"/>
        </w:rPr>
      </w:pPr>
      <w:r w:rsidRPr="00E320BC">
        <w:rPr>
          <w:rFonts w:ascii="Calibri" w:eastAsia="Candara" w:hAnsi="Calibri" w:cs="Times New Roman"/>
          <w:noProof/>
          <w:lang w:eastAsia="pl-PL"/>
        </w:rPr>
        <mc:AlternateContent>
          <mc:Choice Requires="wps">
            <w:drawing>
              <wp:anchor distT="0" distB="0" distL="114300" distR="114300" simplePos="0" relativeHeight="251700224" behindDoc="0" locked="0" layoutInCell="1" allowOverlap="1" wp14:anchorId="5ADE6966" wp14:editId="217E5083">
                <wp:simplePos x="0" y="0"/>
                <wp:positionH relativeFrom="column">
                  <wp:posOffset>-1905</wp:posOffset>
                </wp:positionH>
                <wp:positionV relativeFrom="paragraph">
                  <wp:posOffset>59055</wp:posOffset>
                </wp:positionV>
                <wp:extent cx="3144520" cy="3581400"/>
                <wp:effectExtent l="0" t="0" r="0" b="0"/>
                <wp:wrapSquare wrapText="bothSides"/>
                <wp:docPr id="42"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4520" cy="3581400"/>
                        </a:xfrm>
                        <a:prstGeom prst="rect">
                          <a:avLst/>
                        </a:prstGeom>
                        <a:solidFill>
                          <a:srgbClr val="FFFFFF"/>
                        </a:solidFill>
                        <a:ln w="9525">
                          <a:noFill/>
                          <a:miter lim="800000"/>
                          <a:headEnd/>
                          <a:tailEnd/>
                        </a:ln>
                      </wps:spPr>
                      <wps:txbx>
                        <w:txbxContent>
                          <w:p w:rsidR="002441D5" w:rsidRPr="00163727" w:rsidRDefault="002441D5" w:rsidP="007468F0">
                            <w:pPr>
                              <w:pStyle w:val="Legenda"/>
                              <w:keepNext/>
                              <w:ind w:firstLine="0"/>
                              <w:rPr>
                                <w:color w:val="31B6FD" w:themeColor="accent1"/>
                              </w:rPr>
                            </w:pPr>
                            <w:bookmarkStart w:id="36" w:name="_Toc138068622"/>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14</w:t>
                            </w:r>
                            <w:r w:rsidRPr="00163727">
                              <w:rPr>
                                <w:noProof/>
                                <w:color w:val="31B6FD" w:themeColor="accent1"/>
                              </w:rPr>
                              <w:fldChar w:fldCharType="end"/>
                            </w:r>
                            <w:r w:rsidRPr="00163727">
                              <w:rPr>
                                <w:color w:val="31B6FD" w:themeColor="accent1"/>
                              </w:rPr>
                              <w:t>. Liczba i powierzchnia gospodarstw rolnych w HOF w 2010 roku w podziale na obszarowe użytki rolne</w:t>
                            </w:r>
                            <w:bookmarkEnd w:id="36"/>
                          </w:p>
                          <w:p w:rsidR="002441D5" w:rsidRDefault="002441D5" w:rsidP="007468F0">
                            <w:pPr>
                              <w:spacing w:after="0"/>
                              <w:ind w:firstLine="0"/>
                            </w:pPr>
                            <w:r>
                              <w:rPr>
                                <w:noProof/>
                                <w:lang w:eastAsia="pl-PL"/>
                              </w:rPr>
                              <w:drawing>
                                <wp:inline distT="0" distB="0" distL="0" distR="0" wp14:anchorId="254144CD" wp14:editId="53F92CD6">
                                  <wp:extent cx="3045122" cy="2826327"/>
                                  <wp:effectExtent l="0" t="0" r="3175" b="0"/>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9369" cy="2830269"/>
                                          </a:xfrm>
                                          <a:prstGeom prst="rect">
                                            <a:avLst/>
                                          </a:prstGeom>
                                          <a:noFill/>
                                        </pic:spPr>
                                      </pic:pic>
                                    </a:graphicData>
                                  </a:graphic>
                                </wp:inline>
                              </w:drawing>
                            </w:r>
                          </w:p>
                          <w:p w:rsidR="002441D5" w:rsidRPr="00506E4E" w:rsidRDefault="002441D5" w:rsidP="007468F0">
                            <w:pPr>
                              <w:spacing w:before="0"/>
                              <w:rPr>
                                <w:i/>
                                <w:sz w:val="18"/>
                                <w:szCs w:val="18"/>
                              </w:rPr>
                            </w:pPr>
                            <w:r w:rsidRPr="00506E4E">
                              <w:rPr>
                                <w:i/>
                                <w:sz w:val="18"/>
                                <w:szCs w:val="18"/>
                              </w:rPr>
                              <w:t>Źródło: BDL GUS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15pt;margin-top:4.65pt;width:247.6pt;height:28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" stroked="f">
                <v:textbox>
                  <w:txbxContent>
                    <w:p w:rsidR="002441D5" w:rsidRPr="00163727" w:rsidRDefault="002441D5" w:rsidP="007468F0">
                      <w:pPr>
                        <w:pStyle w:val="Legenda"/>
                        <w:keepNext/>
                        <w:ind w:firstLine="0"/>
                        <w:rPr>
                          <w:color w:val="31B6FD" w:themeColor="accent1"/>
                        </w:rPr>
                      </w:pPr>
                      <w:bookmarkStart w:id="37" w:name="_Toc138068622"/>
                      <w:r w:rsidRPr="00163727">
                        <w:rPr>
                          <w:color w:val="31B6FD" w:themeColor="accent1"/>
                        </w:rPr>
                        <w:t xml:space="preserve">Wykres </w:t>
                      </w:r>
                      <w:r w:rsidRPr="00163727">
                        <w:rPr>
                          <w:color w:val="31B6FD" w:themeColor="accent1"/>
                        </w:rPr>
                        <w:fldChar w:fldCharType="begin"/>
                      </w:r>
                      <w:r w:rsidRPr="00163727">
                        <w:rPr>
                          <w:color w:val="31B6FD" w:themeColor="accent1"/>
                        </w:rPr>
                        <w:instrText xml:space="preserve"> SEQ Wykres \* ARABIC </w:instrText>
                      </w:r>
                      <w:r w:rsidRPr="00163727">
                        <w:rPr>
                          <w:color w:val="31B6FD" w:themeColor="accent1"/>
                        </w:rPr>
                        <w:fldChar w:fldCharType="separate"/>
                      </w:r>
                      <w:r w:rsidR="0022657A">
                        <w:rPr>
                          <w:noProof/>
                          <w:color w:val="31B6FD" w:themeColor="accent1"/>
                        </w:rPr>
                        <w:t>14</w:t>
                      </w:r>
                      <w:r w:rsidRPr="00163727">
                        <w:rPr>
                          <w:noProof/>
                          <w:color w:val="31B6FD" w:themeColor="accent1"/>
                        </w:rPr>
                        <w:fldChar w:fldCharType="end"/>
                      </w:r>
                      <w:r w:rsidRPr="00163727">
                        <w:rPr>
                          <w:color w:val="31B6FD" w:themeColor="accent1"/>
                        </w:rPr>
                        <w:t>. Liczba i powierzchnia gospodarstw rolnych w HOF w 2010 roku w podziale na obszarowe użytki rolne</w:t>
                      </w:r>
                      <w:bookmarkEnd w:id="37"/>
                    </w:p>
                    <w:p w:rsidR="002441D5" w:rsidRDefault="002441D5" w:rsidP="007468F0">
                      <w:pPr>
                        <w:spacing w:after="0"/>
                        <w:ind w:firstLine="0"/>
                      </w:pPr>
                      <w:r>
                        <w:rPr>
                          <w:noProof/>
                          <w:lang w:eastAsia="pl-PL"/>
                        </w:rPr>
                        <w:drawing>
                          <wp:inline distT="0" distB="0" distL="0" distR="0" wp14:anchorId="254144CD" wp14:editId="53F92CD6">
                            <wp:extent cx="3045122" cy="2826327"/>
                            <wp:effectExtent l="0" t="0" r="3175" b="0"/>
                            <wp:docPr id="502" name="Obraz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49369" cy="2830269"/>
                                    </a:xfrm>
                                    <a:prstGeom prst="rect">
                                      <a:avLst/>
                                    </a:prstGeom>
                                    <a:noFill/>
                                  </pic:spPr>
                                </pic:pic>
                              </a:graphicData>
                            </a:graphic>
                          </wp:inline>
                        </w:drawing>
                      </w:r>
                    </w:p>
                    <w:p w:rsidR="002441D5" w:rsidRPr="00506E4E" w:rsidRDefault="002441D5" w:rsidP="007468F0">
                      <w:pPr>
                        <w:spacing w:before="0"/>
                        <w:rPr>
                          <w:i/>
                          <w:sz w:val="18"/>
                          <w:szCs w:val="18"/>
                        </w:rPr>
                      </w:pPr>
                      <w:r w:rsidRPr="00506E4E">
                        <w:rPr>
                          <w:i/>
                          <w:sz w:val="18"/>
                          <w:szCs w:val="18"/>
                        </w:rPr>
                        <w:t>Źródło: BDL GUS</w:t>
                      </w:r>
                    </w:p>
                  </w:txbxContent>
                </v:textbox>
                <w10:wrap type="square"/>
              </v:shape>
            </w:pict>
          </mc:Fallback>
        </mc:AlternateContent>
      </w:r>
      <w:r w:rsidR="00E320BC" w:rsidRPr="00E320BC">
        <w:rPr>
          <w:rFonts w:ascii="Calibri" w:eastAsia="Candara" w:hAnsi="Calibri" w:cs="Times New Roman"/>
          <w:b/>
        </w:rPr>
        <w:t>W 2010 roku w HOF funkcjonowało 2 969 gospodarstw rolnych, z czego 78,61% na obszarze Gminy Hrubieszów.</w:t>
      </w:r>
      <w:r w:rsidR="00E320BC" w:rsidRPr="00E320BC">
        <w:rPr>
          <w:rFonts w:ascii="Calibri" w:eastAsia="Candara" w:hAnsi="Calibri" w:cs="Times New Roman"/>
        </w:rPr>
        <w:t xml:space="preserve"> Najwięcej z nich dysponowało powierzchnią gruntów rolnych powyżej 1 ha jednak nie większych niż 5 ha – są to 853 gospodarstwa (28,7% wszystkich gospodarstw). Pod względem powierzchni, największy areał w HOF zajmowały gospodarstwa powyżej 15 ha (11 516,01 ha).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Podobnie jak w pozostałych gminach Żywicielskiego OSI </w:t>
      </w:r>
      <w:r w:rsidRPr="00E320BC">
        <w:rPr>
          <w:rFonts w:ascii="Calibri" w:eastAsia="Candara" w:hAnsi="Calibri" w:cs="Times New Roman"/>
          <w:b/>
        </w:rPr>
        <w:t>cechą wiodącą HOF są wykształcone specjalizacje gospodarstw rolnych ukierunkowane na uprawę roślin o wysokich wymaganiach glebowych.</w:t>
      </w:r>
      <w:r w:rsidRPr="00E320BC">
        <w:rPr>
          <w:rFonts w:ascii="Calibri" w:eastAsia="Candara" w:hAnsi="Calibri" w:cs="Times New Roman"/>
        </w:rPr>
        <w:t xml:space="preserve"> </w:t>
      </w:r>
      <w:r w:rsidRPr="00E320BC">
        <w:rPr>
          <w:rFonts w:ascii="Calibri" w:eastAsia="Candara" w:hAnsi="Calibri" w:cs="Times New Roman"/>
          <w:b/>
        </w:rPr>
        <w:t>W produkcji roślinnej dominują zboża,</w:t>
      </w:r>
      <w:r w:rsidRPr="00E320BC">
        <w:rPr>
          <w:rFonts w:ascii="Calibri" w:eastAsia="Candara" w:hAnsi="Calibri" w:cs="Times New Roman"/>
        </w:rPr>
        <w:t xml:space="preserve"> charakterystyczny jest wysoki w ogólnej powierzchni zasiewów udział pszenicy oraz niski, w porównaniu ze średnią województwa udział owsa, pszenżyta, czy mieszanek zbożowych</w:t>
      </w:r>
      <w:r w:rsidRPr="00E320BC">
        <w:rPr>
          <w:rFonts w:ascii="Calibri" w:eastAsia="Candara" w:hAnsi="Calibri" w:cs="Times New Roman"/>
          <w:b/>
        </w:rPr>
        <w:t>. Dość znaczący w zasiewach ogółem jest również udział burakó</w:t>
      </w:r>
      <w:r w:rsidR="007468F0">
        <w:rPr>
          <w:rFonts w:ascii="Calibri" w:eastAsia="Candara" w:hAnsi="Calibri" w:cs="Times New Roman"/>
          <w:b/>
        </w:rPr>
        <w:t>w cukrowych, pomimo faktu, że w </w:t>
      </w:r>
      <w:r w:rsidRPr="00E320BC">
        <w:rPr>
          <w:rFonts w:ascii="Calibri" w:eastAsia="Candara" w:hAnsi="Calibri" w:cs="Times New Roman"/>
          <w:b/>
        </w:rPr>
        <w:t xml:space="preserve">2019 roku zakończyła pracę cukrownia w Strzyżowie, jedna z dwóch działających na </w:t>
      </w:r>
      <w:r w:rsidR="00B705D1" w:rsidRPr="00E320BC">
        <w:rPr>
          <w:rFonts w:ascii="Calibri" w:eastAsia="Candara" w:hAnsi="Calibri" w:cs="Times New Roman"/>
          <w:b/>
        </w:rPr>
        <w:t>terenie powiatu hrubieszowskiego</w:t>
      </w:r>
      <w:r w:rsidR="00EF7B5E">
        <w:rPr>
          <w:rFonts w:ascii="Calibri" w:eastAsia="Candara" w:hAnsi="Calibri" w:cs="Times New Roman"/>
          <w:b/>
        </w:rPr>
        <w:t xml:space="preserve">. </w:t>
      </w:r>
      <w:r w:rsidR="00EF7B5E" w:rsidRPr="00F77499">
        <w:rPr>
          <w:rFonts w:ascii="Calibri" w:eastAsia="Candara" w:hAnsi="Calibri" w:cs="Times New Roman"/>
        </w:rPr>
        <w:t>O</w:t>
      </w:r>
      <w:r w:rsidR="007468F0" w:rsidRPr="00F77499">
        <w:rPr>
          <w:rFonts w:ascii="Calibri" w:eastAsia="Candara" w:hAnsi="Calibri" w:cs="Times New Roman"/>
        </w:rPr>
        <w:t>becnie cukrownia działa tylko w </w:t>
      </w:r>
      <w:r w:rsidR="00EF7B5E" w:rsidRPr="00F77499">
        <w:rPr>
          <w:rFonts w:ascii="Calibri" w:eastAsia="Candara" w:hAnsi="Calibri" w:cs="Times New Roman"/>
        </w:rPr>
        <w:t>Werbkowicach.</w:t>
      </w:r>
      <w:r w:rsidRPr="00E320BC">
        <w:rPr>
          <w:rFonts w:ascii="Calibri" w:eastAsia="Candara" w:hAnsi="Calibri" w:cs="Times New Roman"/>
        </w:rPr>
        <w:t xml:space="preserve"> Oprócz wymienionych upraw rolnicy zajmują się uprawą roślin strączkowych, przede wszystkim fasoli i grochu, rzepaku, a także </w:t>
      </w:r>
      <w:r w:rsidR="001C55F9">
        <w:rPr>
          <w:rFonts w:ascii="Calibri" w:eastAsia="Candara" w:hAnsi="Calibri" w:cs="Times New Roman"/>
        </w:rPr>
        <w:t>kukurydzy</w:t>
      </w:r>
      <w:r w:rsidRPr="00E320BC">
        <w:rPr>
          <w:rFonts w:ascii="Calibri" w:eastAsia="Candara" w:hAnsi="Calibri" w:cs="Times New Roman"/>
        </w:rPr>
        <w:t xml:space="preserve">, dyni, chmielu oraz ziemniaków. </w:t>
      </w:r>
      <w:proofErr w:type="gramStart"/>
      <w:r w:rsidRPr="00E320BC">
        <w:rPr>
          <w:rFonts w:ascii="Calibri" w:eastAsia="Candara" w:hAnsi="Calibri" w:cs="Times New Roman"/>
          <w:b/>
        </w:rPr>
        <w:t>Dobra jakość</w:t>
      </w:r>
      <w:proofErr w:type="gramEnd"/>
      <w:r w:rsidRPr="00E320BC">
        <w:rPr>
          <w:rFonts w:ascii="Calibri" w:eastAsia="Candara" w:hAnsi="Calibri" w:cs="Times New Roman"/>
          <w:b/>
        </w:rPr>
        <w:t xml:space="preserve"> gleb warunkuje również funkcjonowanie małej ilości gospodarstw zajmujących się produkcją owoców. </w:t>
      </w:r>
      <w:r w:rsidRPr="00E320BC">
        <w:rPr>
          <w:rFonts w:ascii="Calibri" w:eastAsia="Candara" w:hAnsi="Calibri" w:cs="Times New Roman"/>
        </w:rPr>
        <w:t xml:space="preserve">Gospodarstwa zajmujące się produkcją owoców, w tym głównie jabłek i gruszy zlokalizowane są w Kozodawach, </w:t>
      </w:r>
      <w:proofErr w:type="spellStart"/>
      <w:r w:rsidRPr="00E320BC">
        <w:rPr>
          <w:rFonts w:ascii="Calibri" w:eastAsia="Candara" w:hAnsi="Calibri" w:cs="Times New Roman"/>
        </w:rPr>
        <w:t>Łotoszynach</w:t>
      </w:r>
      <w:proofErr w:type="spellEnd"/>
      <w:r w:rsidRPr="00E320BC">
        <w:rPr>
          <w:rFonts w:ascii="Calibri" w:eastAsia="Candara" w:hAnsi="Calibri" w:cs="Times New Roman"/>
        </w:rPr>
        <w:t xml:space="preserve"> i Świerszczowie. Z</w:t>
      </w:r>
      <w:r w:rsidR="007468F0">
        <w:rPr>
          <w:rFonts w:ascii="Calibri" w:eastAsia="Candara" w:hAnsi="Calibri" w:cs="Times New Roman"/>
        </w:rPr>
        <w:t>godnie z danymi UM Hrubieszów w </w:t>
      </w:r>
      <w:r w:rsidRPr="00E320BC">
        <w:rPr>
          <w:rFonts w:ascii="Calibri" w:eastAsia="Candara" w:hAnsi="Calibri" w:cs="Times New Roman"/>
        </w:rPr>
        <w:t>granicach miasta uprawiane są zboża, ziemniaki, rośliny strączkowe oraz warzywa.</w:t>
      </w:r>
    </w:p>
    <w:p w:rsid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Poziom produkcji zwierzęcej na obszarze gminy jest zdecydowanie niższy niż w innych regionach województwa lubelskiego.</w:t>
      </w:r>
      <w:r w:rsidRPr="00E320BC">
        <w:rPr>
          <w:rFonts w:ascii="Calibri" w:eastAsia="Candara" w:hAnsi="Calibri" w:cs="Times New Roman"/>
        </w:rPr>
        <w:t xml:space="preserve"> Przygraniczny charakter HOF sprzyjał podobnie jak w 2018 roku przenikaniu z Ukrainy zwierząt zakażonych chorobami zakaźnymi takim jak np.: ASF, które w razie rozprzestrzeniania się doprowadzałyby do strat w pogłowiu trzody chlewnej.</w:t>
      </w:r>
    </w:p>
    <w:p w:rsidR="0007274E" w:rsidRDefault="0007274E" w:rsidP="00E320BC">
      <w:pPr>
        <w:spacing w:after="0"/>
        <w:ind w:firstLine="357"/>
        <w:rPr>
          <w:rFonts w:ascii="Calibri" w:eastAsia="Candara" w:hAnsi="Calibri" w:cs="Times New Roman"/>
        </w:rPr>
      </w:pPr>
      <w:r w:rsidRPr="00F77499">
        <w:rPr>
          <w:rFonts w:ascii="Calibri" w:eastAsia="Candara" w:hAnsi="Calibri" w:cs="Times New Roman"/>
        </w:rPr>
        <w:t xml:space="preserve">Ze względu na przynależność obszaru HOF do Żywicielskiego Obszaru Strategicznej Interwencji należy podjąć i kontynuować szereg działań zmierzających do realizacji głównych celów dla tegoż OSI, które zostały zapisane w Strategii Rozwoju Województwa Lubelskiego na lata 2013-2020 </w:t>
      </w:r>
      <w:r w:rsidRPr="00F77499">
        <w:rPr>
          <w:rFonts w:ascii="Calibri" w:eastAsia="Candara" w:hAnsi="Calibri" w:cs="Times New Roman"/>
        </w:rPr>
        <w:lastRenderedPageBreak/>
        <w:t>z perspektywa do 2030 roku. Należą do nich działania zmierzające do poprawy konkurencyjności gospodarstw rolnych</w:t>
      </w:r>
      <w:r w:rsidR="0073405B" w:rsidRPr="00F77499">
        <w:rPr>
          <w:rFonts w:ascii="Calibri" w:eastAsia="Candara" w:hAnsi="Calibri" w:cs="Times New Roman"/>
        </w:rPr>
        <w:t xml:space="preserve"> jak również rozwój przedsiębiorczości wykorzystującej surowce rolne</w:t>
      </w:r>
      <w:r w:rsidR="0073405B" w:rsidRPr="00F77499">
        <w:rPr>
          <w:rStyle w:val="Odwoanieprzypisudolnego"/>
          <w:rFonts w:ascii="Calibri" w:eastAsia="Candara" w:hAnsi="Calibri" w:cs="Times New Roman"/>
        </w:rPr>
        <w:footnoteReference w:id="15"/>
      </w:r>
      <w:r w:rsidR="0073405B" w:rsidRPr="00F77499">
        <w:rPr>
          <w:rFonts w:ascii="Calibri" w:eastAsia="Candara" w:hAnsi="Calibri" w:cs="Times New Roman"/>
        </w:rPr>
        <w:t>.</w:t>
      </w:r>
    </w:p>
    <w:p w:rsidR="007468F0" w:rsidRDefault="007468F0" w:rsidP="00E320BC">
      <w:pPr>
        <w:spacing w:after="0"/>
        <w:ind w:firstLine="357"/>
        <w:rPr>
          <w:rFonts w:ascii="Calibri" w:eastAsia="Candara" w:hAnsi="Calibri" w:cs="Times New Roman"/>
          <w:b/>
          <w:bCs/>
          <w:smallCaps/>
          <w:spacing w:val="5"/>
          <w:sz w:val="36"/>
          <w:szCs w:val="36"/>
        </w:rPr>
      </w:pPr>
    </w:p>
    <w:p w:rsidR="00E320BC" w:rsidRPr="00E320BC" w:rsidRDefault="007468F0" w:rsidP="00E320BC">
      <w:pPr>
        <w:spacing w:after="0"/>
        <w:ind w:firstLine="357"/>
        <w:rPr>
          <w:rFonts w:ascii="Calibri" w:eastAsia="Candara" w:hAnsi="Calibri" w:cs="Times New Roman"/>
          <w:b/>
          <w:bCs/>
          <w:smallCaps/>
          <w:spacing w:val="5"/>
          <w:sz w:val="36"/>
          <w:szCs w:val="36"/>
        </w:rPr>
      </w:pPr>
      <w:r w:rsidRPr="00E320BC">
        <w:rPr>
          <w:rFonts w:ascii="Calibri" w:eastAsia="Candara" w:hAnsi="Calibri" w:cs="Times New Roman"/>
          <w:b/>
          <w:bCs/>
          <w:smallCaps/>
          <w:noProof/>
          <w:spacing w:val="5"/>
          <w:sz w:val="36"/>
          <w:szCs w:val="36"/>
          <w:lang w:eastAsia="pl-PL"/>
        </w:rPr>
        <mc:AlternateContent>
          <mc:Choice Requires="wps">
            <w:drawing>
              <wp:anchor distT="0" distB="0" distL="114300" distR="114300" simplePos="0" relativeHeight="251675648" behindDoc="1" locked="0" layoutInCell="1" allowOverlap="1" wp14:anchorId="05E37EFF" wp14:editId="038BA21B">
                <wp:simplePos x="0" y="0"/>
                <wp:positionH relativeFrom="column">
                  <wp:posOffset>68580</wp:posOffset>
                </wp:positionH>
                <wp:positionV relativeFrom="paragraph">
                  <wp:posOffset>250825</wp:posOffset>
                </wp:positionV>
                <wp:extent cx="5721350" cy="630555"/>
                <wp:effectExtent l="0" t="0" r="12700" b="17145"/>
                <wp:wrapNone/>
                <wp:docPr id="25" name="Prostokąt 25"/>
                <wp:cNvGraphicFramePr/>
                <a:graphic xmlns:a="http://schemas.openxmlformats.org/drawingml/2006/main">
                  <a:graphicData uri="http://schemas.microsoft.com/office/word/2010/wordprocessingShape">
                    <wps:wsp>
                      <wps:cNvSpPr/>
                      <wps:spPr>
                        <a:xfrm>
                          <a:off x="0" y="0"/>
                          <a:ext cx="5721350" cy="630555"/>
                        </a:xfrm>
                        <a:prstGeom prst="rect">
                          <a:avLst/>
                        </a:prstGeom>
                        <a:solidFill>
                          <a:sysClr val="window" lastClr="FFFFFF">
                            <a:lumMod val="85000"/>
                          </a:sysClr>
                        </a:solidFill>
                        <a:ln w="15875" cap="flat" cmpd="sng" algn="ctr">
                          <a:solidFill>
                            <a:srgbClr val="31B6FD">
                              <a:lumMod val="75000"/>
                            </a:srgbClr>
                          </a:solidFill>
                          <a:prstDash val="solid"/>
                        </a:ln>
                        <a:effectLst/>
                      </wps:spPr>
                      <wps:txbx>
                        <w:txbxContent>
                          <w:p w:rsidR="002441D5" w:rsidRDefault="002441D5" w:rsidP="00E320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25" o:spid="_x0000_s1043" style="position:absolute;left:0;text-align:left;margin-left:5.4pt;margin-top:19.75pt;width:450.5pt;height:49.65pt;z-index:-251640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" fillcolor="#d9d9d9" strokecolor="#0293e0" strokeweight="1.25pt">
                <v:textbox>
                  <w:txbxContent>
                    <w:p w:rsidR="002441D5" w:rsidRDefault="002441D5" w:rsidP="00E320BC">
                      <w:pPr>
                        <w:jc w:val="center"/>
                      </w:pPr>
                    </w:p>
                  </w:txbxContent>
                </v:textbox>
              </v:rect>
            </w:pict>
          </mc:Fallback>
        </mc:AlternateContent>
      </w:r>
      <w:r w:rsidR="00E320BC" w:rsidRPr="00E320BC">
        <w:rPr>
          <w:rFonts w:ascii="Calibri" w:eastAsia="Candara" w:hAnsi="Calibri" w:cs="Times New Roman"/>
          <w:noProof/>
          <w:lang w:eastAsia="pl-PL"/>
        </w:rPr>
        <mc:AlternateContent>
          <mc:Choice Requires="wps">
            <w:drawing>
              <wp:anchor distT="0" distB="0" distL="114300" distR="114300" simplePos="0" relativeHeight="251676672" behindDoc="0" locked="0" layoutInCell="1" allowOverlap="1" wp14:anchorId="1ED69265" wp14:editId="28BAE317">
                <wp:simplePos x="0" y="0"/>
                <wp:positionH relativeFrom="column">
                  <wp:posOffset>3823970</wp:posOffset>
                </wp:positionH>
                <wp:positionV relativeFrom="paragraph">
                  <wp:posOffset>-423545</wp:posOffset>
                </wp:positionV>
                <wp:extent cx="1793875" cy="1814830"/>
                <wp:effectExtent l="0" t="0" r="0" b="0"/>
                <wp:wrapNone/>
                <wp:docPr id="26"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814830"/>
                        </a:xfrm>
                        <a:prstGeom prst="rect">
                          <a:avLst/>
                        </a:prstGeom>
                        <a:noFill/>
                        <a:ln w="9525">
                          <a:noFill/>
                          <a:miter lim="800000"/>
                          <a:headEnd/>
                          <a:tailEnd/>
                        </a:ln>
                      </wps:spPr>
                      <wps:txbx>
                        <w:txbxContent>
                          <w:p w:rsidR="002441D5" w:rsidRDefault="002441D5" w:rsidP="00E320BC">
                            <w:r w:rsidRPr="003C55BB">
                              <w:rPr>
                                <w:b/>
                                <w:bCs/>
                                <w:noProof/>
                                <w:lang w:eastAsia="pl-PL"/>
                              </w:rPr>
                              <w:drawing>
                                <wp:inline distT="0" distB="0" distL="0" distR="0" wp14:anchorId="1D53F0E1" wp14:editId="384CB18B">
                                  <wp:extent cx="1607127" cy="1795628"/>
                                  <wp:effectExtent l="0" t="0" r="0" b="0"/>
                                  <wp:docPr id="503" name="Obraz 503" descr="Ziemia, Glob, Roślin, Eko, Zielony, Natura, Utrzymywa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emia, Glob, Roślin, Eko, Zielony, Natura, Utrzymywać"/>
                                          <pic:cNvPicPr>
                                            <a:picLocks noChangeAspect="1" noChangeArrowheads="1"/>
                                          </pic:cNvPicPr>
                                        </pic:nvPicPr>
                                        <pic:blipFill rotWithShape="1">
                                          <a:blip r:embed="rId34">
                                            <a:extLst>
                                              <a:ext uri="{28A0092B-C50C-407E-A947-70E740481C1C}">
                                                <a14:useLocalDpi xmlns:a14="http://schemas.microsoft.com/office/drawing/2010/main" val="0"/>
                                              </a:ext>
                                            </a:extLst>
                                          </a:blip>
                                          <a:srcRect l="5094" r="5630" b="5504"/>
                                          <a:stretch/>
                                        </pic:blipFill>
                                        <pic:spPr bwMode="auto">
                                          <a:xfrm>
                                            <a:off x="0" y="0"/>
                                            <a:ext cx="1607404" cy="179593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01.1pt;margin-top:-33.35pt;width:141.25pt;height:142.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" filled="f" stroked="f">
                <v:textbox>
                  <w:txbxContent>
                    <w:p w:rsidR="002441D5" w:rsidRDefault="002441D5" w:rsidP="00E320BC">
                      <w:r w:rsidRPr="003C55BB">
                        <w:rPr>
                          <w:b/>
                          <w:bCs/>
                          <w:noProof/>
                          <w:lang w:eastAsia="pl-PL"/>
                        </w:rPr>
                        <w:drawing>
                          <wp:inline distT="0" distB="0" distL="0" distR="0" wp14:anchorId="1D53F0E1" wp14:editId="384CB18B">
                            <wp:extent cx="1607127" cy="1795628"/>
                            <wp:effectExtent l="0" t="0" r="0" b="0"/>
                            <wp:docPr id="503" name="Obraz 503" descr="Ziemia, Glob, Roślin, Eko, Zielony, Natura, Utrzymywa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emia, Glob, Roślin, Eko, Zielony, Natura, Utrzymywać"/>
                                    <pic:cNvPicPr>
                                      <a:picLocks noChangeAspect="1" noChangeArrowheads="1"/>
                                    </pic:cNvPicPr>
                                  </pic:nvPicPr>
                                  <pic:blipFill rotWithShape="1">
                                    <a:blip r:embed="rId34">
                                      <a:extLst>
                                        <a:ext uri="{28A0092B-C50C-407E-A947-70E740481C1C}">
                                          <a14:useLocalDpi xmlns:a14="http://schemas.microsoft.com/office/drawing/2010/main" val="0"/>
                                        </a:ext>
                                      </a:extLst>
                                    </a:blip>
                                    <a:srcRect l="5094" r="5630" b="5504"/>
                                    <a:stretch/>
                                  </pic:blipFill>
                                  <pic:spPr bwMode="auto">
                                    <a:xfrm>
                                      <a:off x="0" y="0"/>
                                      <a:ext cx="1607404" cy="179593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bCs/>
          <w:smallCaps/>
          <w:spacing w:val="5"/>
          <w:sz w:val="36"/>
          <w:szCs w:val="36"/>
        </w:rPr>
        <w:t>Wymiar przestrzenny i środowiskowy</w:t>
      </w:r>
    </w:p>
    <w:p w:rsidR="00E320BC" w:rsidRPr="00E320BC" w:rsidRDefault="00E320BC" w:rsidP="00E320BC">
      <w:pPr>
        <w:spacing w:after="0"/>
        <w:ind w:firstLine="357"/>
        <w:rPr>
          <w:rFonts w:ascii="Calibri" w:eastAsia="Candara" w:hAnsi="Calibri" w:cs="Times New Roman"/>
        </w:rPr>
      </w:pP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Walory przyrodnicze</w:t>
      </w:r>
    </w:p>
    <w:p w:rsidR="00E320BC" w:rsidRPr="00E320BC" w:rsidRDefault="00E320BC" w:rsidP="00E320BC">
      <w:pPr>
        <w:spacing w:after="0"/>
        <w:ind w:firstLine="357"/>
        <w:rPr>
          <w:rFonts w:ascii="Calibri" w:eastAsia="Candara" w:hAnsi="Calibri" w:cs="Times New Roman"/>
          <w:lang w:eastAsia="ar-SA"/>
        </w:rPr>
      </w:pPr>
      <w:r w:rsidRPr="00E320BC">
        <w:rPr>
          <w:rFonts w:ascii="Calibri" w:eastAsia="Candara" w:hAnsi="Calibri" w:cs="Times New Roman"/>
          <w:lang w:eastAsia="ar-SA"/>
        </w:rPr>
        <w:t xml:space="preserve">Zarówno walory i stan jakościowy środowiska naturalnego należy uznać za istotny element atrakcyjności jednostek terytorialnych w kontekście osadniczym, turystycznym, jak również inwestycyjnym. </w:t>
      </w:r>
      <w:r w:rsidRPr="00E320BC">
        <w:rPr>
          <w:rFonts w:ascii="Calibri" w:eastAsia="Candara" w:hAnsi="Calibri" w:cs="Times New Roman"/>
          <w:b/>
          <w:lang w:eastAsia="ar-SA"/>
        </w:rPr>
        <w:t>Pod tym względem Hrubieszowski Obszar Funkcjonalny można zaliczyć do jednego z najatrakcyjniejszych pod kątem położenia przyrodniczego.</w:t>
      </w:r>
    </w:p>
    <w:p w:rsidR="00E320BC" w:rsidRPr="00E320BC" w:rsidRDefault="00E320BC" w:rsidP="00E320BC">
      <w:pPr>
        <w:spacing w:after="0"/>
        <w:ind w:firstLine="357"/>
        <w:rPr>
          <w:rFonts w:ascii="Calibri" w:eastAsia="Candara" w:hAnsi="Calibri" w:cs="Candara"/>
        </w:rPr>
      </w:pPr>
      <w:r w:rsidRPr="00E320BC">
        <w:rPr>
          <w:rFonts w:ascii="Calibri" w:eastAsia="Candara" w:hAnsi="Calibri" w:cs="Times New Roman"/>
        </w:rPr>
        <w:t xml:space="preserve">Sieć hydrograficzna jest tutaj dobrze rozwinięta, jednakże podobnie jak w pozostałych gminach tworzących Żywicielski OSI obszar HOF </w:t>
      </w:r>
      <w:r w:rsidRPr="00E320BC">
        <w:rPr>
          <w:rFonts w:ascii="Calibri" w:eastAsia="Candara" w:hAnsi="Calibri" w:cs="Times New Roman"/>
          <w:b/>
        </w:rPr>
        <w:t>charakteryzuje się znikomym występowaniem naturalnych i brakiem sztucznych zbiorników wodnych.</w:t>
      </w:r>
      <w:r w:rsidRPr="00E320BC">
        <w:rPr>
          <w:rFonts w:ascii="Calibri" w:eastAsia="Candara" w:hAnsi="Calibri" w:cs="Times New Roman"/>
        </w:rPr>
        <w:t xml:space="preserve"> Według Oceny stanu jednolitych części wód, rzek i zbiorników zaporowych w latach 2014-2019 na podstawie monitoringu (dane GIOŚ) </w:t>
      </w:r>
      <w:r w:rsidRPr="00E320BC">
        <w:rPr>
          <w:rFonts w:ascii="Calibri" w:eastAsia="Candara" w:hAnsi="Calibri" w:cs="Times New Roman"/>
          <w:b/>
        </w:rPr>
        <w:t xml:space="preserve">stan wód powierzchniowych na obszarze HOF generalnie został </w:t>
      </w:r>
      <w:proofErr w:type="gramStart"/>
      <w:r w:rsidRPr="00E320BC">
        <w:rPr>
          <w:rFonts w:ascii="Calibri" w:eastAsia="Candara" w:hAnsi="Calibri" w:cs="Times New Roman"/>
          <w:b/>
        </w:rPr>
        <w:t>oceniony jako</w:t>
      </w:r>
      <w:proofErr w:type="gramEnd"/>
      <w:r w:rsidRPr="00E320BC">
        <w:rPr>
          <w:rFonts w:ascii="Calibri" w:eastAsia="Candara" w:hAnsi="Calibri" w:cs="Times New Roman"/>
          <w:b/>
        </w:rPr>
        <w:t xml:space="preserve"> zły</w:t>
      </w:r>
      <w:r w:rsidRPr="00E320BC">
        <w:rPr>
          <w:rFonts w:ascii="Calibri" w:eastAsia="Candara" w:hAnsi="Calibri" w:cs="Times New Roman"/>
        </w:rPr>
        <w:t xml:space="preserve">, co oznacza, że wody nie spełniają wymagań określonych w przypisanych jej celach środowiskowych. Dotyczy to zarówno oceny parametrów biologicznych, jak i fizykochemicznych monitorowanych odcinków rzek, z tego też powodu konieczne jest podejmowanie działań na rzecz poprawy stanu oraz ochrony wód przed zanieczyszczeniem. </w:t>
      </w:r>
      <w:r w:rsidRPr="00E320BC">
        <w:rPr>
          <w:rFonts w:ascii="Calibri" w:eastAsia="Candara" w:hAnsi="Calibri" w:cs="Candara"/>
        </w:rPr>
        <w:t xml:space="preserve">Również w kierunkach interwencji dla Żywicielskiego OSI wymagane są działania wspierające na rzecz ochrony i kształtowania zasobów wodnych, w tym racjonalizacji wielkości poboru wody, rozwoju i modernizacji oczyszczalni ścieków, zwiększenia małej retencji i </w:t>
      </w:r>
      <w:proofErr w:type="spellStart"/>
      <w:r w:rsidRPr="00E320BC">
        <w:rPr>
          <w:rFonts w:ascii="Calibri" w:eastAsia="Candara" w:hAnsi="Calibri" w:cs="Candara"/>
        </w:rPr>
        <w:t>renaturyzacji</w:t>
      </w:r>
      <w:proofErr w:type="spellEnd"/>
      <w:r w:rsidRPr="00E320BC">
        <w:rPr>
          <w:rFonts w:ascii="Calibri" w:eastAsia="Candara" w:hAnsi="Calibri" w:cs="Candara"/>
        </w:rPr>
        <w:t xml:space="preserve"> rzek. </w:t>
      </w:r>
      <w:r w:rsidRPr="00E320BC">
        <w:rPr>
          <w:rFonts w:ascii="Calibri" w:eastAsia="Candara" w:hAnsi="Calibri" w:cs="Times New Roman"/>
          <w:b/>
        </w:rPr>
        <w:t xml:space="preserve">Wody podziemne w granicach HOF są </w:t>
      </w:r>
      <w:proofErr w:type="gramStart"/>
      <w:r w:rsidRPr="00E320BC">
        <w:rPr>
          <w:rFonts w:ascii="Calibri" w:eastAsia="Candara" w:hAnsi="Calibri" w:cs="Times New Roman"/>
          <w:b/>
        </w:rPr>
        <w:t>zadowalającej jakości</w:t>
      </w:r>
      <w:proofErr w:type="gramEnd"/>
      <w:r w:rsidRPr="00E320BC">
        <w:rPr>
          <w:rFonts w:ascii="Calibri" w:eastAsia="Candara" w:hAnsi="Calibri" w:cs="Times New Roman"/>
        </w:rPr>
        <w:t>.</w:t>
      </w:r>
    </w:p>
    <w:p w:rsidR="00FB6D59" w:rsidRDefault="00FB6D59" w:rsidP="00FB6D59">
      <w:pPr>
        <w:pStyle w:val="Legenda"/>
        <w:keepNext/>
        <w:spacing w:after="0"/>
      </w:pPr>
      <w:bookmarkStart w:id="38" w:name="_Toc138068536"/>
      <w:r w:rsidRPr="00F77499">
        <w:t xml:space="preserve">Tabela </w:t>
      </w:r>
      <w:r w:rsidR="00E20FF4">
        <w:fldChar w:fldCharType="begin"/>
      </w:r>
      <w:r w:rsidR="00E20FF4">
        <w:instrText xml:space="preserve"> SEQ Tabela \* ARABIC </w:instrText>
      </w:r>
      <w:r w:rsidR="00E20FF4">
        <w:fldChar w:fldCharType="separate"/>
      </w:r>
      <w:r w:rsidR="0022657A">
        <w:rPr>
          <w:noProof/>
        </w:rPr>
        <w:t>6</w:t>
      </w:r>
      <w:r w:rsidR="00E20FF4">
        <w:rPr>
          <w:noProof/>
        </w:rPr>
        <w:fldChar w:fldCharType="end"/>
      </w:r>
      <w:r w:rsidRPr="00F77499">
        <w:t>. Ud</w:t>
      </w:r>
      <w:r w:rsidR="00717F06" w:rsidRPr="00F77499">
        <w:t>z</w:t>
      </w:r>
      <w:r w:rsidRPr="00F77499">
        <w:t>iał % klas bonitacyjnych gruntów rolnych</w:t>
      </w:r>
      <w:bookmarkEnd w:id="38"/>
    </w:p>
    <w:tbl>
      <w:tblPr>
        <w:tblStyle w:val="Jasnasiatkaakcent21"/>
        <w:tblW w:w="0" w:type="auto"/>
        <w:tblInd w:w="817" w:type="dxa"/>
        <w:tblLook w:val="04A0" w:firstRow="1" w:lastRow="0" w:firstColumn="1" w:lastColumn="0" w:noHBand="0" w:noVBand="1"/>
      </w:tblPr>
      <w:tblGrid>
        <w:gridCol w:w="2253"/>
        <w:gridCol w:w="2283"/>
        <w:gridCol w:w="2835"/>
      </w:tblGrid>
      <w:tr w:rsidR="001A3717" w:rsidTr="00717F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Default="00FB6D59" w:rsidP="00FB6D59">
            <w:pPr>
              <w:ind w:firstLine="0"/>
              <w:jc w:val="center"/>
              <w:rPr>
                <w:rFonts w:ascii="Calibri" w:eastAsia="Candara" w:hAnsi="Calibri" w:cs="Candara"/>
              </w:rPr>
            </w:pPr>
            <w:r>
              <w:rPr>
                <w:rFonts w:ascii="Calibri" w:eastAsia="Candara" w:hAnsi="Calibri" w:cs="Candara"/>
              </w:rPr>
              <w:t>Klasa bonitacyjna</w:t>
            </w:r>
          </w:p>
        </w:tc>
        <w:tc>
          <w:tcPr>
            <w:tcW w:w="2283" w:type="dxa"/>
          </w:tcPr>
          <w:p w:rsidR="001A3717" w:rsidRDefault="00FB6D59" w:rsidP="00FB6D59">
            <w:pPr>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Gmina Miejska Hrubieszów</w:t>
            </w:r>
          </w:p>
        </w:tc>
        <w:tc>
          <w:tcPr>
            <w:tcW w:w="2835" w:type="dxa"/>
          </w:tcPr>
          <w:p w:rsidR="001A3717" w:rsidRDefault="00FB6D59" w:rsidP="00FB6D59">
            <w:pPr>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Gmina Hrubieszów</w:t>
            </w:r>
          </w:p>
        </w:tc>
      </w:tr>
      <w:tr w:rsidR="001A3717" w:rsidTr="00717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r w:rsidRPr="001A3717">
              <w:rPr>
                <w:rFonts w:ascii="Calibri" w:hAnsi="Calibri" w:cs="Calibri"/>
                <w:color w:val="000000"/>
                <w:lang w:eastAsia="pl-PL"/>
              </w:rPr>
              <w:t>I</w:t>
            </w:r>
          </w:p>
        </w:tc>
        <w:tc>
          <w:tcPr>
            <w:tcW w:w="2283" w:type="dxa"/>
          </w:tcPr>
          <w:p w:rsidR="001A3717" w:rsidRDefault="001A3717">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31,79</w:t>
            </w:r>
          </w:p>
        </w:tc>
        <w:tc>
          <w:tcPr>
            <w:tcW w:w="2835" w:type="dxa"/>
          </w:tcPr>
          <w:p w:rsidR="001A3717" w:rsidRDefault="001A3717" w:rsidP="00ED76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16,98</w:t>
            </w:r>
          </w:p>
        </w:tc>
      </w:tr>
      <w:tr w:rsidR="001A3717" w:rsidTr="00717F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r w:rsidRPr="001A3717">
              <w:rPr>
                <w:rFonts w:ascii="Calibri" w:hAnsi="Calibri" w:cs="Calibri"/>
                <w:color w:val="000000"/>
                <w:lang w:eastAsia="pl-PL"/>
              </w:rPr>
              <w:t>II</w:t>
            </w:r>
          </w:p>
        </w:tc>
        <w:tc>
          <w:tcPr>
            <w:tcW w:w="2283" w:type="dxa"/>
          </w:tcPr>
          <w:p w:rsidR="001A3717" w:rsidRDefault="001A3717">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30,25</w:t>
            </w:r>
          </w:p>
        </w:tc>
        <w:tc>
          <w:tcPr>
            <w:tcW w:w="2835" w:type="dxa"/>
          </w:tcPr>
          <w:p w:rsidR="001A3717" w:rsidRDefault="001A3717" w:rsidP="00ED7675">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42,73</w:t>
            </w:r>
          </w:p>
        </w:tc>
      </w:tr>
      <w:tr w:rsidR="001A3717" w:rsidTr="00717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r w:rsidRPr="001A3717">
              <w:rPr>
                <w:rFonts w:ascii="Calibri" w:hAnsi="Calibri" w:cs="Calibri"/>
                <w:color w:val="000000"/>
                <w:lang w:eastAsia="pl-PL"/>
              </w:rPr>
              <w:t>III</w:t>
            </w:r>
          </w:p>
        </w:tc>
        <w:tc>
          <w:tcPr>
            <w:tcW w:w="2283" w:type="dxa"/>
          </w:tcPr>
          <w:p w:rsidR="001A3717" w:rsidRDefault="001A3717">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5,18</w:t>
            </w:r>
          </w:p>
        </w:tc>
        <w:tc>
          <w:tcPr>
            <w:tcW w:w="2835" w:type="dxa"/>
          </w:tcPr>
          <w:p w:rsidR="001A3717" w:rsidRDefault="001A3717" w:rsidP="00ED76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6,67</w:t>
            </w:r>
          </w:p>
        </w:tc>
      </w:tr>
      <w:tr w:rsidR="001A3717" w:rsidTr="00717F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r w:rsidRPr="001A3717">
              <w:rPr>
                <w:rFonts w:ascii="Calibri" w:hAnsi="Calibri" w:cs="Calibri"/>
                <w:color w:val="000000"/>
                <w:lang w:eastAsia="pl-PL"/>
              </w:rPr>
              <w:t>IV</w:t>
            </w:r>
          </w:p>
        </w:tc>
        <w:tc>
          <w:tcPr>
            <w:tcW w:w="2283" w:type="dxa"/>
          </w:tcPr>
          <w:p w:rsidR="001A3717" w:rsidRDefault="001A3717">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7,32</w:t>
            </w:r>
          </w:p>
        </w:tc>
        <w:tc>
          <w:tcPr>
            <w:tcW w:w="2835" w:type="dxa"/>
          </w:tcPr>
          <w:p w:rsidR="001A3717" w:rsidRDefault="001A3717" w:rsidP="00ED7675">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3,37</w:t>
            </w:r>
          </w:p>
        </w:tc>
      </w:tr>
      <w:tr w:rsidR="001A3717" w:rsidTr="00717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r w:rsidRPr="001A3717">
              <w:rPr>
                <w:rFonts w:ascii="Calibri" w:hAnsi="Calibri" w:cs="Calibri"/>
                <w:color w:val="000000"/>
                <w:lang w:eastAsia="pl-PL"/>
              </w:rPr>
              <w:t>V</w:t>
            </w:r>
          </w:p>
        </w:tc>
        <w:tc>
          <w:tcPr>
            <w:tcW w:w="2283" w:type="dxa"/>
          </w:tcPr>
          <w:p w:rsidR="001A3717" w:rsidRDefault="001A3717">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2,78</w:t>
            </w:r>
          </w:p>
        </w:tc>
        <w:tc>
          <w:tcPr>
            <w:tcW w:w="2835" w:type="dxa"/>
          </w:tcPr>
          <w:p w:rsidR="001A3717" w:rsidRDefault="001A3717" w:rsidP="00ED76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1,34</w:t>
            </w:r>
          </w:p>
        </w:tc>
      </w:tr>
      <w:tr w:rsidR="001A3717" w:rsidTr="00717F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r w:rsidRPr="001A3717">
              <w:rPr>
                <w:rFonts w:ascii="Calibri" w:hAnsi="Calibri" w:cs="Calibri"/>
                <w:color w:val="000000"/>
                <w:lang w:eastAsia="pl-PL"/>
              </w:rPr>
              <w:t>VI</w:t>
            </w:r>
          </w:p>
        </w:tc>
        <w:tc>
          <w:tcPr>
            <w:tcW w:w="2283" w:type="dxa"/>
          </w:tcPr>
          <w:p w:rsidR="001A3717" w:rsidRDefault="001A3717">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0,06</w:t>
            </w:r>
          </w:p>
        </w:tc>
        <w:tc>
          <w:tcPr>
            <w:tcW w:w="2835" w:type="dxa"/>
          </w:tcPr>
          <w:p w:rsidR="001A3717" w:rsidRDefault="001A3717" w:rsidP="00ED7675">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0,33</w:t>
            </w:r>
          </w:p>
        </w:tc>
      </w:tr>
      <w:tr w:rsidR="001A3717" w:rsidTr="00717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proofErr w:type="spellStart"/>
            <w:r w:rsidRPr="001A3717">
              <w:rPr>
                <w:rFonts w:ascii="Calibri" w:hAnsi="Calibri" w:cs="Calibri"/>
                <w:color w:val="000000"/>
                <w:lang w:eastAsia="pl-PL"/>
              </w:rPr>
              <w:lastRenderedPageBreak/>
              <w:t>IIIa</w:t>
            </w:r>
            <w:proofErr w:type="spellEnd"/>
          </w:p>
        </w:tc>
        <w:tc>
          <w:tcPr>
            <w:tcW w:w="2283" w:type="dxa"/>
          </w:tcPr>
          <w:p w:rsidR="001A3717" w:rsidRDefault="001A3717">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19,94</w:t>
            </w:r>
          </w:p>
        </w:tc>
        <w:tc>
          <w:tcPr>
            <w:tcW w:w="2835" w:type="dxa"/>
          </w:tcPr>
          <w:p w:rsidR="001A3717" w:rsidRDefault="001A3717" w:rsidP="00ED76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19,51</w:t>
            </w:r>
          </w:p>
        </w:tc>
      </w:tr>
      <w:tr w:rsidR="001A3717" w:rsidTr="00717F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proofErr w:type="spellStart"/>
            <w:r w:rsidRPr="001A3717">
              <w:rPr>
                <w:rFonts w:ascii="Calibri" w:hAnsi="Calibri" w:cs="Calibri"/>
                <w:color w:val="000000"/>
                <w:lang w:eastAsia="pl-PL"/>
              </w:rPr>
              <w:t>IIIb</w:t>
            </w:r>
            <w:proofErr w:type="spellEnd"/>
          </w:p>
        </w:tc>
        <w:tc>
          <w:tcPr>
            <w:tcW w:w="2283" w:type="dxa"/>
          </w:tcPr>
          <w:p w:rsidR="001A3717" w:rsidRDefault="001A3717">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3,56</w:t>
            </w:r>
          </w:p>
        </w:tc>
        <w:tc>
          <w:tcPr>
            <w:tcW w:w="2835" w:type="dxa"/>
          </w:tcPr>
          <w:p w:rsidR="001A3717" w:rsidRDefault="001A3717" w:rsidP="00ED7675">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4,95</w:t>
            </w:r>
          </w:p>
        </w:tc>
      </w:tr>
      <w:tr w:rsidR="001A3717" w:rsidTr="00717F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proofErr w:type="spellStart"/>
            <w:r w:rsidRPr="001A3717">
              <w:rPr>
                <w:rFonts w:ascii="Calibri" w:hAnsi="Calibri" w:cs="Calibri"/>
                <w:color w:val="000000"/>
                <w:lang w:eastAsia="pl-PL"/>
              </w:rPr>
              <w:t>IVa</w:t>
            </w:r>
            <w:proofErr w:type="spellEnd"/>
          </w:p>
        </w:tc>
        <w:tc>
          <w:tcPr>
            <w:tcW w:w="2283" w:type="dxa"/>
          </w:tcPr>
          <w:p w:rsidR="001A3717" w:rsidRDefault="001A3717">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0,58</w:t>
            </w:r>
          </w:p>
        </w:tc>
        <w:tc>
          <w:tcPr>
            <w:tcW w:w="2835" w:type="dxa"/>
          </w:tcPr>
          <w:p w:rsidR="001A3717" w:rsidRDefault="001A3717" w:rsidP="00ED7675">
            <w:pPr>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rPr>
            </w:pPr>
            <w:r>
              <w:rPr>
                <w:rFonts w:ascii="Calibri" w:hAnsi="Calibri" w:cs="Calibri"/>
                <w:color w:val="000000"/>
              </w:rPr>
              <w:t>2,49</w:t>
            </w:r>
          </w:p>
        </w:tc>
      </w:tr>
      <w:tr w:rsidR="001A3717" w:rsidTr="00717F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3" w:type="dxa"/>
          </w:tcPr>
          <w:p w:rsidR="001A3717" w:rsidRPr="001A3717" w:rsidRDefault="001A3717" w:rsidP="00ED7675">
            <w:pPr>
              <w:spacing w:before="0"/>
              <w:ind w:firstLine="0"/>
              <w:jc w:val="left"/>
              <w:rPr>
                <w:rFonts w:ascii="Calibri" w:hAnsi="Calibri" w:cs="Calibri"/>
                <w:color w:val="000000"/>
                <w:lang w:eastAsia="pl-PL"/>
              </w:rPr>
            </w:pPr>
            <w:proofErr w:type="spellStart"/>
            <w:r w:rsidRPr="001A3717">
              <w:rPr>
                <w:rFonts w:ascii="Calibri" w:hAnsi="Calibri" w:cs="Calibri"/>
                <w:color w:val="000000"/>
                <w:lang w:eastAsia="pl-PL"/>
              </w:rPr>
              <w:t>IVb</w:t>
            </w:r>
            <w:proofErr w:type="spellEnd"/>
          </w:p>
        </w:tc>
        <w:tc>
          <w:tcPr>
            <w:tcW w:w="2283" w:type="dxa"/>
          </w:tcPr>
          <w:p w:rsidR="001A3717" w:rsidRDefault="001A3717">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0,22</w:t>
            </w:r>
          </w:p>
        </w:tc>
        <w:tc>
          <w:tcPr>
            <w:tcW w:w="2835" w:type="dxa"/>
          </w:tcPr>
          <w:p w:rsidR="001A3717" w:rsidRDefault="001A3717" w:rsidP="00ED7675">
            <w:pPr>
              <w:jc w:val="right"/>
              <w:cnfStyle w:val="000000010000" w:firstRow="0" w:lastRow="0" w:firstColumn="0" w:lastColumn="0" w:oddVBand="0" w:evenVBand="0" w:oddHBand="0" w:evenHBand="1" w:firstRowFirstColumn="0" w:firstRowLastColumn="0" w:lastRowFirstColumn="0" w:lastRowLastColumn="0"/>
              <w:rPr>
                <w:rFonts w:ascii="Calibri" w:hAnsi="Calibri" w:cs="Calibri"/>
                <w:color w:val="000000"/>
              </w:rPr>
            </w:pPr>
            <w:r>
              <w:rPr>
                <w:rFonts w:ascii="Calibri" w:hAnsi="Calibri" w:cs="Calibri"/>
                <w:color w:val="000000"/>
              </w:rPr>
              <w:t>0,76</w:t>
            </w:r>
          </w:p>
        </w:tc>
      </w:tr>
    </w:tbl>
    <w:p w:rsidR="001A3717" w:rsidRPr="001A3717" w:rsidRDefault="001A3717" w:rsidP="001A3717">
      <w:pPr>
        <w:spacing w:before="0" w:after="0"/>
        <w:ind w:firstLine="357"/>
        <w:rPr>
          <w:rFonts w:ascii="Calibri" w:eastAsia="Candara" w:hAnsi="Calibri" w:cs="Candara"/>
          <w:i/>
          <w:sz w:val="18"/>
          <w:szCs w:val="18"/>
        </w:rPr>
      </w:pPr>
      <w:r w:rsidRPr="001A3717">
        <w:rPr>
          <w:rFonts w:ascii="Calibri" w:eastAsia="Candara" w:hAnsi="Calibri" w:cs="Candara"/>
          <w:i/>
          <w:sz w:val="18"/>
          <w:szCs w:val="18"/>
        </w:rPr>
        <w:t>Źródło: dane Urzędu Miasta Hrubieszów i Urzędu Gminy</w:t>
      </w:r>
    </w:p>
    <w:p w:rsidR="003A332D" w:rsidRPr="00F77499" w:rsidRDefault="003A332D" w:rsidP="003A332D">
      <w:pPr>
        <w:spacing w:after="0"/>
        <w:ind w:firstLine="357"/>
        <w:rPr>
          <w:rFonts w:ascii="Calibri" w:eastAsia="Candara" w:hAnsi="Calibri" w:cs="Candara"/>
        </w:rPr>
      </w:pPr>
      <w:r w:rsidRPr="00E320BC">
        <w:rPr>
          <w:rFonts w:ascii="Calibri" w:eastAsia="Candara" w:hAnsi="Calibri" w:cs="Times New Roman"/>
          <w:b/>
        </w:rPr>
        <w:t xml:space="preserve">HOF pod względem warunków glebowych jest jednym z najlepszych w województwie lubelskim i w Polsce. </w:t>
      </w:r>
      <w:r w:rsidRPr="00E320BC">
        <w:rPr>
          <w:rFonts w:ascii="Calibri" w:eastAsia="Candara" w:hAnsi="Calibri" w:cs="Candara"/>
        </w:rPr>
        <w:t xml:space="preserve">Duże znaczenie ma </w:t>
      </w:r>
      <w:r w:rsidRPr="00E320BC">
        <w:rPr>
          <w:rFonts w:ascii="Calibri" w:eastAsia="Candara" w:hAnsi="Calibri" w:cs="Candara"/>
          <w:color w:val="000000"/>
        </w:rPr>
        <w:t>koncentracja gleb o najwyższej przydatności dla produkcji żywności oraz szczególnie przydatnych dl</w:t>
      </w:r>
      <w:r w:rsidRPr="00E320BC">
        <w:rPr>
          <w:rFonts w:ascii="Calibri" w:eastAsia="Candara" w:hAnsi="Calibri" w:cs="Candara"/>
        </w:rPr>
        <w:t>a rozwoju rolnictwa towarowego.</w:t>
      </w:r>
      <w:r>
        <w:rPr>
          <w:rFonts w:ascii="Calibri" w:eastAsia="Candara" w:hAnsi="Calibri" w:cs="Candara"/>
        </w:rPr>
        <w:t xml:space="preserve"> </w:t>
      </w:r>
      <w:r w:rsidRPr="00F77499">
        <w:rPr>
          <w:rFonts w:ascii="Calibri" w:eastAsia="Candara" w:hAnsi="Calibri" w:cs="Candara"/>
        </w:rPr>
        <w:t xml:space="preserve">Procentowo dominują gleby I </w:t>
      </w:r>
      <w:proofErr w:type="spellStart"/>
      <w:r w:rsidRPr="00F77499">
        <w:rPr>
          <w:rFonts w:ascii="Calibri" w:eastAsia="Candara" w:hAnsi="Calibri" w:cs="Candara"/>
        </w:rPr>
        <w:t>i</w:t>
      </w:r>
      <w:proofErr w:type="spellEnd"/>
      <w:r w:rsidRPr="00F77499">
        <w:rPr>
          <w:rFonts w:ascii="Calibri" w:eastAsia="Candara" w:hAnsi="Calibri" w:cs="Candara"/>
        </w:rPr>
        <w:t xml:space="preserve"> II klasy bonitacyjnej, dużym udziałem charakteryzują się również gleby klasy </w:t>
      </w:r>
      <w:proofErr w:type="spellStart"/>
      <w:r w:rsidRPr="00F77499">
        <w:rPr>
          <w:rFonts w:ascii="Calibri" w:eastAsia="Candara" w:hAnsi="Calibri" w:cs="Candara"/>
        </w:rPr>
        <w:t>IIIa</w:t>
      </w:r>
      <w:proofErr w:type="spellEnd"/>
      <w:r w:rsidRPr="00F77499">
        <w:rPr>
          <w:rFonts w:ascii="Calibri" w:eastAsia="Candara" w:hAnsi="Calibri" w:cs="Candara"/>
        </w:rPr>
        <w:t xml:space="preserve">. Obszar HOF </w:t>
      </w:r>
      <w:r w:rsidRPr="00F77499">
        <w:rPr>
          <w:rFonts w:ascii="Calibri" w:eastAsia="Candara" w:hAnsi="Calibri" w:cs="Times New Roman"/>
        </w:rPr>
        <w:t xml:space="preserve">został </w:t>
      </w:r>
      <w:proofErr w:type="gramStart"/>
      <w:r w:rsidRPr="00F77499">
        <w:rPr>
          <w:rFonts w:ascii="Calibri" w:eastAsia="Candara" w:hAnsi="Calibri" w:cs="Times New Roman"/>
        </w:rPr>
        <w:t>zakwalifikowany jako</w:t>
      </w:r>
      <w:proofErr w:type="gramEnd"/>
      <w:r w:rsidRPr="00F77499">
        <w:rPr>
          <w:rFonts w:ascii="Calibri" w:eastAsia="Candara" w:hAnsi="Calibri" w:cs="Times New Roman"/>
        </w:rPr>
        <w:t xml:space="preserve"> Obszar Strategicznej Interwencji w </w:t>
      </w:r>
      <w:r w:rsidRPr="00F77499">
        <w:rPr>
          <w:rFonts w:ascii="Calibri" w:eastAsia="Candara" w:hAnsi="Calibri" w:cs="Candara"/>
        </w:rPr>
        <w:t>zakresie produkcji żywności.</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W Hrubieszowskim Obszarze Funkcjonalnym występują </w:t>
      </w:r>
      <w:r w:rsidRPr="00E320BC">
        <w:rPr>
          <w:rFonts w:ascii="Calibri" w:eastAsia="Candara" w:hAnsi="Calibri" w:cs="Times New Roman"/>
          <w:b/>
        </w:rPr>
        <w:t>jedne z najwyższych wartości usłonecznienia – powyżej 1660 godzin w roku. Dzięki takim warunkom klimatycznym HOF posiada potencjał do rozwoju odnawialnych źródeł energii, w szczególności energii ze słońca</w:t>
      </w:r>
      <w:r w:rsidRPr="00E320BC">
        <w:rPr>
          <w:rFonts w:ascii="Calibri" w:eastAsia="Candara" w:hAnsi="Calibri" w:cs="Times New Roman"/>
        </w:rPr>
        <w:t>. HOF położony jest w obszarze o potencjalnej energii użytecznej dla energetyki solarnej powyżej 950 kWh/m</w:t>
      </w:r>
      <w:r w:rsidRPr="00E320BC">
        <w:rPr>
          <w:rFonts w:ascii="Calibri" w:eastAsia="Candara" w:hAnsi="Calibri" w:cs="Times New Roman"/>
          <w:vertAlign w:val="superscript"/>
        </w:rPr>
        <w:t>2</w:t>
      </w:r>
      <w:r w:rsidRPr="00E320BC">
        <w:rPr>
          <w:rFonts w:ascii="Calibri" w:eastAsia="Candara" w:hAnsi="Calibri" w:cs="Times New Roman"/>
        </w:rPr>
        <w:t xml:space="preserve">. Wysokie </w:t>
      </w:r>
      <w:r w:rsidR="00EF7B5E" w:rsidRPr="00E320BC">
        <w:rPr>
          <w:rFonts w:ascii="Calibri" w:eastAsia="Candara" w:hAnsi="Calibri" w:cs="Times New Roman"/>
        </w:rPr>
        <w:t>usłonecznienie</w:t>
      </w:r>
      <w:r w:rsidRPr="00E320BC">
        <w:rPr>
          <w:rFonts w:ascii="Calibri" w:eastAsia="Candara" w:hAnsi="Calibri" w:cs="Times New Roman"/>
        </w:rPr>
        <w:t xml:space="preserve"> jest ważnym zasobem OSI Żywicielskiego. Zgodnie z zapisami w SRWL energetyka słoneczna powinna stać się istotnym kierunkiem wykorzystania gruntów na terenach MOF-ów, w pobliżu zakładów przemysłowych i dużych linii przemysłowych.</w:t>
      </w:r>
    </w:p>
    <w:p w:rsidR="00E320BC" w:rsidRDefault="00E320BC" w:rsidP="00E320BC">
      <w:pPr>
        <w:spacing w:after="0"/>
        <w:ind w:firstLine="357"/>
        <w:rPr>
          <w:rFonts w:ascii="Calibri" w:eastAsia="Candara" w:hAnsi="Calibri" w:cs="Times New Roman"/>
          <w:shd w:val="clear" w:color="auto" w:fill="FFFFFF"/>
        </w:rPr>
      </w:pPr>
      <w:r w:rsidRPr="00E320BC">
        <w:rPr>
          <w:rFonts w:ascii="Calibri" w:eastAsia="Candara" w:hAnsi="Calibri" w:cs="Times New Roman"/>
        </w:rPr>
        <w:t xml:space="preserve">Hrubieszowski Obszar Funkcjonalny znajduje się w lubelskiej strefie monitoringu i oceny powietrza. </w:t>
      </w:r>
      <w:r w:rsidRPr="00E320BC">
        <w:rPr>
          <w:rFonts w:ascii="Calibri" w:eastAsia="Candara" w:hAnsi="Calibri" w:cs="Times New Roman"/>
          <w:b/>
        </w:rPr>
        <w:t>S</w:t>
      </w:r>
      <w:r w:rsidRPr="00E320BC">
        <w:rPr>
          <w:rFonts w:ascii="Calibri" w:eastAsia="Candara" w:hAnsi="Calibri" w:cs="Times New Roman"/>
          <w:b/>
          <w:shd w:val="clear" w:color="auto" w:fill="FFFFFF"/>
        </w:rPr>
        <w:t>tan czystości powietrza w mieście można uznać za dobry.</w:t>
      </w:r>
      <w:r w:rsidRPr="00E320BC">
        <w:rPr>
          <w:rFonts w:ascii="Calibri" w:eastAsia="Candara" w:hAnsi="Calibri" w:cs="Times New Roman"/>
          <w:shd w:val="clear" w:color="auto" w:fill="FFFFFF"/>
        </w:rPr>
        <w:t xml:space="preserve"> Emisja dwutlenku siarki, dwutlenku azotu, tlenku węgla i pyłu jest najniższa na Lubelszczyźnie. Według klasyfikacji wszystkich zanieczyszczeń powietrza miasto znajduje się w strefie A, w której poziom stężeń nie przekracza wartości dopuszczalnych. </w:t>
      </w:r>
      <w:r w:rsidRPr="00E320BC">
        <w:rPr>
          <w:rFonts w:ascii="Calibri" w:eastAsia="Candara" w:hAnsi="Calibri" w:cs="Times New Roman"/>
          <w:b/>
          <w:shd w:val="clear" w:color="auto" w:fill="FFFFFF"/>
        </w:rPr>
        <w:t>Nieco inaczej prezentuje się sytuacja w centrum miasta w okresie jesienno-zimowym, w okresie grzewczym zanotowano liczne przekroczenia stężenia dopuszczalnego PM 2,5 i PM 10, co świadczy o pogarszającym się stanie powietrza na tym obszarze.</w:t>
      </w:r>
      <w:r w:rsidRPr="00E320BC">
        <w:rPr>
          <w:rFonts w:ascii="Calibri" w:eastAsia="Candara" w:hAnsi="Calibri" w:cs="Times New Roman"/>
          <w:shd w:val="clear" w:color="auto" w:fill="FFFFFF"/>
        </w:rPr>
        <w:t xml:space="preserve"> Zanieczyszczenie powietrza powstaje głównie w</w:t>
      </w:r>
      <w:r w:rsidR="00A57DC1">
        <w:rPr>
          <w:rFonts w:ascii="Calibri" w:eastAsia="Candara" w:hAnsi="Calibri" w:cs="Times New Roman"/>
          <w:shd w:val="clear" w:color="auto" w:fill="FFFFFF"/>
        </w:rPr>
        <w:t xml:space="preserve"> wyniku niskiej emisji</w:t>
      </w:r>
      <w:r w:rsidRPr="00E320BC">
        <w:rPr>
          <w:rFonts w:ascii="Calibri" w:eastAsia="Candara" w:hAnsi="Calibri" w:cs="Times New Roman"/>
          <w:shd w:val="clear" w:color="auto" w:fill="FFFFFF"/>
        </w:rPr>
        <w:t>.</w:t>
      </w:r>
    </w:p>
    <w:p w:rsidR="00774ECE" w:rsidRPr="00E320BC" w:rsidRDefault="00774ECE" w:rsidP="00774ECE">
      <w:pPr>
        <w:spacing w:after="0"/>
        <w:ind w:firstLine="357"/>
        <w:rPr>
          <w:rFonts w:ascii="Calibri" w:eastAsia="Candara" w:hAnsi="Calibri" w:cs="Times New Roman"/>
          <w:shd w:val="clear" w:color="auto" w:fill="FFFFFF"/>
        </w:rPr>
      </w:pPr>
      <w:r w:rsidRPr="008C4771">
        <w:rPr>
          <w:rFonts w:ascii="Calibri" w:eastAsia="Candara" w:hAnsi="Calibri" w:cs="Times New Roman"/>
          <w:shd w:val="clear" w:color="auto" w:fill="FFFFFF"/>
        </w:rPr>
        <w:t xml:space="preserve">Polityka Gmin obszaru HOF idzie w kierunku ograniczenia skutków zmian klimatu. Prowadzone są działania zmierzające do zmniejszenia powstawania zanieczyszczeń powietrza w wyniku niskiej emisji, racjonalizacji </w:t>
      </w:r>
      <w:r w:rsidRPr="008C4771">
        <w:t xml:space="preserve">zużycia energii w budynkach użyteczności publicznej oraz wzrost udziału energii wytwarzanej z OZE. Jednakże liczba przeprowadzonych działań w tym zakresie wciąż nie jest wystarczająca i część obiektów użyteczności publicznej wciąż wymaga przeprowadzenia prac modernizacyjnych. </w:t>
      </w:r>
      <w:r w:rsidRPr="008C4771">
        <w:rPr>
          <w:rFonts w:cstheme="minorHAnsi"/>
        </w:rPr>
        <w:t xml:space="preserve">Ograniczenie zużycia energii elektrycznej i stosowanie alternatywnych źródeł energii przyczynia się do poprawy kondycji środowiska, m.in poprzez </w:t>
      </w:r>
      <w:r w:rsidR="00F86A50" w:rsidRPr="008C4771">
        <w:rPr>
          <w:rFonts w:cstheme="minorHAnsi"/>
        </w:rPr>
        <w:t>obniżenie</w:t>
      </w:r>
      <w:r w:rsidRPr="008C4771">
        <w:rPr>
          <w:rFonts w:cstheme="minorHAnsi"/>
        </w:rPr>
        <w:t xml:space="preserve"> </w:t>
      </w:r>
      <w:proofErr w:type="gramStart"/>
      <w:r w:rsidRPr="008C4771">
        <w:rPr>
          <w:rFonts w:cstheme="minorHAnsi"/>
        </w:rPr>
        <w:t>emisji CO</w:t>
      </w:r>
      <w:proofErr w:type="gramEnd"/>
      <w:r w:rsidRPr="008C4771">
        <w:rPr>
          <w:rFonts w:cstheme="minorHAnsi"/>
          <w:vertAlign w:val="subscript"/>
        </w:rPr>
        <w:t>2</w:t>
      </w:r>
      <w:r w:rsidR="00F86A50" w:rsidRPr="008C4771">
        <w:rPr>
          <w:rFonts w:cstheme="minorHAnsi"/>
          <w:vertAlign w:val="subscript"/>
        </w:rPr>
        <w:t xml:space="preserve"> </w:t>
      </w:r>
      <w:r w:rsidR="00F86A50" w:rsidRPr="008C4771">
        <w:rPr>
          <w:rFonts w:cstheme="minorHAnsi"/>
        </w:rPr>
        <w:t>oszczędność energii pierwotnej oraz obniżenie stężenia pyłu PM 2,5 i PM 10.</w:t>
      </w:r>
      <w:r w:rsidRPr="008C4771">
        <w:rPr>
          <w:lang w:eastAsia="pl-PL"/>
        </w:rPr>
        <w:t xml:space="preserve"> Jednocześnie zmniejszeniu ulegną koszty utrzymania budynków poprzez ograniczenie zużycia energii, dzięki czemu Gminy HOF oszczędzą środki, które będą mogły przeznaczyć na realizację innych zadań w obszarach jej statutowej aktywności.</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Hrubieszowski Obszar Funkcjonalny ma dobry klimat akustyczny.</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Podobnie jak w pozostałych gminach Żywicielskiego OSI cechą wiodącą HOF jest </w:t>
      </w:r>
      <w:r w:rsidRPr="00E320BC">
        <w:rPr>
          <w:rFonts w:ascii="Calibri" w:eastAsia="Candara" w:hAnsi="Calibri" w:cs="Times New Roman"/>
          <w:b/>
        </w:rPr>
        <w:t>bardzo niska lesistość. Wskaźnik lesistości dla Hrubieszowskiego Obszaru Funkcjonalnego w 2019 r. wyniósł 10,6 %</w:t>
      </w:r>
      <w:r w:rsidRPr="00E320BC">
        <w:rPr>
          <w:rFonts w:ascii="Calibri" w:eastAsia="Candara" w:hAnsi="Calibri" w:cs="Times New Roman"/>
        </w:rPr>
        <w:t xml:space="preserve"> i był znacznie niższy od średniej dla powiatu (13,1%) i województwa (23,3%). Przyczyną tak niskiej </w:t>
      </w:r>
      <w:r w:rsidRPr="00E320BC">
        <w:rPr>
          <w:rFonts w:ascii="Calibri" w:eastAsia="Candara" w:hAnsi="Calibri" w:cs="Times New Roman"/>
        </w:rPr>
        <w:lastRenderedPageBreak/>
        <w:t xml:space="preserve">lesistości jest bardzo </w:t>
      </w:r>
      <w:proofErr w:type="gramStart"/>
      <w:r w:rsidRPr="00E320BC">
        <w:rPr>
          <w:rFonts w:ascii="Calibri" w:eastAsia="Candara" w:hAnsi="Calibri" w:cs="Times New Roman"/>
        </w:rPr>
        <w:t>dobra jakość</w:t>
      </w:r>
      <w:proofErr w:type="gramEnd"/>
      <w:r w:rsidRPr="00E320BC">
        <w:rPr>
          <w:rFonts w:ascii="Calibri" w:eastAsia="Candara" w:hAnsi="Calibri" w:cs="Times New Roman"/>
        </w:rPr>
        <w:t xml:space="preserve"> gleb o doskonałych właściwościach fizycznych. Dlatego też grunty są wylesiane i wykorzystywane przede wszystkim na cele rolnicze.</w:t>
      </w:r>
    </w:p>
    <w:p w:rsidR="00E320BC" w:rsidRPr="00E320BC" w:rsidRDefault="00E320BC" w:rsidP="00E320BC">
      <w:pPr>
        <w:spacing w:after="0"/>
        <w:ind w:firstLine="357"/>
        <w:rPr>
          <w:rFonts w:ascii="Calibri" w:eastAsia="Candara" w:hAnsi="Calibri" w:cs="Times New Roman"/>
          <w:lang w:eastAsia="ar-SA"/>
        </w:rPr>
      </w:pPr>
      <w:r w:rsidRPr="00E320BC">
        <w:rPr>
          <w:rFonts w:ascii="Calibri" w:eastAsia="Candara" w:hAnsi="Calibri" w:cs="Times New Roman"/>
          <w:b/>
        </w:rPr>
        <w:t>Zasoby fauny i flory stanowią niezwykłe bogactwo na terenie HOF. Pod tym względem teren ten wyróżnia się w porównaniu z terenami sąsiednimi.</w:t>
      </w:r>
      <w:r w:rsidRPr="00E320BC">
        <w:rPr>
          <w:rFonts w:ascii="Calibri" w:eastAsia="Candara" w:hAnsi="Calibri" w:cs="Times New Roman"/>
        </w:rPr>
        <w:t xml:space="preserve"> Jest to niezaprzeczalny walor możliwy do wykorzystania pod względem rozwoju turystyki. Stanowiska rzadkich i chronionych gatunków koncentrują się </w:t>
      </w:r>
      <w:r w:rsidRPr="00E320BC">
        <w:rPr>
          <w:rFonts w:ascii="Calibri" w:eastAsia="Candara" w:hAnsi="Calibri" w:cs="Candara"/>
        </w:rPr>
        <w:t>wzdłuż doliny rzeki Bug (najwięcej w okolicach</w:t>
      </w:r>
      <w:r w:rsidR="007468F0">
        <w:rPr>
          <w:rFonts w:ascii="Calibri" w:eastAsia="Candara" w:hAnsi="Calibri" w:cs="Candara"/>
        </w:rPr>
        <w:t xml:space="preserve"> Gródka) oraz rozproszone są na </w:t>
      </w:r>
      <w:r w:rsidRPr="00E320BC">
        <w:rPr>
          <w:rFonts w:ascii="Calibri" w:eastAsia="Candara" w:hAnsi="Calibri" w:cs="Candara"/>
        </w:rPr>
        <w:t xml:space="preserve">obszarach leśnych. </w:t>
      </w:r>
      <w:r w:rsidRPr="00E320BC">
        <w:rPr>
          <w:rFonts w:ascii="Calibri" w:eastAsia="Candara" w:hAnsi="Calibri" w:cs="Times New Roman"/>
          <w:lang w:eastAsia="ar-SA"/>
        </w:rPr>
        <w:t xml:space="preserve">Według danych GUS za 2019 rok, </w:t>
      </w:r>
      <w:r w:rsidRPr="00E320BC">
        <w:rPr>
          <w:rFonts w:ascii="Calibri" w:eastAsia="Candara" w:hAnsi="Calibri" w:cs="Times New Roman"/>
          <w:b/>
          <w:lang w:eastAsia="ar-SA"/>
        </w:rPr>
        <w:t>na terenie HOF znajdowało się 6 180,50 ha obszarów prawnie chronionych, zlokalizowanych tylko w granicach Gminy Hrubieszów,</w:t>
      </w:r>
      <w:r w:rsidRPr="00E320BC">
        <w:rPr>
          <w:rFonts w:ascii="Calibri" w:eastAsia="Candara" w:hAnsi="Calibri" w:cs="Times New Roman"/>
          <w:lang w:eastAsia="ar-SA"/>
        </w:rPr>
        <w:t xml:space="preserve"> co stanowi 24,9% powierzchni obszarów chronionych w powiecie hrubieszowskim oraz 21,15% powierzchni Hrubieszowskiego Obszaru Funkcjonalnego. </w:t>
      </w:r>
      <w:r w:rsidRPr="00E320BC">
        <w:rPr>
          <w:rFonts w:ascii="Calibri" w:eastAsia="Candara" w:hAnsi="Calibri" w:cs="Times New Roman"/>
        </w:rPr>
        <w:t xml:space="preserve">W granicach HOF sieć obszarów prawnie chronionych budują: Strzelecki Park Krajobrazowy wraz z otuliną, Nadbużański Obszar Chronionego Krajobrazu oraz sieć obszarów Natura 2000 (OSO Lasy Strzeleckie, SOO Uroczyska Lasów Strzeleckich, SOO </w:t>
      </w:r>
      <w:proofErr w:type="spellStart"/>
      <w:r w:rsidRPr="00E320BC">
        <w:rPr>
          <w:rFonts w:ascii="Calibri" w:eastAsia="Candara" w:hAnsi="Calibri" w:cs="Times New Roman"/>
        </w:rPr>
        <w:t>Zachodniowołyńska</w:t>
      </w:r>
      <w:proofErr w:type="spellEnd"/>
      <w:r w:rsidRPr="00E320BC">
        <w:rPr>
          <w:rFonts w:ascii="Calibri" w:eastAsia="Candara" w:hAnsi="Calibri" w:cs="Times New Roman"/>
        </w:rPr>
        <w:t xml:space="preserve"> Dolina Bugu, OSO Dolina Środkowego Bugu). </w:t>
      </w:r>
      <w:r w:rsidRPr="00E320BC">
        <w:rPr>
          <w:rFonts w:ascii="Calibri" w:eastAsia="Candara" w:hAnsi="Calibri" w:cs="Times New Roman"/>
          <w:lang w:eastAsia="ar-SA"/>
        </w:rPr>
        <w:t>Przez obszar Gminy Hrubieszów przebiega korytarz ekologiczny „Dolina</w:t>
      </w:r>
      <w:r w:rsidRPr="00E320BC">
        <w:rPr>
          <w:rFonts w:ascii="Calibri" w:eastAsia="Candara" w:hAnsi="Calibri" w:cs="Times New Roman"/>
          <w:bCs/>
          <w:lang w:eastAsia="ar-SA"/>
        </w:rPr>
        <w:t xml:space="preserve"> </w:t>
      </w:r>
      <w:r w:rsidRPr="00E320BC">
        <w:rPr>
          <w:rFonts w:ascii="Calibri" w:eastAsia="Candara" w:hAnsi="Calibri" w:cs="Times New Roman"/>
          <w:lang w:eastAsia="ar-SA"/>
        </w:rPr>
        <w:t>Środkowego Bugu”, utworzony został również użytek ekologiczny „Błonia Nadbużańskie”.</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Cechą charakterystyczną HOF, podobnie jak całego Żywicielskiego Obszaru Strategicznej Interwencji są naturalne powiązania funkcjonalne w układzie transgranicznym (np. korytarze ekologiczne), koncentracja terenów cennych przyrodniczo objętych różnymi formami ochrony przyrody, mających szczególne znaczenie w kształtowaniu powiązań ekologicznych oraz walory krajoznawcze, które predestynują ten obszar do rozwoju aktywnych form wypoczynku, tj.: turystyki krajoznawczej, przyrodniczej, wędrówek pieszych i rowerowych, a także edukacji ekologicznej.</w:t>
      </w:r>
    </w:p>
    <w:p w:rsidR="00E320BC" w:rsidRPr="00E320BC" w:rsidRDefault="00E320BC" w:rsidP="00E320BC">
      <w:pPr>
        <w:spacing w:after="0"/>
        <w:ind w:firstLine="357"/>
        <w:rPr>
          <w:rFonts w:ascii="Calibri" w:eastAsia="Candara" w:hAnsi="Calibri" w:cs="Times New Roman"/>
          <w:b/>
          <w:i/>
          <w:color w:val="936A07"/>
        </w:rPr>
      </w:pPr>
      <w:r w:rsidRPr="00E320BC">
        <w:rPr>
          <w:rFonts w:ascii="Calibri" w:eastAsia="Candara" w:hAnsi="Calibri" w:cs="Times New Roman"/>
          <w:b/>
          <w:i/>
          <w:noProof/>
          <w:color w:val="F5C040"/>
          <w:lang w:eastAsia="pl-PL"/>
        </w:rPr>
        <mc:AlternateContent>
          <mc:Choice Requires="wps">
            <w:drawing>
              <wp:anchor distT="0" distB="0" distL="114300" distR="114300" simplePos="0" relativeHeight="251687936" behindDoc="0" locked="0" layoutInCell="1" allowOverlap="1" wp14:anchorId="24A6BE40" wp14:editId="2BDD6F5F">
                <wp:simplePos x="0" y="0"/>
                <wp:positionH relativeFrom="column">
                  <wp:posOffset>-61595</wp:posOffset>
                </wp:positionH>
                <wp:positionV relativeFrom="paragraph">
                  <wp:posOffset>37465</wp:posOffset>
                </wp:positionV>
                <wp:extent cx="5922818" cy="1364673"/>
                <wp:effectExtent l="0" t="0" r="20955" b="26035"/>
                <wp:wrapNone/>
                <wp:docPr id="498" name="Prostokąt 498"/>
                <wp:cNvGraphicFramePr/>
                <a:graphic xmlns:a="http://schemas.openxmlformats.org/drawingml/2006/main">
                  <a:graphicData uri="http://schemas.microsoft.com/office/word/2010/wordprocessingShape">
                    <wps:wsp>
                      <wps:cNvSpPr/>
                      <wps:spPr>
                        <a:xfrm>
                          <a:off x="0" y="0"/>
                          <a:ext cx="5922818" cy="1364673"/>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Prostokąt 498" o:spid="_x0000_s1026" style="position:absolute;margin-left:-4.85pt;margin-top:2.95pt;width:466.35pt;height:107.45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" filled="f" strokecolor="#dc9f0c" strokeweight="1.25pt"/>
            </w:pict>
          </mc:Fallback>
        </mc:AlternateContent>
      </w:r>
      <w:r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i/>
          <w:color w:val="936A07"/>
        </w:rPr>
        <w:t xml:space="preserve">Mieszkańcy generalnie wysoko oceniają stan i jakość poszczególnych elementów środowiska. Stan środowiska naturalnego 47,8% ankietowanych </w:t>
      </w:r>
      <w:proofErr w:type="gramStart"/>
      <w:r w:rsidRPr="00E320BC">
        <w:rPr>
          <w:rFonts w:ascii="Calibri" w:eastAsia="Candara" w:hAnsi="Calibri" w:cs="Times New Roman"/>
          <w:i/>
          <w:color w:val="936A07"/>
        </w:rPr>
        <w:t>oceniło jako</w:t>
      </w:r>
      <w:proofErr w:type="gramEnd"/>
      <w:r w:rsidRPr="00E320BC">
        <w:rPr>
          <w:rFonts w:ascii="Calibri" w:eastAsia="Candara" w:hAnsi="Calibri" w:cs="Times New Roman"/>
          <w:i/>
          <w:color w:val="936A07"/>
        </w:rPr>
        <w:t xml:space="preserve"> „dobry” oraz 20,9% jako „bardzo dobry”. Walory środowiska przyrodniczego otrzymały 16,4% odpowiedzi w kategorii oceny „bardzo dobry” i 49,3% „dobry”. Wysoko oceniono również stan estetyki miejscowości w HOF – 9% „bardzo dobry” i 47,8% „dobry”.</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Walory kulturowe</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Walory kulturowe to wszystkie elementy wytworzone bądź organizowane i kontrolowane przez ludzi. Ponadto niezmiernie istotne w procesie kształtowania tożsamości każdej społeczności lokalnej jest niematerialne dziedzictwo kulturowe, które pozwala na zachowanie tradycji odziedziczonych po przodkach i przekazanie ich kolejnym pokoleniom.</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Bogate zaplecze kulturowe i koloryt obszaru MOF wynika głównie z kresowego położenia oraz wielokulturowości</w:t>
      </w:r>
      <w:r w:rsidRPr="00E320BC">
        <w:rPr>
          <w:rFonts w:ascii="Calibri" w:eastAsia="Candara" w:hAnsi="Calibri" w:cs="Times New Roman"/>
        </w:rPr>
        <w:t xml:space="preserve">. Ze względu na swoje położenie przygraniczne oraz bogate dziedzictwo historyczne Hrubieszów jest często określany, </w:t>
      </w:r>
      <w:r w:rsidR="00A01589" w:rsidRPr="00E320BC">
        <w:rPr>
          <w:rFonts w:ascii="Calibri" w:eastAsia="Candara" w:hAnsi="Calibri" w:cs="Times New Roman"/>
        </w:rPr>
        <w:t>jako miasto kresowe</w:t>
      </w:r>
      <w:r w:rsidRPr="00E320BC">
        <w:rPr>
          <w:rFonts w:ascii="Calibri" w:eastAsia="Candara" w:hAnsi="Calibri" w:cs="Times New Roman"/>
        </w:rPr>
        <w:t>,</w:t>
      </w:r>
      <w:r w:rsidR="004C3DCC">
        <w:rPr>
          <w:rFonts w:ascii="Calibri" w:eastAsia="Candara" w:hAnsi="Calibri" w:cs="Times New Roman"/>
        </w:rPr>
        <w:t xml:space="preserve"> </w:t>
      </w:r>
      <w:r w:rsidR="004C3DCC" w:rsidRPr="00F77499">
        <w:rPr>
          <w:rFonts w:ascii="Calibri" w:eastAsia="Candara" w:hAnsi="Calibri" w:cs="Times New Roman"/>
        </w:rPr>
        <w:t>miasto trzech kultur,</w:t>
      </w:r>
      <w:r w:rsidRPr="00F77499">
        <w:rPr>
          <w:rFonts w:ascii="Calibri" w:eastAsia="Candara" w:hAnsi="Calibri" w:cs="Times New Roman"/>
        </w:rPr>
        <w:t xml:space="preserve"> niepowtarzalne, jedyne w swoim rodzaju</w:t>
      </w:r>
      <w:r w:rsidRPr="00F77499">
        <w:rPr>
          <w:rFonts w:ascii="Calibri" w:eastAsia="Candara" w:hAnsi="Calibri" w:cs="Times New Roman"/>
          <w:b/>
        </w:rPr>
        <w:t xml:space="preserve">. </w:t>
      </w:r>
      <w:r w:rsidR="004C3DCC" w:rsidRPr="00F77499">
        <w:t>W czasie ostatnich sześciu wieków historia i kultura tych terenów tworzona była poprzez współistnienie i przenikanie się trzech głównych tradycji religijnych: katolicyzmu, prawosławia i judaizmu. Do dziś współistnieje tu wiele wspólnot wyznaniowych: Kościoły rzymskokatolickie, Polski Autokefaliczny Kościół Prawosławny, Kościoły ewangeliczne oraz Świadkowie Jehowy.</w:t>
      </w:r>
      <w:r w:rsidR="004C3DCC">
        <w:t xml:space="preserve"> </w:t>
      </w:r>
      <w:r w:rsidRPr="00E320BC">
        <w:rPr>
          <w:rFonts w:ascii="Calibri" w:eastAsia="Candara" w:hAnsi="Calibri" w:cs="Times New Roman"/>
          <w:b/>
        </w:rPr>
        <w:t>Tożsamość miejsca jest niezwykłym walorem i może stanowić wyróżnik na tle regionu czy kraju</w:t>
      </w:r>
      <w:r w:rsidRPr="00E320BC">
        <w:rPr>
          <w:rFonts w:ascii="Calibri" w:eastAsia="Candara" w:hAnsi="Calibri" w:cs="Times New Roman"/>
        </w:rPr>
        <w:t xml:space="preserve">. </w:t>
      </w:r>
      <w:r w:rsidRPr="00E320BC">
        <w:rPr>
          <w:rFonts w:ascii="Calibri" w:eastAsia="Candara" w:hAnsi="Calibri" w:cs="Open Sans"/>
          <w:b/>
          <w:color w:val="0D0D0D"/>
        </w:rPr>
        <w:t>O bogatej historii HOF świadczy szereg znajdujących się tu zabytków</w:t>
      </w:r>
      <w:r w:rsidRPr="00E320BC">
        <w:rPr>
          <w:rFonts w:ascii="Calibri" w:eastAsia="Candara" w:hAnsi="Calibri" w:cs="Open Sans"/>
          <w:color w:val="0D0D0D"/>
        </w:rPr>
        <w:t xml:space="preserve">. Na terenie </w:t>
      </w:r>
      <w:r w:rsidRPr="00E320BC">
        <w:rPr>
          <w:rFonts w:ascii="Calibri" w:eastAsia="Candara" w:hAnsi="Calibri" w:cs="Open Sans"/>
          <w:color w:val="0D0D0D"/>
        </w:rPr>
        <w:lastRenderedPageBreak/>
        <w:t xml:space="preserve">HOF znajduje się 38 zabytków </w:t>
      </w:r>
      <w:r w:rsidRPr="00E320BC">
        <w:rPr>
          <w:rFonts w:ascii="Calibri" w:eastAsia="Candara" w:hAnsi="Calibri" w:cs="Times New Roman"/>
        </w:rPr>
        <w:t>wpisanych do rejestru Lubelskiego Konserwatora Zabytków w Lublinie. Pozostałe obiekty zabytkowe zostały wpisane do gminnych ewidencji zabytków (148 obiektów). Z</w:t>
      </w:r>
      <w:r w:rsidRPr="00E320BC">
        <w:rPr>
          <w:rFonts w:ascii="Calibri" w:eastAsia="Candara" w:hAnsi="Calibri" w:cs="Candara"/>
        </w:rPr>
        <w:t xml:space="preserve">naleźć tu można również szereg zabytków archeologicznych zlokalizowanych zarówno w mieście jak i na obszarze gminy wiejskiej. </w:t>
      </w:r>
      <w:r w:rsidRPr="00E320BC">
        <w:rPr>
          <w:rFonts w:ascii="Calibri" w:eastAsia="Candara" w:hAnsi="Calibri" w:cs="Candara"/>
          <w:b/>
        </w:rPr>
        <w:t>Okolice Hrubieszowa to jeden z najbardziej nasyconych zabytkami archeologicznymi teren w Polsce.</w:t>
      </w:r>
      <w:r w:rsidRPr="00E320BC">
        <w:rPr>
          <w:rFonts w:ascii="Calibri" w:eastAsia="Candara" w:hAnsi="Calibri" w:cs="Candara"/>
        </w:rPr>
        <w:t xml:space="preserve"> </w:t>
      </w:r>
      <w:r w:rsidRPr="00E320BC">
        <w:rPr>
          <w:rFonts w:ascii="Calibri" w:eastAsia="Candara" w:hAnsi="Calibri" w:cs="Times New Roman"/>
        </w:rPr>
        <w:t>Stan techniczny obiektów zabytkowych na obszarze HOF jest zróżnicowany. Większość zabytków na obszarze gminy wiejskiej jest w stanie dobrym i średnim. Zgodnie z inwentaryzacją przeprowadzoną przy opracowaniu Studium Uwarunkowań i Kierunków Zagospodarowania Przestrzennego Miasta Hrubieszowa, blisko 72% historycznej substancji zachowana jest w bardzo dobrym i dobrym stanie.</w:t>
      </w:r>
    </w:p>
    <w:p w:rsid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Unikalnym walorem miasta są murowane podziemia pod wzgórzem staromiejskim</w:t>
      </w:r>
      <w:r w:rsidRPr="00E320BC">
        <w:rPr>
          <w:rFonts w:ascii="Calibri" w:eastAsia="Candara" w:hAnsi="Calibri" w:cs="Times New Roman"/>
        </w:rPr>
        <w:t xml:space="preserve">, które mogą stać się atrakcją o charakterze ponadregionalnym. </w:t>
      </w:r>
      <w:r w:rsidRPr="00E320BC">
        <w:rPr>
          <w:rFonts w:ascii="Calibri" w:eastAsia="Candara" w:hAnsi="Calibri" w:cs="Times New Roman"/>
          <w:b/>
        </w:rPr>
        <w:t>Szczególnie cennym elementem dziedzictwa kulturowego miasta jest jego Śródmieście,</w:t>
      </w:r>
      <w:r w:rsidRPr="00E320BC">
        <w:rPr>
          <w:rFonts w:ascii="Calibri" w:eastAsia="Candara" w:hAnsi="Calibri" w:cs="Times New Roman"/>
        </w:rPr>
        <w:t xml:space="preserve"> którego obecny wygląd i układ urbanistyczny kształtował się przez stulecia. Najbardziej charakterystyczna część Śródmieścia to zabudowana oraz centralna część starego rynku zwana Sutkami. </w:t>
      </w:r>
      <w:r w:rsidRPr="00E320BC">
        <w:rPr>
          <w:rFonts w:ascii="Calibri" w:eastAsia="Candara" w:hAnsi="Calibri" w:cs="Times New Roman"/>
          <w:b/>
        </w:rPr>
        <w:t xml:space="preserve">Miasto Hrubieszów stanowi centralny ośrodek kultury i oświaty Ziemi Hrubieszowskiej. </w:t>
      </w:r>
      <w:r w:rsidR="001C55F9">
        <w:rPr>
          <w:rFonts w:ascii="Calibri" w:eastAsia="Candara" w:hAnsi="Calibri" w:cs="Times New Roman"/>
          <w:b/>
        </w:rPr>
        <w:t xml:space="preserve">Położony w pobliżu </w:t>
      </w:r>
      <w:proofErr w:type="spellStart"/>
      <w:r w:rsidR="001C55F9">
        <w:rPr>
          <w:rFonts w:ascii="Calibri" w:eastAsia="Candara" w:hAnsi="Calibri" w:cs="Times New Roman"/>
          <w:b/>
        </w:rPr>
        <w:t>Masłomęcz</w:t>
      </w:r>
      <w:proofErr w:type="spellEnd"/>
      <w:r w:rsidR="001C55F9">
        <w:rPr>
          <w:rFonts w:ascii="Calibri" w:eastAsia="Candara" w:hAnsi="Calibri" w:cs="Times New Roman"/>
          <w:b/>
        </w:rPr>
        <w:t xml:space="preserve"> </w:t>
      </w:r>
      <w:r w:rsidR="00824F0D">
        <w:rPr>
          <w:rFonts w:ascii="Calibri" w:eastAsia="Candara" w:hAnsi="Calibri" w:cs="Times New Roman"/>
          <w:b/>
        </w:rPr>
        <w:t xml:space="preserve">jest miejscem ważnym na mapie turystycznej HOF, pełni funkcje w zakresie prezentowania dorobku Gotów, w </w:t>
      </w:r>
      <w:proofErr w:type="gramStart"/>
      <w:r w:rsidR="00824F0D">
        <w:rPr>
          <w:rFonts w:ascii="Calibri" w:eastAsia="Candara" w:hAnsi="Calibri" w:cs="Times New Roman"/>
          <w:b/>
        </w:rPr>
        <w:t>związku z czym</w:t>
      </w:r>
      <w:proofErr w:type="gramEnd"/>
      <w:r w:rsidR="00824F0D">
        <w:rPr>
          <w:rFonts w:ascii="Calibri" w:eastAsia="Candara" w:hAnsi="Calibri" w:cs="Times New Roman"/>
          <w:b/>
        </w:rPr>
        <w:t xml:space="preserve"> </w:t>
      </w:r>
      <w:r w:rsidRPr="00E320BC">
        <w:rPr>
          <w:rFonts w:ascii="Calibri" w:eastAsia="Candara" w:hAnsi="Calibri" w:cs="Times New Roman"/>
          <w:b/>
        </w:rPr>
        <w:t>powstał</w:t>
      </w:r>
      <w:r w:rsidR="00824F0D">
        <w:rPr>
          <w:rFonts w:ascii="Calibri" w:eastAsia="Candara" w:hAnsi="Calibri" w:cs="Times New Roman"/>
          <w:b/>
        </w:rPr>
        <w:t xml:space="preserve"> tam</w:t>
      </w:r>
      <w:r w:rsidRPr="00E320BC">
        <w:rPr>
          <w:rFonts w:ascii="Calibri" w:eastAsia="Candara" w:hAnsi="Calibri" w:cs="Times New Roman"/>
          <w:b/>
        </w:rPr>
        <w:t xml:space="preserve"> skansen – Wioska Gotów.</w:t>
      </w:r>
      <w:r w:rsidRPr="00E320BC">
        <w:rPr>
          <w:rFonts w:ascii="Calibri" w:eastAsia="Candara" w:hAnsi="Calibri" w:cs="Times New Roman"/>
        </w:rPr>
        <w:t xml:space="preserve"> </w:t>
      </w:r>
      <w:r w:rsidRPr="00E320BC">
        <w:rPr>
          <w:rFonts w:ascii="Calibri" w:eastAsia="Candara" w:hAnsi="Calibri" w:cs="Times New Roman"/>
          <w:b/>
        </w:rPr>
        <w:t>Teren HOF może pochwalić się bogatym dziedzictwem niematerialnym o niezwykłym potencjale możliwym do wykorzystania podczas tworzenia produktu turystycznego.</w:t>
      </w:r>
      <w:r w:rsidR="007468F0">
        <w:rPr>
          <w:rFonts w:ascii="Calibri" w:eastAsia="Candara" w:hAnsi="Calibri" w:cs="Times New Roman"/>
        </w:rPr>
        <w:t xml:space="preserve"> Ponadto z </w:t>
      </w:r>
      <w:r w:rsidRPr="00E320BC">
        <w:rPr>
          <w:rFonts w:ascii="Calibri" w:eastAsia="Candara" w:hAnsi="Calibri" w:cs="Times New Roman"/>
        </w:rPr>
        <w:t>Hrubieszowskim Obszarem Funkcjonalnym związanych jest wiele znanych postaci. Potencjał ludzi związanych z tymi ziemiami jest aktywnie wykorzystywany na terenie HOF. Na terenie Gminy Hrubieszów w granicach HOF działa wielu twórców ludowych. Warto również wziąć pod uwagę potencjał tkwiący w produktach lokalnych. Takimi lokalnymi</w:t>
      </w:r>
      <w:r w:rsidR="00005F31">
        <w:rPr>
          <w:rFonts w:ascii="Calibri" w:eastAsia="Candara" w:hAnsi="Calibri" w:cs="Times New Roman"/>
        </w:rPr>
        <w:t xml:space="preserve"> produktami mogą być sery firmy</w:t>
      </w:r>
      <w:r w:rsidR="00824F0D">
        <w:rPr>
          <w:rFonts w:ascii="Calibri" w:eastAsia="Candara" w:hAnsi="Calibri" w:cs="Times New Roman"/>
        </w:rPr>
        <w:t xml:space="preserve"> </w:t>
      </w:r>
      <w:proofErr w:type="spellStart"/>
      <w:r w:rsidRPr="00E320BC">
        <w:rPr>
          <w:rFonts w:ascii="Calibri" w:eastAsia="Candara" w:hAnsi="Calibri" w:cs="Times New Roman"/>
        </w:rPr>
        <w:t>Batost</w:t>
      </w:r>
      <w:proofErr w:type="spellEnd"/>
      <w:r w:rsidRPr="00E320BC">
        <w:rPr>
          <w:rFonts w:ascii="Calibri" w:eastAsia="Candara" w:hAnsi="Calibri" w:cs="Times New Roman"/>
        </w:rPr>
        <w:t>-Pol czy też piwo rzemieślnicze z Browaru Sulewski. Dziedzictwo kulinarne HOF jest niezwykle bogate, o czym świadczyć mogą produkty wpisane na listę produktów tradycyjnych prowadzonej przez Ministerstwo Rolnictwa i Rozwoju Wsi.</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Transport i komunikacja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Hrubieszów jest najdalej na wschód wysuniętym miastem Polski, położonym zaledwie 18 km (DK 74) od przejścia granicznego z Ukrainą w Zosinie (gmina Horodło, 5 km w linii prostej przez Bug) i w odległości 34 km (przez DW844) od przejścia granicznego w Dołhobyczowie (gmina Dołhobyczów). </w:t>
      </w:r>
      <w:r w:rsidR="006C7079">
        <w:rPr>
          <w:rFonts w:cs="Times New Roman"/>
        </w:rPr>
        <w:t>Ważnym potencjałem w rozwoju HOF jest istniejąca infrastruktura i logistyka związana z funkcjonującym kolejowym przejściem granicznym Hrubieszów/</w:t>
      </w:r>
      <w:proofErr w:type="spellStart"/>
      <w:r w:rsidR="006C7079">
        <w:rPr>
          <w:rFonts w:cs="Times New Roman"/>
        </w:rPr>
        <w:t>Izov</w:t>
      </w:r>
      <w:proofErr w:type="spellEnd"/>
      <w:r w:rsidR="006C7079">
        <w:rPr>
          <w:rFonts w:cs="Times New Roman"/>
        </w:rPr>
        <w:t>,</w:t>
      </w:r>
      <w:r w:rsidR="006C7079">
        <w:rPr>
          <w:rFonts w:ascii="Calibri" w:eastAsia="Candara" w:hAnsi="Calibri" w:cs="Times New Roman"/>
        </w:rPr>
        <w:t xml:space="preserve"> obsługiwanym</w:t>
      </w:r>
      <w:r w:rsidRPr="00E320BC">
        <w:rPr>
          <w:rFonts w:ascii="Calibri" w:eastAsia="Candara" w:hAnsi="Calibri" w:cs="Times New Roman"/>
        </w:rPr>
        <w:t xml:space="preserve"> przez Placówkę Straży Granicznej w Hrubieszowie.</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b/>
        </w:rPr>
        <w:t xml:space="preserve">Obecnie teren HOF staje się obszarem wykluczonym komunikacyjnie. W mieście po </w:t>
      </w:r>
      <w:r w:rsidR="009773E0">
        <w:rPr>
          <w:rFonts w:ascii="Calibri" w:eastAsia="Candara" w:hAnsi="Calibri" w:cs="Times New Roman"/>
          <w:b/>
        </w:rPr>
        <w:t>likwidacji</w:t>
      </w:r>
      <w:r w:rsidRPr="00E320BC">
        <w:rPr>
          <w:rFonts w:ascii="Calibri" w:eastAsia="Candara" w:hAnsi="Calibri" w:cs="Times New Roman"/>
          <w:b/>
        </w:rPr>
        <w:t xml:space="preserve"> PKS nie ma centralnego dworca komunikacji, a połączenia szczególnie kolejowe z dużymi ośrodkami w kraju są bardzo słabe.</w:t>
      </w:r>
    </w:p>
    <w:p w:rsidR="00E320BC" w:rsidRPr="00E320BC" w:rsidRDefault="00E320BC" w:rsidP="00E320BC">
      <w:pPr>
        <w:spacing w:after="0"/>
        <w:ind w:firstLine="357"/>
        <w:rPr>
          <w:rFonts w:ascii="Calibri" w:eastAsia="Candara" w:hAnsi="Calibri" w:cs="Candara"/>
        </w:rPr>
      </w:pPr>
      <w:r w:rsidRPr="00E320BC">
        <w:rPr>
          <w:rFonts w:ascii="Calibri" w:eastAsia="Candara" w:hAnsi="Calibri" w:cs="Times New Roman"/>
          <w:b/>
        </w:rPr>
        <w:t>Komunikacja kolejowa na omawianym obszarze wymaga poprawy</w:t>
      </w:r>
      <w:r w:rsidRPr="00E320BC">
        <w:rPr>
          <w:rFonts w:ascii="Calibri" w:eastAsia="Candara" w:hAnsi="Calibri" w:cs="Times New Roman"/>
        </w:rPr>
        <w:t xml:space="preserve">. Dojazd do centrum HOF za pomocą pociągu możliwy jest dzięki funkcjonującej linii kolejowej nr 72 (Hrubieszów – Zawada k. Zamościa). Od 2017 roku linia ta czynna jest również dla ruchu pasażerskiego i wykorzystywana jest w połączeniach lokalnych (Hrubieszów – Zamość) oraz krajowych, w relacjach Hrubieszów – Zamość – Kraków – Wrocław oraz Hrubieszów – Zamość – Lublin – Warszawa – Piła). </w:t>
      </w:r>
      <w:r w:rsidRPr="00E320BC">
        <w:rPr>
          <w:rFonts w:ascii="Calibri" w:eastAsia="Candara" w:hAnsi="Calibri" w:cs="Candara"/>
        </w:rPr>
        <w:t xml:space="preserve">Obecnie na odcinku od Zamościa przewozy pasażerów nie są realizowane za pomocą pociągów, a zastępczą komunikacją autobusową. Na linii kolejowej nr 72 Zawada- Hrubieszów Miasto pomiędzy przystankami Zamość </w:t>
      </w:r>
      <w:r w:rsidRPr="00E320BC">
        <w:rPr>
          <w:rFonts w:ascii="Calibri" w:eastAsia="Candara" w:hAnsi="Calibri" w:cs="Candara"/>
        </w:rPr>
        <w:lastRenderedPageBreak/>
        <w:t>Wschodni i Hrubieszów Miasto nie jest prowadzony ruch regionalny. Linia kolejowa nie spełnia wymogów stanu infrastruktury kolejowej, nie jest zelektryfikowana.</w:t>
      </w:r>
      <w:r w:rsidR="00042991">
        <w:rPr>
          <w:rFonts w:ascii="Calibri" w:eastAsia="Candara" w:hAnsi="Calibri" w:cs="Candara"/>
        </w:rPr>
        <w:t xml:space="preserve"> </w:t>
      </w:r>
      <w:r w:rsidR="00A3317E">
        <w:t>Brakuje również</w:t>
      </w:r>
      <w:r w:rsidR="00042991">
        <w:t xml:space="preserve"> torów kolejowych w kierunku Chełma</w:t>
      </w:r>
      <w:r w:rsidR="00A3317E">
        <w:t>,</w:t>
      </w:r>
      <w:r w:rsidR="00042991">
        <w:t xml:space="preserve"> co</w:t>
      </w:r>
      <w:r w:rsidR="00A3317E">
        <w:t xml:space="preserve"> zapewniłoby otwarcie</w:t>
      </w:r>
      <w:r w:rsidR="00042991">
        <w:t xml:space="preserve"> dos</w:t>
      </w:r>
      <w:r w:rsidR="00A3317E">
        <w:t>tępności kolejowej HOF</w:t>
      </w:r>
      <w:r w:rsidR="00042991">
        <w:t xml:space="preserve"> w kierunku centrum kraju.</w:t>
      </w:r>
    </w:p>
    <w:p w:rsidR="00E320BC" w:rsidRPr="00E320BC" w:rsidRDefault="00E320BC" w:rsidP="00E320BC">
      <w:pPr>
        <w:spacing w:after="0"/>
        <w:ind w:firstLine="357"/>
        <w:rPr>
          <w:rFonts w:ascii="Calibri" w:eastAsia="Candara" w:hAnsi="Calibri" w:cs="Candara"/>
        </w:rPr>
      </w:pPr>
      <w:r w:rsidRPr="00E320BC">
        <w:rPr>
          <w:rFonts w:ascii="Calibri" w:eastAsia="Candara" w:hAnsi="Calibri" w:cs="Candara"/>
          <w:b/>
        </w:rPr>
        <w:t>Miasto cechuje słaba dostępność komunikacyjna do stolicy województwa, dużo lepszą dostęp</w:t>
      </w:r>
      <w:r w:rsidR="006C7079">
        <w:rPr>
          <w:rFonts w:ascii="Calibri" w:eastAsia="Candara" w:hAnsi="Calibri" w:cs="Candara"/>
          <w:b/>
        </w:rPr>
        <w:t xml:space="preserve">ność komunikacyjną ma z miastem </w:t>
      </w:r>
      <w:proofErr w:type="spellStart"/>
      <w:r w:rsidR="006C7079">
        <w:rPr>
          <w:rFonts w:ascii="Calibri" w:eastAsia="Candara" w:hAnsi="Calibri" w:cs="Candara"/>
          <w:b/>
        </w:rPr>
        <w:t>subregionalnym</w:t>
      </w:r>
      <w:proofErr w:type="spellEnd"/>
      <w:r w:rsidRPr="00E320BC">
        <w:rPr>
          <w:rFonts w:ascii="Calibri" w:eastAsia="Candara" w:hAnsi="Calibri" w:cs="Candara"/>
        </w:rPr>
        <w:t xml:space="preserve"> –</w:t>
      </w:r>
      <w:r w:rsidR="00005F31">
        <w:rPr>
          <w:rFonts w:ascii="Calibri" w:eastAsia="Candara" w:hAnsi="Calibri" w:cs="Candara"/>
        </w:rPr>
        <w:t xml:space="preserve"> Zamościem. Miasto Hrubieszów w </w:t>
      </w:r>
      <w:r w:rsidRPr="00E320BC">
        <w:rPr>
          <w:rFonts w:ascii="Calibri" w:eastAsia="Candara" w:hAnsi="Calibri" w:cs="Candara"/>
        </w:rPr>
        <w:t xml:space="preserve">części południowo wschodniej posiada obwodnicę. Dostępność komunikacyjną zapewnia głównie droga krajowa nr 74 (w relacji Zamość – Hrubieszów – przejście graniczne Zosin/ </w:t>
      </w:r>
      <w:proofErr w:type="spellStart"/>
      <w:r w:rsidRPr="00E320BC">
        <w:rPr>
          <w:rFonts w:ascii="Calibri" w:eastAsia="Candara" w:hAnsi="Calibri" w:cs="Candara"/>
        </w:rPr>
        <w:t>Ustiług</w:t>
      </w:r>
      <w:proofErr w:type="spellEnd"/>
      <w:r w:rsidRPr="00E320BC">
        <w:rPr>
          <w:rFonts w:ascii="Calibri" w:eastAsia="Candara" w:hAnsi="Calibri" w:cs="Candara"/>
        </w:rPr>
        <w:t>) oraz droga wojewódzka nr 844 (w relacji Chełm – Hrubieszów – przejście graniczne Dołhobyczów/</w:t>
      </w:r>
      <w:proofErr w:type="spellStart"/>
      <w:r w:rsidRPr="00E320BC">
        <w:rPr>
          <w:rFonts w:ascii="Calibri" w:eastAsia="Candara" w:hAnsi="Calibri" w:cs="Candara"/>
        </w:rPr>
        <w:t>Uhrynów</w:t>
      </w:r>
      <w:proofErr w:type="spellEnd"/>
      <w:r w:rsidRPr="00E320BC">
        <w:rPr>
          <w:rFonts w:ascii="Calibri" w:eastAsia="Candara" w:hAnsi="Calibri" w:cs="Candara"/>
        </w:rPr>
        <w:t>).</w:t>
      </w:r>
    </w:p>
    <w:p w:rsidR="00E320BC" w:rsidRPr="00F77499" w:rsidRDefault="00E320BC" w:rsidP="00E320BC">
      <w:pPr>
        <w:spacing w:after="0"/>
        <w:ind w:firstLine="357"/>
        <w:rPr>
          <w:rFonts w:ascii="Calibri" w:eastAsia="Candara" w:hAnsi="Calibri" w:cs="Candara"/>
        </w:rPr>
      </w:pPr>
      <w:r w:rsidRPr="00E320BC">
        <w:rPr>
          <w:rFonts w:ascii="Calibri" w:eastAsia="Candara" w:hAnsi="Calibri" w:cs="Candara"/>
        </w:rPr>
        <w:t xml:space="preserve">Ze względu </w:t>
      </w:r>
      <w:r w:rsidR="004C3DCC">
        <w:rPr>
          <w:rFonts w:ascii="Calibri" w:eastAsia="Candara" w:hAnsi="Calibri" w:cs="Candara"/>
        </w:rPr>
        <w:t>n</w:t>
      </w:r>
      <w:r w:rsidRPr="00E320BC">
        <w:rPr>
          <w:rFonts w:ascii="Calibri" w:eastAsia="Candara" w:hAnsi="Calibri" w:cs="Candara"/>
        </w:rPr>
        <w:t xml:space="preserve">a przebieg tras komunikacyjnych zarówno drogowych jak i kolejowych w Strategii </w:t>
      </w:r>
      <w:r w:rsidRPr="00F77499">
        <w:rPr>
          <w:rFonts w:ascii="Calibri" w:eastAsia="Candara" w:hAnsi="Calibri" w:cs="Candara"/>
        </w:rPr>
        <w:t xml:space="preserve">Rozwoju Województwa Lubelskiego wyznaczony został kierunek działań dla HOF </w:t>
      </w:r>
      <w:r w:rsidRPr="00F77499">
        <w:rPr>
          <w:rFonts w:ascii="Calibri" w:eastAsia="Candara" w:hAnsi="Calibri" w:cs="Candara"/>
          <w:b/>
        </w:rPr>
        <w:t xml:space="preserve">pod postacią budowy Centrum komunikacji </w:t>
      </w:r>
      <w:r w:rsidRPr="00F77499">
        <w:rPr>
          <w:rFonts w:ascii="Calibri" w:eastAsia="Candara" w:hAnsi="Calibri" w:cs="Candara"/>
        </w:rPr>
        <w:t xml:space="preserve">(w formie </w:t>
      </w:r>
      <w:proofErr w:type="spellStart"/>
      <w:r w:rsidRPr="00F77499">
        <w:rPr>
          <w:rFonts w:ascii="Calibri" w:eastAsia="Candara" w:hAnsi="Calibri" w:cs="Candara"/>
        </w:rPr>
        <w:t>hubu</w:t>
      </w:r>
      <w:proofErr w:type="spellEnd"/>
      <w:r w:rsidRPr="00F77499">
        <w:rPr>
          <w:rFonts w:ascii="Calibri" w:eastAsia="Candara" w:hAnsi="Calibri" w:cs="Candara"/>
        </w:rPr>
        <w:t xml:space="preserve">) w Mieście Hrubieszów, jako </w:t>
      </w:r>
      <w:r w:rsidRPr="00F77499">
        <w:rPr>
          <w:rFonts w:ascii="Calibri" w:eastAsia="Candara" w:hAnsi="Calibri" w:cs="Candara"/>
          <w:b/>
        </w:rPr>
        <w:t>elementu wzmacniania funkcji ośrodka lokalnego położonego na przebiegu ważnych korytarzy transportowych.</w:t>
      </w:r>
      <w:r w:rsidR="004C3DCC" w:rsidRPr="00F77499">
        <w:rPr>
          <w:rFonts w:ascii="Calibri" w:eastAsia="Candara" w:hAnsi="Calibri" w:cs="Candara"/>
          <w:b/>
        </w:rPr>
        <w:t xml:space="preserve"> </w:t>
      </w:r>
      <w:r w:rsidR="004C3DCC" w:rsidRPr="00F77499">
        <w:rPr>
          <w:rFonts w:ascii="Calibri" w:eastAsia="Candara" w:hAnsi="Calibri" w:cs="Candara"/>
        </w:rPr>
        <w:t>Centrum komunikacyjne ma przejąć rolę byłego dworca.</w:t>
      </w:r>
    </w:p>
    <w:p w:rsidR="00E320BC" w:rsidRPr="00F77499" w:rsidRDefault="00E320BC" w:rsidP="00E320BC">
      <w:pPr>
        <w:spacing w:after="0"/>
        <w:ind w:firstLine="357"/>
        <w:rPr>
          <w:rFonts w:ascii="Calibri" w:eastAsia="Candara" w:hAnsi="Calibri" w:cs="Candara"/>
          <w:color w:val="000000"/>
        </w:rPr>
      </w:pPr>
      <w:r w:rsidRPr="00F77499">
        <w:rPr>
          <w:rFonts w:ascii="Calibri" w:eastAsia="Candara" w:hAnsi="Calibri" w:cs="Candara"/>
          <w:color w:val="000000"/>
        </w:rPr>
        <w:t>Na terenie gminy zlokalizowane jest prywatne lądowisko dla samolotów</w:t>
      </w:r>
      <w:r w:rsidR="00EE60D6" w:rsidRPr="00F77499">
        <w:rPr>
          <w:rFonts w:ascii="Calibri" w:eastAsia="Candara" w:hAnsi="Calibri" w:cs="Candara"/>
          <w:color w:val="000000"/>
        </w:rPr>
        <w:t xml:space="preserve"> w Metelinie</w:t>
      </w:r>
      <w:r w:rsidRPr="00F77499">
        <w:rPr>
          <w:rFonts w:ascii="Calibri" w:eastAsia="Candara" w:hAnsi="Calibri" w:cs="Candara"/>
          <w:color w:val="000000"/>
        </w:rPr>
        <w:t>. Najbliższym portem lotniczym jest znajdujący się w odległości około 85 km w</w:t>
      </w:r>
      <w:r w:rsidR="00005F31" w:rsidRPr="00F77499">
        <w:rPr>
          <w:rFonts w:ascii="Calibri" w:eastAsia="Candara" w:hAnsi="Calibri" w:cs="Candara"/>
          <w:color w:val="000000"/>
        </w:rPr>
        <w:t xml:space="preserve"> kierunku północno-zachodnim od </w:t>
      </w:r>
      <w:r w:rsidRPr="00F77499">
        <w:rPr>
          <w:rFonts w:ascii="Calibri" w:eastAsia="Candara" w:hAnsi="Calibri" w:cs="Candara"/>
          <w:color w:val="000000"/>
        </w:rPr>
        <w:t xml:space="preserve">granic gminy </w:t>
      </w:r>
      <w:r w:rsidRPr="00F77499">
        <w:rPr>
          <w:rFonts w:ascii="Calibri" w:eastAsia="Candara" w:hAnsi="Calibri" w:cs="Candara"/>
          <w:color w:val="000000"/>
          <w:lang w:eastAsia="x-none"/>
        </w:rPr>
        <w:t>Port Lotniczy Lublin</w:t>
      </w:r>
      <w:r w:rsidRPr="00F77499">
        <w:rPr>
          <w:rFonts w:ascii="Calibri" w:eastAsia="Candara" w:hAnsi="Calibri" w:cs="Candara"/>
          <w:color w:val="000000"/>
        </w:rPr>
        <w:t>.</w:t>
      </w:r>
    </w:p>
    <w:p w:rsidR="00E320BC" w:rsidRDefault="00E320BC" w:rsidP="00E320BC">
      <w:pPr>
        <w:spacing w:after="0"/>
        <w:ind w:firstLine="357"/>
        <w:rPr>
          <w:rFonts w:ascii="Calibri" w:eastAsia="Candara" w:hAnsi="Calibri" w:cs="Times New Roman"/>
          <w:b/>
        </w:rPr>
      </w:pPr>
      <w:r w:rsidRPr="00F77499">
        <w:rPr>
          <w:rFonts w:ascii="Calibri" w:eastAsia="Candara" w:hAnsi="Calibri" w:cs="Times New Roman"/>
        </w:rPr>
        <w:t xml:space="preserve">W Hrubieszowie nie funkcjonuje komunikacja zbiorowa. </w:t>
      </w:r>
      <w:r w:rsidRPr="00E320BC">
        <w:rPr>
          <w:rFonts w:ascii="Calibri" w:eastAsia="Candara" w:hAnsi="Calibri" w:cs="Times New Roman"/>
        </w:rPr>
        <w:t xml:space="preserve">Oferta </w:t>
      </w:r>
      <w:r w:rsidR="00DE28E2" w:rsidRPr="00E320BC">
        <w:rPr>
          <w:rFonts w:ascii="Calibri" w:eastAsia="Candara" w:hAnsi="Calibri" w:cs="Times New Roman"/>
        </w:rPr>
        <w:t xml:space="preserve">- małych i średnich jednostek przewozowych </w:t>
      </w:r>
      <w:r w:rsidR="00DE28E2">
        <w:rPr>
          <w:rFonts w:ascii="Calibri" w:eastAsia="Candara" w:hAnsi="Calibri" w:cs="Times New Roman"/>
        </w:rPr>
        <w:t>działających głównie na terenie Gminy Hrubieszów</w:t>
      </w:r>
      <w:r w:rsidRPr="00E320BC">
        <w:rPr>
          <w:rFonts w:ascii="Calibri" w:eastAsia="Candara" w:hAnsi="Calibri" w:cs="Times New Roman"/>
        </w:rPr>
        <w:t xml:space="preserve"> nie zaspokaja zapotrzebowania mieszkańców HOF.  </w:t>
      </w:r>
      <w:r w:rsidRPr="00E320BC">
        <w:rPr>
          <w:rFonts w:ascii="Calibri" w:eastAsia="Candara" w:hAnsi="Calibri" w:cs="Times New Roman"/>
          <w:b/>
        </w:rPr>
        <w:t>Najmniejsze miejscowości zostały komunikacyjnie wykluczone.</w:t>
      </w:r>
    </w:p>
    <w:p w:rsidR="00E320BC" w:rsidRPr="00E320BC" w:rsidRDefault="00E320BC" w:rsidP="00E320BC">
      <w:pPr>
        <w:spacing w:after="0"/>
        <w:ind w:firstLine="357"/>
        <w:rPr>
          <w:rFonts w:ascii="Calibri" w:eastAsia="Candara" w:hAnsi="Calibri" w:cs="Times New Roman"/>
          <w:b/>
          <w:i/>
          <w:color w:val="936A07"/>
        </w:rPr>
      </w:pPr>
      <w:r w:rsidRPr="00E320BC">
        <w:rPr>
          <w:rFonts w:ascii="Calibri" w:eastAsia="Candara" w:hAnsi="Calibri" w:cs="Times New Roman"/>
          <w:b/>
          <w:i/>
          <w:noProof/>
          <w:color w:val="F5C040"/>
          <w:lang w:eastAsia="pl-PL"/>
        </w:rPr>
        <mc:AlternateContent>
          <mc:Choice Requires="wps">
            <w:drawing>
              <wp:anchor distT="0" distB="0" distL="114300" distR="114300" simplePos="0" relativeHeight="251688960" behindDoc="0" locked="0" layoutInCell="1" allowOverlap="1" wp14:anchorId="69066C58" wp14:editId="36776E32">
                <wp:simplePos x="0" y="0"/>
                <wp:positionH relativeFrom="column">
                  <wp:posOffset>-67457</wp:posOffset>
                </wp:positionH>
                <wp:positionV relativeFrom="paragraph">
                  <wp:posOffset>65747</wp:posOffset>
                </wp:positionV>
                <wp:extent cx="5922818" cy="1229800"/>
                <wp:effectExtent l="0" t="0" r="20955" b="27940"/>
                <wp:wrapNone/>
                <wp:docPr id="500" name="Prostokąt 500"/>
                <wp:cNvGraphicFramePr/>
                <a:graphic xmlns:a="http://schemas.openxmlformats.org/drawingml/2006/main">
                  <a:graphicData uri="http://schemas.microsoft.com/office/word/2010/wordprocessingShape">
                    <wps:wsp>
                      <wps:cNvSpPr/>
                      <wps:spPr>
                        <a:xfrm>
                          <a:off x="0" y="0"/>
                          <a:ext cx="5922818" cy="1229800"/>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Prostokąt 500" o:spid="_x0000_s1026" style="position:absolute;margin-left:-5.3pt;margin-top:5.2pt;width:466.35pt;height:96.85pt;z-index:251688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" filled="f" strokecolor="#dc9f0c" strokeweight="1.25pt"/>
            </w:pict>
          </mc:Fallback>
        </mc:AlternateContent>
      </w:r>
      <w:r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Mieszkańcy HOF w ankiecie oceniają stan połączeń komunikacyjnych z innymi gminami i miejscowościami, jako przeciętny (37,3% odpowiedzi) ze wskazaniem w kierunku zły (32,8% odpowiedzi). Do najważniejszych kierunków działań z zakresu rozwoju infrastruktury technicznej i drogowej ankietowali zaliczyli rozwój i poprawę stanu infrastruktury drogowej (wraz z parkingami, budową i modernizacją chodników i ciągów pieszych).</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Infrastruktura teleinformatyczna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Powszechny dostęp do szerokopasmowego Internetu ma szczególne znaczenie dla rozwoju obszaru i dla jakości życia mieszkańców. </w:t>
      </w:r>
      <w:r w:rsidRPr="00E320BC">
        <w:rPr>
          <w:rFonts w:ascii="Calibri" w:eastAsia="Candara" w:hAnsi="Calibri" w:cs="Times New Roman"/>
          <w:b/>
        </w:rPr>
        <w:t>Poziom penetracji budynków zasięgami internetu stacjonarnego ogółem</w:t>
      </w:r>
      <w:r w:rsidRPr="00E320BC">
        <w:rPr>
          <w:rFonts w:ascii="Calibri" w:eastAsia="Candara" w:hAnsi="Calibri" w:cs="Times New Roman"/>
          <w:b/>
          <w:vertAlign w:val="superscript"/>
        </w:rPr>
        <w:footnoteReference w:id="16"/>
      </w:r>
      <w:r w:rsidRPr="00E320BC">
        <w:rPr>
          <w:rFonts w:ascii="Calibri" w:eastAsia="Candara" w:hAnsi="Calibri" w:cs="Times New Roman"/>
          <w:b/>
        </w:rPr>
        <w:t xml:space="preserve"> dla HOF jest na wysokim poziomie</w:t>
      </w:r>
      <w:r w:rsidRPr="00E320BC">
        <w:rPr>
          <w:rFonts w:ascii="Calibri" w:eastAsia="Candara" w:hAnsi="Calibri" w:cs="Times New Roman"/>
        </w:rPr>
        <w:t>, na obszarze miasta w przedziale 80,1% - 100%, na obszarze Gminy Hrubieszów w przedziale 60,1% - 80,0%</w:t>
      </w:r>
      <w:r w:rsidRPr="00E320BC">
        <w:rPr>
          <w:rFonts w:ascii="Calibri" w:eastAsia="Candara" w:hAnsi="Calibri" w:cs="Times New Roman"/>
          <w:vertAlign w:val="superscript"/>
        </w:rPr>
        <w:footnoteReference w:id="17"/>
      </w:r>
      <w:r w:rsidRPr="00E320BC">
        <w:rPr>
          <w:rFonts w:ascii="Calibri" w:eastAsia="Candara" w:hAnsi="Calibri" w:cs="Times New Roman"/>
        </w:rPr>
        <w:t xml:space="preserve">, </w:t>
      </w:r>
      <w:r w:rsidRPr="00E320BC">
        <w:rPr>
          <w:rFonts w:ascii="Calibri" w:eastAsia="Candara" w:hAnsi="Calibri" w:cs="Times New Roman"/>
          <w:b/>
        </w:rPr>
        <w:t xml:space="preserve">natomiast penetracja budynkowa Internetem stacjonarnym o </w:t>
      </w:r>
      <w:proofErr w:type="gramStart"/>
      <w:r w:rsidRPr="00E320BC">
        <w:rPr>
          <w:rFonts w:ascii="Calibri" w:eastAsia="Candara" w:hAnsi="Calibri" w:cs="Times New Roman"/>
          <w:b/>
        </w:rPr>
        <w:t>przepustowości co</w:t>
      </w:r>
      <w:proofErr w:type="gramEnd"/>
      <w:r w:rsidRPr="00E320BC">
        <w:rPr>
          <w:rFonts w:ascii="Calibri" w:eastAsia="Candara" w:hAnsi="Calibri" w:cs="Times New Roman"/>
          <w:b/>
        </w:rPr>
        <w:t xml:space="preserve"> najmniej 30 </w:t>
      </w:r>
      <w:proofErr w:type="spellStart"/>
      <w:r w:rsidRPr="00E320BC">
        <w:rPr>
          <w:rFonts w:ascii="Calibri" w:eastAsia="Candara" w:hAnsi="Calibri" w:cs="Times New Roman"/>
          <w:b/>
        </w:rPr>
        <w:t>Mb</w:t>
      </w:r>
      <w:proofErr w:type="spellEnd"/>
      <w:r w:rsidRPr="00E320BC">
        <w:rPr>
          <w:rFonts w:ascii="Calibri" w:eastAsia="Candara" w:hAnsi="Calibri" w:cs="Times New Roman"/>
          <w:b/>
        </w:rPr>
        <w:t>/s jest na średnim poziomie</w:t>
      </w:r>
      <w:r w:rsidRPr="00E320BC">
        <w:rPr>
          <w:rFonts w:ascii="Calibri" w:eastAsia="Candara" w:hAnsi="Calibri" w:cs="Times New Roman"/>
        </w:rPr>
        <w:t xml:space="preserve">. Dla Miasta Hrubieszów wynosi 0,63, co oznacza, iż pozostałe </w:t>
      </w:r>
      <w:r w:rsidRPr="00E320BC">
        <w:rPr>
          <w:rFonts w:ascii="Calibri" w:eastAsia="Candara" w:hAnsi="Calibri" w:cs="Times New Roman"/>
          <w:b/>
        </w:rPr>
        <w:t>37% domów w mieście znajduje się w zasięgu tzw. białych plam</w:t>
      </w:r>
      <w:r w:rsidRPr="00E320BC">
        <w:rPr>
          <w:rFonts w:ascii="Calibri" w:eastAsia="Candara" w:hAnsi="Calibri" w:cs="Times New Roman"/>
        </w:rPr>
        <w:t>, czyli miejsc bez dostępu d</w:t>
      </w:r>
      <w:r w:rsidR="00005F31">
        <w:rPr>
          <w:rFonts w:ascii="Calibri" w:eastAsia="Candara" w:hAnsi="Calibri" w:cs="Times New Roman"/>
        </w:rPr>
        <w:t xml:space="preserve">o Internetu o </w:t>
      </w:r>
      <w:proofErr w:type="gramStart"/>
      <w:r w:rsidR="00005F31">
        <w:rPr>
          <w:rFonts w:ascii="Calibri" w:eastAsia="Candara" w:hAnsi="Calibri" w:cs="Times New Roman"/>
        </w:rPr>
        <w:t>przepustowości co</w:t>
      </w:r>
      <w:proofErr w:type="gramEnd"/>
      <w:r w:rsidR="00005F31">
        <w:rPr>
          <w:rFonts w:ascii="Calibri" w:eastAsia="Candara" w:hAnsi="Calibri" w:cs="Times New Roman"/>
        </w:rPr>
        <w:t> </w:t>
      </w:r>
      <w:r w:rsidRPr="00E320BC">
        <w:rPr>
          <w:rFonts w:ascii="Calibri" w:eastAsia="Candara" w:hAnsi="Calibri" w:cs="Times New Roman"/>
        </w:rPr>
        <w:t xml:space="preserve">najmniej 30 MB/s. Nieco gorzej wygląda sytuacja w granicach Gminy Hrubieszów, gdzie wskaźnik </w:t>
      </w:r>
      <w:r w:rsidRPr="00E320BC">
        <w:rPr>
          <w:rFonts w:ascii="Calibri" w:eastAsia="Candara" w:hAnsi="Calibri" w:cs="Times New Roman"/>
        </w:rPr>
        <w:lastRenderedPageBreak/>
        <w:t>wynosi 0,23. Szansę dla rozwoju technologii informacyjno-komunikacyjnych, daje budowa rozległej sieci światłowodowej i radiowej na terenie całego powiatu hrubieszowskiego.</w:t>
      </w:r>
    </w:p>
    <w:p w:rsidR="00E320BC" w:rsidRPr="00E320BC" w:rsidRDefault="00253317" w:rsidP="00E320BC">
      <w:pPr>
        <w:spacing w:after="0"/>
        <w:ind w:firstLine="357"/>
        <w:rPr>
          <w:rFonts w:ascii="Calibri" w:eastAsia="Candara" w:hAnsi="Calibri" w:cs="Times New Roman"/>
        </w:rPr>
      </w:pPr>
      <w:r w:rsidRPr="00880A85">
        <w:t>Cały obszar HOF objęty jest telefonizacją przewodową, znajduje się również w zasięgu wszystkich operatorów sieci telefonii komórkowej.</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Infrastruktura elektroenergetyczna i gazowa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Na terenie ośrodka centralnego HOF swoją działalność prowadzą lokalne przedsiębiorstwa zajmujące się produkcją i dystrybucją energii. Opis sieci znajduje się w</w:t>
      </w:r>
      <w:r w:rsidR="00683363" w:rsidRPr="00683363">
        <w:t xml:space="preserve"> </w:t>
      </w:r>
      <w:r w:rsidR="00683363">
        <w:t xml:space="preserve">„diagnozie </w:t>
      </w:r>
      <w:r w:rsidR="00683363" w:rsidRPr="00683363">
        <w:rPr>
          <w:rFonts w:ascii="Calibri" w:eastAsia="Candara" w:hAnsi="Calibri" w:cs="Times New Roman"/>
        </w:rPr>
        <w:t>sytuacji społecznej, gospodarczej i przestrzennej Hrubieszowskiego Obszaru Funkcjonalnego</w:t>
      </w:r>
      <w:r w:rsidR="00683363">
        <w:rPr>
          <w:rFonts w:ascii="Calibri" w:eastAsia="Candara" w:hAnsi="Calibri" w:cs="Times New Roman"/>
        </w:rPr>
        <w:t>”</w:t>
      </w:r>
      <w:r w:rsidRPr="00E320BC">
        <w:rPr>
          <w:rFonts w:ascii="Calibri" w:eastAsia="Candara" w:hAnsi="Calibri" w:cs="Times New Roman"/>
        </w:rPr>
        <w:t xml:space="preserve"> w rozdziale 2.2. </w:t>
      </w:r>
      <w:r w:rsidR="00471CF1">
        <w:t>W miarę wzrostu zapotrzebowania na energię elektryczną, na terenie Gminy Hrubieszów planuje się rozbudowę sieci elektroenergetycznej średniego i niskiego napięcia wraz z przyłączami do sieci.</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Na obszarze HOF funkcjonują dwa GPZ elektroenergetyczne, centralna kotłownia cieplna opalaną gazem, oraz </w:t>
      </w:r>
      <w:r w:rsidRPr="00EE60D6">
        <w:rPr>
          <w:rFonts w:ascii="Calibri" w:eastAsia="Candara" w:hAnsi="Calibri" w:cs="Times New Roman"/>
          <w:b/>
        </w:rPr>
        <w:t>sieć gazowa średnioprężna ze stacją redukcyjną w pobliskim Moroczynie.</w:t>
      </w:r>
      <w:r w:rsidRPr="00E320BC">
        <w:rPr>
          <w:rFonts w:ascii="Calibri" w:eastAsia="Candara" w:hAnsi="Calibri" w:cs="Times New Roman"/>
        </w:rPr>
        <w:t xml:space="preserve"> </w:t>
      </w:r>
      <w:r w:rsidRPr="00E320BC">
        <w:rPr>
          <w:rFonts w:ascii="Calibri" w:eastAsia="Candara" w:hAnsi="Calibri" w:cs="Times New Roman"/>
          <w:b/>
        </w:rPr>
        <w:t>Przez obszar HOF przebiega wysokoprężny gazociąg magistralny</w:t>
      </w:r>
      <w:r w:rsidRPr="00E320BC">
        <w:rPr>
          <w:rFonts w:ascii="Calibri" w:eastAsia="Candara" w:hAnsi="Calibri" w:cs="Times New Roman"/>
        </w:rPr>
        <w:t xml:space="preserve"> (od granicy polsko-ukraińskiej, przez M</w:t>
      </w:r>
      <w:r w:rsidR="00EE60D6">
        <w:rPr>
          <w:rFonts w:ascii="Calibri" w:eastAsia="Candara" w:hAnsi="Calibri" w:cs="Times New Roman"/>
        </w:rPr>
        <w:t>iasto Hrubieszów do Werbkowic).</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W mieście istnieją dobre warunki do rozbudowy infrastruktury gazowniczej.</w:t>
      </w:r>
      <w:r w:rsidRPr="00E320BC">
        <w:rPr>
          <w:rFonts w:ascii="Calibri" w:eastAsia="Candara" w:hAnsi="Calibri" w:cs="Times New Roman"/>
        </w:rPr>
        <w:t xml:space="preserve"> </w:t>
      </w:r>
      <w:r w:rsidRPr="00E320BC">
        <w:rPr>
          <w:rFonts w:ascii="Calibri" w:eastAsia="Candara" w:hAnsi="Calibri" w:cs="Candara"/>
        </w:rPr>
        <w:t xml:space="preserve">Z gazu korzysta </w:t>
      </w:r>
      <w:r w:rsidRPr="00E320BC">
        <w:rPr>
          <w:rFonts w:ascii="Calibri" w:eastAsia="Calibri Light" w:hAnsi="Calibri" w:cs="Candara"/>
        </w:rPr>
        <w:t xml:space="preserve">669 odbiorców (648 z obszaru miejskiego) i jest to 1761 osób stanowiących zaledwie </w:t>
      </w:r>
      <w:r w:rsidRPr="00E320BC">
        <w:rPr>
          <w:rFonts w:ascii="Calibri" w:eastAsia="Calibri Light" w:hAnsi="Calibri" w:cs="Candara"/>
          <w:b/>
        </w:rPr>
        <w:t>6,4% wszystkich mieszkańców HOF</w:t>
      </w:r>
      <w:r w:rsidRPr="00E320BC">
        <w:rPr>
          <w:rFonts w:ascii="Calibri" w:eastAsia="Calibri Light" w:hAnsi="Calibri" w:cs="Candara"/>
        </w:rPr>
        <w:t>.</w:t>
      </w:r>
      <w:r w:rsidRPr="00E320BC">
        <w:rPr>
          <w:rFonts w:ascii="Calibri" w:eastAsia="Candara" w:hAnsi="Calibri" w:cs="Candara"/>
        </w:rPr>
        <w:t xml:space="preserve"> Pomimo dużej dynamiki przyrostu miasto (a tym bardziej obszar wiejski) </w:t>
      </w:r>
      <w:r w:rsidRPr="00E320BC">
        <w:rPr>
          <w:rFonts w:ascii="Calibri" w:eastAsia="Candara" w:hAnsi="Calibri" w:cs="Candara"/>
          <w:b/>
        </w:rPr>
        <w:t>ma bardzo mały odsetek mieszkań wyposażonych w gaz sieciowy</w:t>
      </w:r>
      <w:r w:rsidRPr="00E320BC">
        <w:rPr>
          <w:rFonts w:ascii="Calibri" w:eastAsia="Candara" w:hAnsi="Calibri" w:cs="Candara"/>
        </w:rPr>
        <w:t xml:space="preserve">, co jest głównie związane z niskim stopniem zgazyfikowania miasta. </w:t>
      </w:r>
      <w:r w:rsidRPr="00E320BC">
        <w:rPr>
          <w:rFonts w:ascii="Calibri" w:eastAsia="Calibri Light" w:hAnsi="Calibri" w:cs="Candara"/>
        </w:rPr>
        <w:t xml:space="preserve">Sieć gazowa HOF składa się z gazociągu o długości 68,9 km, z czego 73,5% znajduje się w mieście. Posiada 550 przyłączy gazowych do budynków mieszkalnych, z wyraźną przewagą tych w mieście (97%). Tak niski stopień rozwinięcia sieci gazowej w Gminie Hrubieszów wynika z odmowy budowy sieci przez Polską Spółkę Gazownictwa dla mieszkańców kilku miejscowości gminy. </w:t>
      </w:r>
      <w:r w:rsidRPr="00E320BC">
        <w:rPr>
          <w:rFonts w:ascii="Calibri" w:eastAsia="Candara" w:hAnsi="Calibri" w:cs="Times New Roman"/>
          <w:b/>
        </w:rPr>
        <w:t xml:space="preserve">Ze względu </w:t>
      </w:r>
      <w:r w:rsidR="00BA7775">
        <w:rPr>
          <w:rFonts w:ascii="Calibri" w:eastAsia="Candara" w:hAnsi="Calibri" w:cs="Times New Roman"/>
          <w:b/>
        </w:rPr>
        <w:t xml:space="preserve">na </w:t>
      </w:r>
      <w:r w:rsidRPr="00E320BC">
        <w:rPr>
          <w:rFonts w:ascii="Calibri" w:eastAsia="Candara" w:hAnsi="Calibri" w:cs="Times New Roman"/>
          <w:b/>
        </w:rPr>
        <w:t xml:space="preserve">słabo rozwiniętą sieć gazową w Gminie Hrubieszów, w gospodarstwach domowych </w:t>
      </w:r>
      <w:r w:rsidR="00C431EB" w:rsidRPr="00E320BC">
        <w:rPr>
          <w:rFonts w:ascii="Calibri" w:eastAsia="Candara" w:hAnsi="Calibri" w:cs="Times New Roman"/>
          <w:b/>
        </w:rPr>
        <w:t>nadal dominuje wykorzystanie gazu butlowego</w:t>
      </w:r>
      <w:r w:rsidRPr="00E320BC">
        <w:rPr>
          <w:rFonts w:ascii="Calibri" w:eastAsia="Candara" w:hAnsi="Calibri" w:cs="Times New Roman"/>
          <w:b/>
        </w:rPr>
        <w:t>.</w:t>
      </w:r>
      <w:r w:rsidRPr="00E320BC">
        <w:rPr>
          <w:rFonts w:ascii="Calibri" w:eastAsia="Candara" w:hAnsi="Calibri" w:cs="Times New Roman"/>
        </w:rPr>
        <w:t xml:space="preserve"> W związku z powyższym istnieje p</w:t>
      </w:r>
      <w:r w:rsidR="00BA7775">
        <w:rPr>
          <w:rFonts w:ascii="Calibri" w:eastAsia="Candara" w:hAnsi="Calibri" w:cs="Times New Roman"/>
        </w:rPr>
        <w:t>otrzeba rozbudowy sieci gazowej,</w:t>
      </w:r>
      <w:r w:rsidR="00C82EF3">
        <w:rPr>
          <w:rFonts w:ascii="Calibri" w:eastAsia="Candara" w:hAnsi="Calibri" w:cs="Times New Roman"/>
        </w:rPr>
        <w:t xml:space="preserve"> a</w:t>
      </w:r>
      <w:r w:rsidR="00BA7775">
        <w:rPr>
          <w:rFonts w:ascii="Calibri" w:eastAsia="Candara" w:hAnsi="Calibri" w:cs="Times New Roman"/>
        </w:rPr>
        <w:t xml:space="preserve"> </w:t>
      </w:r>
      <w:r w:rsidR="00BA7775" w:rsidRPr="00880A85">
        <w:rPr>
          <w:rFonts w:ascii="Calibri" w:eastAsia="Candara" w:hAnsi="Calibri" w:cs="Times New Roman"/>
        </w:rPr>
        <w:t xml:space="preserve">gaz w szczególności </w:t>
      </w:r>
      <w:r w:rsidR="00C431EB" w:rsidRPr="00880A85">
        <w:rPr>
          <w:rFonts w:ascii="Calibri" w:eastAsia="Candara" w:hAnsi="Calibri" w:cs="Times New Roman"/>
        </w:rPr>
        <w:t>służyłby</w:t>
      </w:r>
      <w:r w:rsidR="00BA7775" w:rsidRPr="00880A85">
        <w:rPr>
          <w:rFonts w:ascii="Calibri" w:eastAsia="Candara" w:hAnsi="Calibri" w:cs="Times New Roman"/>
        </w:rPr>
        <w:t xml:space="preserve"> ogrzewaniu mieszkań.</w:t>
      </w:r>
    </w:p>
    <w:p w:rsidR="00E320BC" w:rsidRPr="00E320BC" w:rsidRDefault="00E320BC" w:rsidP="00E320BC">
      <w:pPr>
        <w:spacing w:after="0"/>
        <w:ind w:firstLine="357"/>
        <w:rPr>
          <w:rFonts w:ascii="Calibri" w:eastAsia="Candara" w:hAnsi="Calibri" w:cs="Candara"/>
          <w:bCs/>
          <w:color w:val="000000"/>
        </w:rPr>
      </w:pPr>
      <w:r w:rsidRPr="00E320BC">
        <w:rPr>
          <w:rFonts w:ascii="Calibri" w:eastAsia="Candara" w:hAnsi="Calibri" w:cs="Candara"/>
          <w:b/>
        </w:rPr>
        <w:t>Sieć ciepłownicza na terenie HOF funkcjonuje tylko na obszarze miejskim i jest niedostatecznie rozwinięta.</w:t>
      </w:r>
      <w:r w:rsidRPr="00E320BC">
        <w:rPr>
          <w:rFonts w:ascii="Calibri" w:eastAsia="Candara" w:hAnsi="Calibri" w:cs="Candara"/>
        </w:rPr>
        <w:t xml:space="preserve"> Wytwarzaniem, </w:t>
      </w:r>
      <w:proofErr w:type="spellStart"/>
      <w:r w:rsidRPr="00E320BC">
        <w:rPr>
          <w:rFonts w:ascii="Calibri" w:eastAsia="Candara" w:hAnsi="Calibri" w:cs="Candara"/>
        </w:rPr>
        <w:t>przesyłem</w:t>
      </w:r>
      <w:proofErr w:type="spellEnd"/>
      <w:r w:rsidRPr="00E320BC">
        <w:rPr>
          <w:rFonts w:ascii="Calibri" w:eastAsia="Candara" w:hAnsi="Calibri" w:cs="Candara"/>
        </w:rPr>
        <w:t xml:space="preserve"> i dystrybucją ciepła zajmuje się Zakład Energetyki Cieplnej. </w:t>
      </w:r>
      <w:r w:rsidRPr="00E320BC">
        <w:rPr>
          <w:rFonts w:ascii="Calibri" w:eastAsia="Calibri Light" w:hAnsi="Calibri" w:cs="Candara"/>
          <w:b/>
        </w:rPr>
        <w:t>Zdecydowana większość budynków mieszkalnych w mieście nie jest podłączona do miejskiej sieci ciepłowniczej i dla tych budynków głównym źródłem ciepła są kotły węglowe.</w:t>
      </w:r>
      <w:r w:rsidRPr="00E320BC">
        <w:rPr>
          <w:rFonts w:ascii="Calibri" w:eastAsia="Calibri Light" w:hAnsi="Calibri" w:cs="Candara"/>
        </w:rPr>
        <w:t xml:space="preserve"> W granicach gminy wiejskiej c</w:t>
      </w:r>
      <w:r w:rsidRPr="00E320BC">
        <w:rPr>
          <w:rFonts w:ascii="Calibri" w:eastAsia="Candara" w:hAnsi="Calibri" w:cs="Candara"/>
          <w:bCs/>
          <w:color w:val="000000"/>
        </w:rPr>
        <w:t>iepło produkowane jest za pomocą indywidualnych kotłowni i systemów grzewczych. Jedynymi lokalnymi systemami ciepłowniczymi są dwie kotłownie węglowe, zaopatrujące w energię cieplną budynki spółdzielni mieszkaniowej:</w:t>
      </w:r>
    </w:p>
    <w:p w:rsidR="00E320BC" w:rsidRPr="00E320BC" w:rsidRDefault="00E320BC" w:rsidP="00A13FA7">
      <w:pPr>
        <w:numPr>
          <w:ilvl w:val="0"/>
          <w:numId w:val="16"/>
        </w:numPr>
        <w:spacing w:after="0"/>
        <w:contextualSpacing/>
        <w:rPr>
          <w:rFonts w:ascii="Calibri" w:eastAsia="Candara" w:hAnsi="Calibri" w:cs="Candara"/>
          <w:bCs/>
          <w:color w:val="000000"/>
        </w:rPr>
      </w:pPr>
      <w:r w:rsidRPr="00E320BC">
        <w:rPr>
          <w:rFonts w:ascii="Calibri" w:eastAsia="Candara" w:hAnsi="Calibri" w:cs="Candara"/>
          <w:bCs/>
          <w:color w:val="000000"/>
        </w:rPr>
        <w:t xml:space="preserve">Dziekanów - zaopatruje w ciepło 56 mieszkań, </w:t>
      </w:r>
    </w:p>
    <w:p w:rsidR="00E320BC" w:rsidRPr="00E320BC" w:rsidRDefault="00E320BC" w:rsidP="00A13FA7">
      <w:pPr>
        <w:numPr>
          <w:ilvl w:val="0"/>
          <w:numId w:val="16"/>
        </w:numPr>
        <w:spacing w:after="0"/>
        <w:contextualSpacing/>
        <w:rPr>
          <w:rFonts w:ascii="Calibri" w:eastAsia="Candara" w:hAnsi="Calibri" w:cs="Candara"/>
          <w:bCs/>
          <w:color w:val="000000"/>
        </w:rPr>
      </w:pPr>
      <w:r w:rsidRPr="00E320BC">
        <w:rPr>
          <w:rFonts w:ascii="Calibri" w:eastAsia="Candara" w:hAnsi="Calibri" w:cs="Candara"/>
          <w:bCs/>
          <w:color w:val="000000"/>
        </w:rPr>
        <w:t>Husynne - zaopatruje w ciepło 46 mieszkań</w:t>
      </w:r>
      <w:r w:rsidRPr="00E320BC">
        <w:rPr>
          <w:rFonts w:ascii="Calibri" w:eastAsia="Candara" w:hAnsi="Calibri" w:cs="Candara"/>
          <w:bCs/>
          <w:color w:val="000000"/>
          <w:vertAlign w:val="superscript"/>
        </w:rPr>
        <w:footnoteReference w:id="18"/>
      </w:r>
      <w:r w:rsidRPr="00E320BC">
        <w:rPr>
          <w:rFonts w:ascii="Calibri" w:eastAsia="Candara" w:hAnsi="Calibri" w:cs="Candara"/>
          <w:bCs/>
          <w:color w:val="000000"/>
        </w:rPr>
        <w:t xml:space="preserve">.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W ramach ochrony powietrza, ograniczenia smogu i nieprzekraczania norm w zakresie zanieczyszczenia powietrza, jak również poprawy stopnia wykorzystania odnawialnych źródeł energii w bilansie energetycznym miasta należy zmniejszyć zużycie paliw węglowych i wprowadzić na ich </w:t>
      </w:r>
      <w:r w:rsidRPr="00E320BC">
        <w:rPr>
          <w:rFonts w:ascii="Calibri" w:eastAsia="Candara" w:hAnsi="Calibri" w:cs="Times New Roman"/>
        </w:rPr>
        <w:lastRenderedPageBreak/>
        <w:t xml:space="preserve">miejsce paliwa ciekłe lub gazowe o niskiej zawartości szkodliwych substancji chemicznych oraz niezawierających popiołów lotnych. W przypadku, gdy zmiana rodzaju paliwa jest niemożliwa należy zastępować je paliwami o lepszych parametrach, tj. paliw o większej wartości opałowej oraz mniejszej zawartości związków siarki. Warto wykorzystywać energię ze źródeł odnawialnych, takich jak energia biomasy, energia </w:t>
      </w:r>
      <w:r w:rsidR="00BA7775">
        <w:rPr>
          <w:rFonts w:ascii="Calibri" w:eastAsia="Candara" w:hAnsi="Calibri" w:cs="Times New Roman"/>
        </w:rPr>
        <w:t>słoneczna</w:t>
      </w:r>
      <w:r w:rsidRPr="00E320BC">
        <w:rPr>
          <w:rFonts w:ascii="Calibri" w:eastAsia="Candara" w:hAnsi="Calibri" w:cs="Times New Roman"/>
        </w:rPr>
        <w:t xml:space="preserve">, czy możliwość uzyskania ciepła z pomp cieplnych. </w:t>
      </w:r>
      <w:r w:rsidRPr="00E320BC">
        <w:rPr>
          <w:rFonts w:ascii="Calibri" w:eastAsia="Candara" w:hAnsi="Calibri" w:cs="Times New Roman"/>
          <w:b/>
        </w:rPr>
        <w:t>Obszar HOF posiada duży potencjał do wytwarzania biomasy na cele energetyczne</w:t>
      </w:r>
      <w:r w:rsidRPr="00E320BC">
        <w:rPr>
          <w:rFonts w:ascii="Calibri" w:eastAsia="Candara" w:hAnsi="Calibri" w:cs="Times New Roman"/>
        </w:rPr>
        <w:t xml:space="preserve"> (surowce pochodzenia organicznego, np. biopaliwa). Znaczne areały gruntów rolnych i użytków zielonych mogą być wykorzystane do produkcji biomasy np. wierzby szybkorosnącej czy słomy, która może być wykorzystywana zarówno, jako paliwo stałe (np. do spalania w formie </w:t>
      </w:r>
      <w:proofErr w:type="spellStart"/>
      <w:r w:rsidRPr="00E320BC">
        <w:rPr>
          <w:rFonts w:ascii="Calibri" w:eastAsia="Candara" w:hAnsi="Calibri" w:cs="Times New Roman"/>
        </w:rPr>
        <w:t>pelletu</w:t>
      </w:r>
      <w:proofErr w:type="spellEnd"/>
      <w:r w:rsidRPr="00E320BC">
        <w:rPr>
          <w:rFonts w:ascii="Calibri" w:eastAsia="Candara" w:hAnsi="Calibri" w:cs="Times New Roman"/>
        </w:rPr>
        <w:t xml:space="preserve"> w lokalnych kotłowaniach), jak i wsad do produkcji biogazu. Ocenia się, że roczny potencjał HOF do produkcji słomy może wynosić nawet 20 tys. ton, co przekłada się na roczną wartość energetyczną tego potencjału równą 308 256 GJ</w:t>
      </w:r>
      <w:r w:rsidRPr="00E320BC">
        <w:rPr>
          <w:rFonts w:ascii="Calibri" w:eastAsia="Candara" w:hAnsi="Calibri" w:cs="Times New Roman"/>
          <w:vertAlign w:val="superscript"/>
        </w:rPr>
        <w:footnoteReference w:id="19"/>
      </w:r>
      <w:r w:rsidRPr="00E320BC">
        <w:rPr>
          <w:rFonts w:ascii="Calibri" w:eastAsia="Candara" w:hAnsi="Calibri" w:cs="Times New Roman"/>
        </w:rPr>
        <w:t>.</w:t>
      </w:r>
    </w:p>
    <w:p w:rsidR="00E320BC" w:rsidRDefault="00B65446" w:rsidP="00E320BC">
      <w:pPr>
        <w:spacing w:after="0"/>
        <w:ind w:firstLine="357"/>
        <w:rPr>
          <w:rFonts w:ascii="Calibri" w:eastAsia="Candara" w:hAnsi="Calibri" w:cs="Times New Roman"/>
        </w:rPr>
      </w:pPr>
      <w:r w:rsidRPr="00E320BC">
        <w:rPr>
          <w:rFonts w:ascii="Calibri" w:eastAsia="Candara" w:hAnsi="Calibri" w:cs="Times New Roman"/>
          <w:b/>
        </w:rPr>
        <w:t xml:space="preserve">Miasto już wykorzystuje istniejący potencjał energii </w:t>
      </w:r>
      <w:r>
        <w:rPr>
          <w:rFonts w:ascii="Calibri" w:eastAsia="Candara" w:hAnsi="Calibri" w:cs="Times New Roman"/>
          <w:b/>
        </w:rPr>
        <w:t>odnawialnej</w:t>
      </w:r>
      <w:r w:rsidRPr="00E320BC">
        <w:rPr>
          <w:rFonts w:ascii="Calibri" w:eastAsia="Candara" w:hAnsi="Calibri" w:cs="Times New Roman"/>
          <w:b/>
        </w:rPr>
        <w:t>, realizując szereg inwestycj</w:t>
      </w:r>
      <w:r>
        <w:rPr>
          <w:rFonts w:ascii="Calibri" w:eastAsia="Candara" w:hAnsi="Calibri" w:cs="Times New Roman"/>
          <w:b/>
        </w:rPr>
        <w:t>i związanych z energią słoneczn</w:t>
      </w:r>
      <w:r w:rsidRPr="00E320BC">
        <w:rPr>
          <w:rFonts w:ascii="Calibri" w:eastAsia="Candara" w:hAnsi="Calibri" w:cs="Times New Roman"/>
          <w:b/>
        </w:rPr>
        <w:t>ą</w:t>
      </w:r>
      <w:r w:rsidRPr="00E320BC">
        <w:rPr>
          <w:rFonts w:ascii="Calibri" w:eastAsia="Candara" w:hAnsi="Calibri" w:cs="Times New Roman"/>
        </w:rPr>
        <w:t xml:space="preserve">. </w:t>
      </w:r>
      <w:r w:rsidR="00E320BC" w:rsidRPr="00E320BC">
        <w:rPr>
          <w:rFonts w:ascii="Calibri" w:eastAsia="Candara" w:hAnsi="Calibri" w:cs="Times New Roman"/>
        </w:rPr>
        <w:t xml:space="preserve"> Są to projekty wynikające zarówno z potrzeb mieszkańców (np. zamontowanie 253 instalacji, w tym 136 fotowoltaicznych wraz z pompami ciepła oraz 117 kolektorów słonecznych), jak i spółek miejskich (np. uruchomienie elektrowni fotowoltaicznej o mocy 200 kW na terenie Przedsiębiorstwa Gospodarki Komunalnej i Mieszkaniowej w Hrubieszowie). </w:t>
      </w:r>
      <w:proofErr w:type="spellStart"/>
      <w:r w:rsidR="00E320BC" w:rsidRPr="00E320BC">
        <w:rPr>
          <w:rFonts w:ascii="Calibri" w:eastAsia="Candara" w:hAnsi="Calibri" w:cs="Times New Roman"/>
        </w:rPr>
        <w:t>PGKiM</w:t>
      </w:r>
      <w:proofErr w:type="spellEnd"/>
      <w:r w:rsidR="00E320BC" w:rsidRPr="00E320BC">
        <w:rPr>
          <w:rFonts w:ascii="Calibri" w:eastAsia="Candara" w:hAnsi="Calibri" w:cs="Times New Roman"/>
        </w:rPr>
        <w:t xml:space="preserve"> planuje kolejne inwestycje w tym zakresie, m.in. budowę dwóch instalacji o mocy do 50 kW każda, które być może będą dofinansowane ze środków unijnych. Na obszarze gminy wiejskiej inwestycje związane z energetyką solarną obecnie nie są prowadzone.</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Infrastruktura wodno-kanalizacyjna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Na terenie HOF funkcjonuje 7 ujęć wody obsługujących mieszkańców poszczególnych miejscowości. Ponadto na terenie miasta funkcjonuje 14 lokalnych studni głębinowych, które nie są włączone do układu wodociągu komunalnego</w:t>
      </w:r>
      <w:r w:rsidRPr="00E320BC">
        <w:rPr>
          <w:rFonts w:ascii="Calibri" w:eastAsia="Candara" w:hAnsi="Calibri" w:cs="Times New Roman"/>
        </w:rPr>
        <w:t>. Wykorzystywane są one do obsługi określonych odbiorców (np. Zakład Energetyki Cieplnej, zabezpieczenie awaryjne Szpitala Miejskiego, zabezpieczenie awaryjne Zakładu Karnego, Miejska Oczyszczalnia).</w:t>
      </w:r>
    </w:p>
    <w:p w:rsidR="00E320BC" w:rsidRPr="00E320BC" w:rsidRDefault="00E320BC" w:rsidP="00E320BC">
      <w:pPr>
        <w:spacing w:after="0"/>
        <w:ind w:firstLine="357"/>
        <w:rPr>
          <w:rFonts w:ascii="Calibri" w:eastAsia="Candara" w:hAnsi="Calibri" w:cs="Candara"/>
        </w:rPr>
      </w:pPr>
      <w:r w:rsidRPr="00E320BC">
        <w:rPr>
          <w:rFonts w:ascii="Calibri" w:eastAsia="Candara" w:hAnsi="Calibri" w:cs="Candara"/>
          <w:b/>
        </w:rPr>
        <w:t>Stan infrastruktury wodociągowej na terenie HOF jest dość dobrze rozwinięty.</w:t>
      </w:r>
      <w:r w:rsidRPr="00E320BC">
        <w:rPr>
          <w:rFonts w:ascii="Calibri" w:eastAsia="Candara" w:hAnsi="Calibri" w:cs="Candara"/>
        </w:rPr>
        <w:t xml:space="preserve"> Prowadzone są ciągłe inwestycje w tym zakresie, </w:t>
      </w:r>
      <w:r w:rsidRPr="00E320BC">
        <w:rPr>
          <w:rFonts w:ascii="Calibri" w:eastAsia="Candara" w:hAnsi="Calibri" w:cs="Candara"/>
          <w:b/>
        </w:rPr>
        <w:t>a liczba osób korzystających z wodociągów i kanalizacji w granicach Hrubieszowskiego Obszaru Funkcjonalnego ciągle wzrasta.</w:t>
      </w:r>
      <w:r w:rsidRPr="00E320BC">
        <w:rPr>
          <w:rFonts w:ascii="Calibri" w:eastAsia="Candara" w:hAnsi="Calibri" w:cs="Candara"/>
        </w:rPr>
        <w:t xml:space="preserve"> </w:t>
      </w:r>
      <w:r w:rsidRPr="00E320BC">
        <w:rPr>
          <w:rFonts w:ascii="Calibri" w:eastAsia="Candara" w:hAnsi="Calibri" w:cs="Candara"/>
          <w:b/>
        </w:rPr>
        <w:t>Dostęp do sieci wodociągowej posiadają wszystkie miejscowości HOF.</w:t>
      </w:r>
      <w:r w:rsidRPr="00E320BC">
        <w:rPr>
          <w:rFonts w:ascii="Calibri" w:eastAsia="Candara" w:hAnsi="Calibri" w:cs="Candara"/>
        </w:rPr>
        <w:t xml:space="preserve"> Długość czynnej sieci kanalizacyjnej w 2019 roku wynosiła 48,7 km, natomiast wodociągowej 388,3 km, od roku 2014 wydłużyła się o 36,2 km.</w:t>
      </w:r>
    </w:p>
    <w:p w:rsidR="00E320BC" w:rsidRPr="00E320BC" w:rsidRDefault="00E320BC" w:rsidP="00E320BC">
      <w:pPr>
        <w:keepNext/>
        <w:spacing w:after="0" w:line="240" w:lineRule="auto"/>
        <w:ind w:firstLine="357"/>
        <w:jc w:val="center"/>
        <w:rPr>
          <w:rFonts w:ascii="Calibri" w:eastAsia="Candara" w:hAnsi="Calibri" w:cs="Times New Roman"/>
          <w:b/>
          <w:bCs/>
          <w:color w:val="31B6FD"/>
          <w:sz w:val="18"/>
          <w:szCs w:val="18"/>
        </w:rPr>
      </w:pPr>
      <w:bookmarkStart w:id="39" w:name="_Toc138068623"/>
      <w:r w:rsidRPr="00E320BC">
        <w:rPr>
          <w:rFonts w:ascii="Calibri" w:eastAsia="Candara" w:hAnsi="Calibri" w:cs="Times New Roman"/>
          <w:b/>
          <w:bCs/>
          <w:color w:val="31B6FD"/>
          <w:sz w:val="18"/>
          <w:szCs w:val="18"/>
        </w:rPr>
        <w:lastRenderedPageBreak/>
        <w:t xml:space="preserve">Wykres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Wykres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15</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Odsetek mieszkańców korzystający z instalacji wodno-kanalizacyjnej w HOF oraz obszarach funkcjonalnych grupy porównawczej w latach 2014-2019</w:t>
      </w:r>
      <w:bookmarkEnd w:id="39"/>
    </w:p>
    <w:p w:rsidR="00E320BC" w:rsidRPr="00E320BC" w:rsidRDefault="00E320BC" w:rsidP="00E320BC">
      <w:pPr>
        <w:spacing w:after="0"/>
        <w:jc w:val="center"/>
        <w:rPr>
          <w:rFonts w:ascii="Calibri" w:eastAsia="Candara" w:hAnsi="Calibri" w:cs="Times New Roman"/>
        </w:rPr>
      </w:pPr>
      <w:r w:rsidRPr="00E320BC">
        <w:rPr>
          <w:rFonts w:ascii="Calibri" w:eastAsia="Candara" w:hAnsi="Calibri" w:cs="Times New Roman"/>
          <w:noProof/>
          <w:lang w:eastAsia="pl-PL"/>
        </w:rPr>
        <w:drawing>
          <wp:inline distT="0" distB="0" distL="0" distR="0" wp14:anchorId="1ECB422B" wp14:editId="76B62277">
            <wp:extent cx="4145915" cy="2499360"/>
            <wp:effectExtent l="0" t="0" r="6985"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45915" cy="2499360"/>
                    </a:xfrm>
                    <a:prstGeom prst="rect">
                      <a:avLst/>
                    </a:prstGeom>
                    <a:noFill/>
                  </pic:spPr>
                </pic:pic>
              </a:graphicData>
            </a:graphic>
          </wp:inline>
        </w:drawing>
      </w:r>
    </w:p>
    <w:p w:rsidR="00E320BC" w:rsidRPr="00E320BC" w:rsidRDefault="00E320BC" w:rsidP="00E320BC">
      <w:pPr>
        <w:spacing w:after="0"/>
        <w:ind w:firstLine="357"/>
        <w:jc w:val="center"/>
        <w:rPr>
          <w:rFonts w:ascii="Calibri" w:eastAsia="Candara" w:hAnsi="Calibri" w:cs="Times New Roman"/>
        </w:rPr>
      </w:pPr>
      <w:r w:rsidRPr="00E320BC">
        <w:rPr>
          <w:rFonts w:ascii="Calibri" w:eastAsia="Candara" w:hAnsi="Calibri" w:cs="Times New Roman"/>
          <w:noProof/>
          <w:lang w:eastAsia="pl-PL"/>
        </w:rPr>
        <w:drawing>
          <wp:inline distT="0" distB="0" distL="0" distR="0" wp14:anchorId="44552DEF" wp14:editId="12D009A9">
            <wp:extent cx="3846830" cy="2707005"/>
            <wp:effectExtent l="0" t="0" r="127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46830" cy="2707005"/>
                    </a:xfrm>
                    <a:prstGeom prst="rect">
                      <a:avLst/>
                    </a:prstGeom>
                    <a:noFill/>
                  </pic:spPr>
                </pic:pic>
              </a:graphicData>
            </a:graphic>
          </wp:inline>
        </w:drawing>
      </w:r>
    </w:p>
    <w:p w:rsidR="00E320BC" w:rsidRPr="00E320BC" w:rsidRDefault="00E320BC" w:rsidP="00E320BC">
      <w:pPr>
        <w:spacing w:after="0"/>
        <w:rPr>
          <w:rFonts w:ascii="Calibri" w:eastAsia="Candara" w:hAnsi="Calibri" w:cs="Times New Roman"/>
          <w:i/>
          <w:sz w:val="18"/>
          <w:szCs w:val="18"/>
        </w:rPr>
      </w:pPr>
      <w:r w:rsidRPr="00E320BC">
        <w:rPr>
          <w:rFonts w:ascii="Calibri" w:eastAsia="Candara" w:hAnsi="Calibri" w:cs="Times New Roman"/>
          <w:i/>
          <w:sz w:val="18"/>
          <w:szCs w:val="18"/>
        </w:rPr>
        <w:t>Źródło: Opracowanie własne na podstawie BDL GUS</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 xml:space="preserve">Sieć kanalizacyjna na terenie Gminy Hrubieszów w porównaniu do długości sieci wodociągowej </w:t>
      </w:r>
      <w:r w:rsidR="00BA7775" w:rsidRPr="00E320BC">
        <w:rPr>
          <w:rFonts w:ascii="Calibri" w:eastAsia="Candara" w:hAnsi="Calibri" w:cs="Times New Roman"/>
          <w:b/>
        </w:rPr>
        <w:t>jest słabo rozwinięta</w:t>
      </w:r>
      <w:r w:rsidR="00071FC5" w:rsidRPr="00880A85">
        <w:rPr>
          <w:rFonts w:ascii="Calibri" w:eastAsia="Candara" w:hAnsi="Calibri" w:cs="Times New Roman"/>
          <w:b/>
        </w:rPr>
        <w:t xml:space="preserve">, </w:t>
      </w:r>
      <w:r w:rsidR="00071FC5" w:rsidRPr="00880A85">
        <w:rPr>
          <w:rFonts w:ascii="Calibri" w:eastAsia="Candara" w:hAnsi="Calibri" w:cs="Times New Roman"/>
        </w:rPr>
        <w:t>co wynika głównie z faktu rozproszonej zabudowy oraz</w:t>
      </w:r>
      <w:r w:rsidR="00071FC5" w:rsidRPr="00880A85">
        <w:rPr>
          <w:rFonts w:ascii="Calibri" w:eastAsia="Candara" w:hAnsi="Calibri" w:cs="Times New Roman"/>
          <w:b/>
        </w:rPr>
        <w:t xml:space="preserve"> </w:t>
      </w:r>
      <w:r w:rsidR="00071FC5" w:rsidRPr="00880A85">
        <w:rPr>
          <w:rFonts w:ascii="Calibri" w:eastAsia="Candara" w:hAnsi="Calibri" w:cs="Times New Roman"/>
        </w:rPr>
        <w:t>zabudowy kolonijnej, gdzie nie ma możliwości podłączenia do sieci kanalizacyjno-sanitarnej lub budowa sieci jest nieuzasadniona ekonomicznie.</w:t>
      </w:r>
      <w:r w:rsidR="00071FC5">
        <w:rPr>
          <w:rFonts w:ascii="Calibri" w:eastAsia="Candara" w:hAnsi="Calibri" w:cs="Times New Roman"/>
        </w:rPr>
        <w:t xml:space="preserve"> </w:t>
      </w:r>
      <w:r w:rsidR="00071FC5">
        <w:rPr>
          <w:rFonts w:ascii="Calibri" w:eastAsia="Candara" w:hAnsi="Calibri" w:cs="Times New Roman"/>
          <w:b/>
        </w:rPr>
        <w:t>Mimo to o</w:t>
      </w:r>
      <w:r w:rsidRPr="00E320BC">
        <w:rPr>
          <w:rFonts w:ascii="Calibri" w:eastAsia="Candara" w:hAnsi="Calibri" w:cs="Times New Roman"/>
          <w:b/>
        </w:rPr>
        <w:t>d 2014 roku systematycznie rośnie liczba przyłączy kanalizacyjnych (tylko na terenie Miasta Hrubieszów) ora</w:t>
      </w:r>
      <w:r w:rsidR="00005F31">
        <w:rPr>
          <w:rFonts w:ascii="Calibri" w:eastAsia="Candara" w:hAnsi="Calibri" w:cs="Times New Roman"/>
          <w:b/>
        </w:rPr>
        <w:t>z wodociągowych prowadzących do </w:t>
      </w:r>
      <w:r w:rsidRPr="00E320BC">
        <w:rPr>
          <w:rFonts w:ascii="Calibri" w:eastAsia="Candara" w:hAnsi="Calibri" w:cs="Times New Roman"/>
          <w:b/>
        </w:rPr>
        <w:t>budynków mieszkalnych i zbiorowego zamieszkania.</w:t>
      </w:r>
      <w:r w:rsidRPr="00E320BC">
        <w:rPr>
          <w:rFonts w:ascii="Calibri" w:eastAsia="Candara" w:hAnsi="Calibri" w:cs="Times New Roman"/>
        </w:rPr>
        <w:t xml:space="preserve"> Równocześnie od 2014 roku, ze względów demograficznych (stały spadek liczby ludności), w mieście systematycznie spada liczba korzystających zarówno z sieci wodociągowej jak i kanalizacyjnej. </w:t>
      </w:r>
      <w:r w:rsidRPr="00E320BC">
        <w:rPr>
          <w:rFonts w:ascii="Calibri" w:eastAsia="Candara" w:hAnsi="Calibri" w:cs="Times New Roman"/>
          <w:b/>
        </w:rPr>
        <w:t>Pomimo spad</w:t>
      </w:r>
      <w:r w:rsidR="00071FC5">
        <w:rPr>
          <w:rFonts w:ascii="Calibri" w:eastAsia="Candara" w:hAnsi="Calibri" w:cs="Times New Roman"/>
          <w:b/>
        </w:rPr>
        <w:t>ku liczby osób korzystających z </w:t>
      </w:r>
      <w:r w:rsidRPr="00E320BC">
        <w:rPr>
          <w:rFonts w:ascii="Calibri" w:eastAsia="Candara" w:hAnsi="Calibri" w:cs="Times New Roman"/>
          <w:b/>
        </w:rPr>
        <w:t>wodociągów w okresie 6 lat systematycznie rosło zużycie wody.</w:t>
      </w:r>
      <w:r w:rsidR="00071FC5">
        <w:rPr>
          <w:rFonts w:ascii="Calibri" w:eastAsia="Candara" w:hAnsi="Calibri" w:cs="Times New Roman"/>
        </w:rPr>
        <w:t xml:space="preserve"> W 2019 roku na terenie HOF w </w:t>
      </w:r>
      <w:r w:rsidRPr="00E320BC">
        <w:rPr>
          <w:rFonts w:ascii="Calibri" w:eastAsia="Candara" w:hAnsi="Calibri" w:cs="Times New Roman"/>
        </w:rPr>
        <w:t>czasie jednego dnia zużywano 2,4 dam</w:t>
      </w:r>
      <w:r w:rsidRPr="00E320BC">
        <w:rPr>
          <w:rFonts w:ascii="Calibri" w:eastAsia="Candara" w:hAnsi="Calibri" w:cs="Candara"/>
        </w:rPr>
        <w:t>³</w:t>
      </w:r>
      <w:r w:rsidRPr="00E320BC">
        <w:rPr>
          <w:rFonts w:ascii="Calibri" w:eastAsia="Candara" w:hAnsi="Calibri" w:cs="Times New Roman"/>
        </w:rPr>
        <w:t xml:space="preserve"> (2400000 l) wody, w tym 79,2% wody wykorzystywana była przez gospodarstwa domowe.</w:t>
      </w:r>
      <w:r w:rsidR="00071FC5">
        <w:rPr>
          <w:rFonts w:ascii="Calibri" w:eastAsia="Candara" w:hAnsi="Calibri" w:cs="Times New Roman"/>
        </w:rPr>
        <w:t xml:space="preserve"> </w:t>
      </w:r>
      <w:r w:rsidR="00071FC5" w:rsidRPr="00D32BA0">
        <w:t>Należy sukcesywnie uzupełniać braki, remon</w:t>
      </w:r>
      <w:r w:rsidR="00071FC5">
        <w:t>tować i </w:t>
      </w:r>
      <w:r w:rsidR="00071FC5" w:rsidRPr="00D32BA0">
        <w:t xml:space="preserve">modernizować obie sieci. </w:t>
      </w:r>
      <w:r w:rsidR="00071FC5">
        <w:rPr>
          <w:szCs w:val="24"/>
        </w:rPr>
        <w:t>W </w:t>
      </w:r>
      <w:r w:rsidR="00071FC5" w:rsidRPr="00D32BA0">
        <w:rPr>
          <w:szCs w:val="24"/>
        </w:rPr>
        <w:t>ramach uzupełnienia sieci kanalizacyjnej wskazane jest budowanie przydomowych oczyszczalni ścieków</w:t>
      </w:r>
      <w:r w:rsidR="00071FC5">
        <w:rPr>
          <w:szCs w:val="24"/>
        </w:rPr>
        <w:t>.</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lastRenderedPageBreak/>
        <w:t xml:space="preserve">Na mocy Uchwały Nr XXIX/236/2020 Rady Miejskiej w Hrubieszowie z dnia 30 grudnia 2020 r. w sprawie wyznaczenia obszaru i granic aglomeracji Hrubieszów wyznaczono </w:t>
      </w:r>
      <w:r w:rsidRPr="00E320BC">
        <w:rPr>
          <w:rFonts w:ascii="Calibri" w:eastAsia="Candara" w:hAnsi="Calibri" w:cs="Times New Roman"/>
          <w:b/>
        </w:rPr>
        <w:t>aglomerację Hrubieszów</w:t>
      </w:r>
      <w:r w:rsidRPr="00E320BC">
        <w:rPr>
          <w:rFonts w:ascii="Calibri" w:eastAsia="Candara" w:hAnsi="Calibri" w:cs="Times New Roman"/>
        </w:rPr>
        <w:t xml:space="preserve"> położoną na terenie Miasta Hrubieszowa, o równoważnej liczbie mieszkańców 19 060 RLM.</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Na terenie HOF działają 4 oczyszczalnie ścieków.</w:t>
      </w:r>
      <w:r w:rsidRPr="00E320BC">
        <w:rPr>
          <w:rFonts w:ascii="Calibri" w:eastAsia="Candara" w:hAnsi="Calibri" w:cs="Times New Roman"/>
        </w:rPr>
        <w:t xml:space="preserve"> Na obszarach niepodłączonych do sieci kanalizacyjnej, podstawową infrastrukturą techniczną w zakresie gospodarki ściekowej stanowią przydomowe oczyszczalnie ścieków i zbiorniki bezodpływowe. Na obszarze HOF funkcjonują 73 przydomowe oczyszczalnie ścieków w tym 21,92% w Gminie Miejskiej Hrubieszów) oraz 2183 zbiorników bezodpływowych (5,63% w Gminie Miejskiej Hrubieszów).</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Należy stwierdzić, że infrastruktura z zakresu zaopatrzenia w wodę oraz odbioru ścieków jest zadawalająca.</w:t>
      </w:r>
      <w:r w:rsidRPr="00E320BC">
        <w:rPr>
          <w:rFonts w:ascii="Calibri" w:eastAsia="Candara" w:hAnsi="Calibri" w:cs="Times New Roman"/>
          <w:b/>
          <w:i/>
          <w:noProof/>
          <w:color w:val="F5C040"/>
          <w:lang w:eastAsia="pl-PL"/>
        </w:rPr>
        <w:t xml:space="preserve"> </w:t>
      </w:r>
    </w:p>
    <w:p w:rsidR="00E320BC" w:rsidRPr="00E320BC" w:rsidRDefault="00E320BC" w:rsidP="00E320BC">
      <w:pPr>
        <w:spacing w:after="0"/>
        <w:ind w:left="284"/>
        <w:rPr>
          <w:rFonts w:ascii="Calibri" w:eastAsia="Candara" w:hAnsi="Calibri" w:cs="Times New Roman"/>
        </w:rPr>
      </w:pPr>
      <w:r w:rsidRPr="00E320BC">
        <w:rPr>
          <w:rFonts w:ascii="Calibri" w:eastAsia="Candara" w:hAnsi="Calibri" w:cs="Times New Roman"/>
          <w:b/>
          <w:i/>
          <w:noProof/>
          <w:color w:val="F5C040"/>
          <w:lang w:eastAsia="pl-PL"/>
        </w:rPr>
        <mc:AlternateContent>
          <mc:Choice Requires="wps">
            <w:drawing>
              <wp:anchor distT="0" distB="0" distL="114300" distR="114300" simplePos="0" relativeHeight="251691008" behindDoc="0" locked="0" layoutInCell="1" allowOverlap="1" wp14:anchorId="520F5815" wp14:editId="31B3069B">
                <wp:simplePos x="0" y="0"/>
                <wp:positionH relativeFrom="column">
                  <wp:posOffset>-89304</wp:posOffset>
                </wp:positionH>
                <wp:positionV relativeFrom="paragraph">
                  <wp:posOffset>73257</wp:posOffset>
                </wp:positionV>
                <wp:extent cx="5901055" cy="699654"/>
                <wp:effectExtent l="0" t="0" r="23495" b="24765"/>
                <wp:wrapNone/>
                <wp:docPr id="507" name="Prostokąt 507"/>
                <wp:cNvGraphicFramePr/>
                <a:graphic xmlns:a="http://schemas.openxmlformats.org/drawingml/2006/main">
                  <a:graphicData uri="http://schemas.microsoft.com/office/word/2010/wordprocessingShape">
                    <wps:wsp>
                      <wps:cNvSpPr/>
                      <wps:spPr>
                        <a:xfrm>
                          <a:off x="0" y="0"/>
                          <a:ext cx="5901055" cy="699654"/>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507" o:spid="_x0000_s1026" style="position:absolute;margin-left:-7.05pt;margin-top:5.75pt;width:464.65pt;height:55.1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" filled="f" strokecolor="#dc9f0c" strokeweight="1.25pt"/>
            </w:pict>
          </mc:Fallback>
        </mc:AlternateContent>
      </w:r>
      <w:r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Dostęp do infrastruktury komunalnej wodociągowej i kanalizacyjnej przez mieszkańców oceniany </w:t>
      </w:r>
      <w:proofErr w:type="gramStart"/>
      <w:r w:rsidRPr="00E320BC">
        <w:rPr>
          <w:rFonts w:ascii="Calibri" w:eastAsia="Candara" w:hAnsi="Calibri" w:cs="Times New Roman"/>
          <w:i/>
          <w:color w:val="936A07"/>
        </w:rPr>
        <w:t>jest jako</w:t>
      </w:r>
      <w:proofErr w:type="gramEnd"/>
      <w:r w:rsidRPr="00E320BC">
        <w:rPr>
          <w:rFonts w:ascii="Calibri" w:eastAsia="Candara" w:hAnsi="Calibri" w:cs="Times New Roman"/>
          <w:i/>
          <w:color w:val="936A07"/>
        </w:rPr>
        <w:t xml:space="preserve"> dobry. Oba zagadnienia w ankiecie otrzymały po 56,7% odpowiedzi „dobry”.</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Gospodarka odpadami</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W granicach HOF na dzień 31 grudnia 2019 roku odpady komunalne były odbierane z 5 838 nieruchomości, z czego w przypadku 4 890 (83,76% nieruchomości) zadeklarowano ich segregowanie, zaś z 948 nieruchomości odbierane były odpady niesegregowane.</w:t>
      </w:r>
      <w:r w:rsidRPr="00E320BC">
        <w:rPr>
          <w:rFonts w:ascii="Calibri" w:eastAsia="Candara" w:hAnsi="Calibri" w:cs="Times New Roman"/>
        </w:rPr>
        <w:t xml:space="preserve"> </w:t>
      </w:r>
      <w:r w:rsidRPr="00E320BC">
        <w:rPr>
          <w:rFonts w:ascii="Calibri" w:eastAsia="Candara" w:hAnsi="Calibri" w:cs="Times New Roman"/>
          <w:b/>
        </w:rPr>
        <w:t>Systemem odbioru odpadów objętych jest 21 469 mieszkańców, co stanowi 78,1% osób zamieszkujących HOF</w:t>
      </w:r>
      <w:r w:rsidRPr="00E320BC">
        <w:rPr>
          <w:rFonts w:ascii="Calibri" w:eastAsia="Candara" w:hAnsi="Calibri" w:cs="Times New Roman"/>
        </w:rPr>
        <w:t>.  Różnica w podanej liczbie mieszkańców wynika z faktu, że systemem odbioru odpadów objęte są osoby stale zamieszkujące w granicach HOF. Część uczniów i studentów pobiera nauki poza miejscem stałego zameldowania. Podobnie jest w wypadku osób czynnych zawodowo, którzy ze względu na wykonywaną pracę przebywają poza terenem gminy czy poza granicami Polski.</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Na terenie HOF funkcjonują dwa Punkty Selektywnej Zbiórki Odpadów Komunalnych (PSZOK),</w:t>
      </w:r>
      <w:r w:rsidRPr="00E320BC">
        <w:rPr>
          <w:rFonts w:ascii="Calibri" w:eastAsia="Candara" w:hAnsi="Calibri" w:cs="Times New Roman"/>
        </w:rPr>
        <w:t xml:space="preserve"> do którego mieszkańcy mają również możliwość dostarczania wytworzonych odpadów zbieranych w sposób selektywny.</w:t>
      </w:r>
    </w:p>
    <w:p w:rsidR="00E320BC" w:rsidRPr="00E320BC" w:rsidRDefault="00E320BC" w:rsidP="00E320BC">
      <w:pPr>
        <w:spacing w:after="0"/>
        <w:ind w:firstLine="357"/>
        <w:rPr>
          <w:rFonts w:ascii="Calibri" w:eastAsia="Candara" w:hAnsi="Calibri" w:cs="Times New Roman"/>
          <w:i/>
          <w:sz w:val="18"/>
          <w:szCs w:val="18"/>
        </w:rPr>
      </w:pPr>
      <w:r w:rsidRPr="00E320BC">
        <w:rPr>
          <w:rFonts w:ascii="Calibri" w:eastAsia="Candara" w:hAnsi="Calibri" w:cs="Times New Roman"/>
        </w:rPr>
        <w:t xml:space="preserve">Zgodnie z danymi Urzędów Gminy i Miasta w 2019 roku z Obszaru Funkcjonalnego łącznie odebrano 7 212,73 Mg odpadów, </w:t>
      </w:r>
      <w:r w:rsidRPr="00E320BC">
        <w:rPr>
          <w:rFonts w:ascii="Calibri" w:eastAsia="Candara" w:hAnsi="Calibri" w:cs="Times New Roman"/>
          <w:b/>
        </w:rPr>
        <w:t xml:space="preserve">a jeden mieszkaniec średnio wytwarzał 336,0 </w:t>
      </w:r>
      <w:r w:rsidRPr="00880A85">
        <w:rPr>
          <w:rFonts w:ascii="Calibri" w:eastAsia="Candara" w:hAnsi="Calibri" w:cs="Times New Roman"/>
          <w:b/>
        </w:rPr>
        <w:t>kg</w:t>
      </w:r>
      <w:r w:rsidR="009959D3" w:rsidRPr="00880A85">
        <w:rPr>
          <w:rFonts w:ascii="Calibri" w:eastAsia="Candara" w:hAnsi="Calibri" w:cs="Times New Roman"/>
          <w:b/>
        </w:rPr>
        <w:t>/rok</w:t>
      </w:r>
      <w:r w:rsidRPr="00E320BC">
        <w:rPr>
          <w:rFonts w:ascii="Calibri" w:eastAsia="Candara" w:hAnsi="Calibri" w:cs="Times New Roman"/>
          <w:b/>
        </w:rPr>
        <w:t xml:space="preserve"> odpadów</w:t>
      </w:r>
      <w:r w:rsidR="00005F31">
        <w:rPr>
          <w:rFonts w:ascii="Calibri" w:eastAsia="Candara" w:hAnsi="Calibri" w:cs="Times New Roman"/>
        </w:rPr>
        <w:t>. Na </w:t>
      </w:r>
      <w:r w:rsidRPr="00E320BC">
        <w:rPr>
          <w:rFonts w:ascii="Calibri" w:eastAsia="Candara" w:hAnsi="Calibri" w:cs="Times New Roman"/>
        </w:rPr>
        <w:t>przestrzeni analizowanych lat wyraźnie rysuje się trend wzrostowy ilości produkowanych odpadów.</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Według bazy danych GUS masa odpadów komunalnych wytworzona przez jednego mieszkańca HOF jest dużo wyższa od średniej dla mieszkańca powiatu hrubieszowskiego. Jednocześnie w HOF jeden mieszkaniec wytwarza więcej śmieci niż mieszkaniec MOF Krasnegostawu, ale mniej od osoby zamieszkującej w MOF Włodawy, dla której wskaźnik na przestrzeni analizowanych lat jest najwyższy, a w roku 2019 kształtuje się na poziomie 299,8 kg. Sukcesywnie wzrasta również udział procentowy odpadów powstałych w gospodarstwach domowych. Wskaźnik dla HOF osiąga wartości bardzo zbliżone do wskaźnika dla powiatu hrubieszowskiego i w 2019 roku osiąga wartość 89,12%. Jest on najwyższy dla MOF w grupie porównawczej.</w:t>
      </w:r>
    </w:p>
    <w:p w:rsidR="00E320BC" w:rsidRPr="00E320BC" w:rsidRDefault="00E320BC" w:rsidP="00E320BC">
      <w:pPr>
        <w:keepNext/>
        <w:spacing w:after="0" w:line="240" w:lineRule="auto"/>
        <w:ind w:firstLine="357"/>
        <w:rPr>
          <w:rFonts w:ascii="Calibri" w:eastAsia="Candara" w:hAnsi="Calibri" w:cs="Times New Roman"/>
          <w:b/>
          <w:bCs/>
          <w:color w:val="31B6FD"/>
          <w:sz w:val="18"/>
          <w:szCs w:val="18"/>
        </w:rPr>
      </w:pPr>
      <w:bookmarkStart w:id="40" w:name="_Toc138068624"/>
      <w:r w:rsidRPr="00E320BC">
        <w:rPr>
          <w:rFonts w:ascii="Calibri" w:eastAsia="Candara" w:hAnsi="Calibri" w:cs="Times New Roman"/>
          <w:b/>
          <w:bCs/>
          <w:color w:val="31B6FD"/>
          <w:sz w:val="18"/>
          <w:szCs w:val="18"/>
        </w:rPr>
        <w:lastRenderedPageBreak/>
        <w:t xml:space="preserve">Wykres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Wykres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16</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Odpady - wskaźniki dla HOF oraz obszarach funkcjonalnych grupy porównawczej w latach 2017-2019</w:t>
      </w:r>
      <w:bookmarkEnd w:id="40"/>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noProof/>
          <w:lang w:eastAsia="pl-PL"/>
        </w:rPr>
        <w:drawing>
          <wp:inline distT="0" distB="0" distL="0" distR="0" wp14:anchorId="3C112E24" wp14:editId="7A240001">
            <wp:extent cx="5273675" cy="1645920"/>
            <wp:effectExtent l="0" t="0" r="3175"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73675" cy="1645920"/>
                    </a:xfrm>
                    <a:prstGeom prst="rect">
                      <a:avLst/>
                    </a:prstGeom>
                    <a:noFill/>
                  </pic:spPr>
                </pic:pic>
              </a:graphicData>
            </a:graphic>
          </wp:inline>
        </w:drawing>
      </w:r>
    </w:p>
    <w:p w:rsidR="00E320BC" w:rsidRPr="00E320BC" w:rsidRDefault="00E320BC" w:rsidP="00E320BC">
      <w:pPr>
        <w:spacing w:after="0"/>
        <w:ind w:firstLine="357"/>
        <w:rPr>
          <w:rFonts w:ascii="Calibri" w:eastAsia="Candara" w:hAnsi="Calibri" w:cs="Times New Roman"/>
          <w:i/>
          <w:sz w:val="18"/>
          <w:szCs w:val="18"/>
        </w:rPr>
      </w:pPr>
      <w:r w:rsidRPr="00E320BC">
        <w:rPr>
          <w:rFonts w:ascii="Calibri" w:eastAsia="Candara" w:hAnsi="Calibri" w:cs="Times New Roman"/>
          <w:i/>
          <w:sz w:val="18"/>
          <w:szCs w:val="18"/>
        </w:rPr>
        <w:t>Źródło: Opracowanie własne na podstawie BDL GUS</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Jako jeden z czynników wzrostu produkcji odpadów można wymienić wzrost zamożności mieszkańców HOF, co przekłada się na zwiększoną </w:t>
      </w:r>
      <w:proofErr w:type="gramStart"/>
      <w:r w:rsidRPr="00E320BC">
        <w:rPr>
          <w:rFonts w:ascii="Calibri" w:eastAsia="Candara" w:hAnsi="Calibri" w:cs="Times New Roman"/>
        </w:rPr>
        <w:t xml:space="preserve">konsumpcję. </w:t>
      </w:r>
      <w:proofErr w:type="gramEnd"/>
      <w:r w:rsidRPr="00E320BC">
        <w:rPr>
          <w:rFonts w:ascii="Calibri" w:eastAsia="Candara" w:hAnsi="Calibri" w:cs="Times New Roman"/>
        </w:rPr>
        <w:t>Duży wpływ może mieć również wzrastająca świadomość ekologiczna mieszkańców, dzięki czemu ograniczone zostało spalanie odpadów w domowych piecach oraz wywożenie ich do lasu. Znaczenie może mieć również czynnik ekonomiczny, ponieważ za tego typu wykroczenia nakładane są wysokie kary pieniężne.</w:t>
      </w:r>
    </w:p>
    <w:p w:rsidR="00E320BC" w:rsidRPr="00E320BC" w:rsidRDefault="00E320BC" w:rsidP="00E320BC">
      <w:pPr>
        <w:spacing w:after="0"/>
        <w:ind w:firstLine="357"/>
        <w:rPr>
          <w:rFonts w:ascii="Calibri" w:eastAsia="Candara" w:hAnsi="Calibri" w:cs="Times New Roman"/>
          <w:b/>
        </w:rPr>
      </w:pPr>
      <w:r w:rsidRPr="00E320BC">
        <w:rPr>
          <w:rFonts w:ascii="Calibri" w:eastAsia="Candara" w:hAnsi="Calibri" w:cs="Times New Roman"/>
        </w:rPr>
        <w:t xml:space="preserve">Gospodarka odpadami w HOF ciągle wymaga poprawy, zarówno pod względem rozbudowy niezbędnej infrastruktury do zbierania i segregacji odpadów (odpady selektywnie zebrane, odpady biodegradowalne), jak i </w:t>
      </w:r>
      <w:r w:rsidRPr="00880A85">
        <w:rPr>
          <w:rFonts w:ascii="Calibri" w:eastAsia="Candara" w:hAnsi="Calibri" w:cs="Times New Roman"/>
          <w:b/>
        </w:rPr>
        <w:t xml:space="preserve">zwiększania świadomości mieszkańców w zakresie segregacji odpadów u źródła. </w:t>
      </w:r>
      <w:r w:rsidR="000E1174" w:rsidRPr="00880A85">
        <w:rPr>
          <w:rFonts w:ascii="Calibri" w:eastAsia="Candara" w:hAnsi="Calibri" w:cs="Times New Roman"/>
          <w:b/>
        </w:rPr>
        <w:t>Pomimo zadeklarowania przez większość mieszkańców segregacji odpadów, większość wytworzonych odpadów w gospodarstwach zamieszkałych stanowiły odpady niesegregowane.</w:t>
      </w:r>
      <w:r w:rsidR="006611F6" w:rsidRPr="00880A85">
        <w:rPr>
          <w:rFonts w:ascii="Calibri" w:eastAsia="Candara" w:hAnsi="Calibri" w:cs="Times New Roman"/>
          <w:b/>
        </w:rPr>
        <w:t xml:space="preserve"> Według danych GUS</w:t>
      </w:r>
      <w:r w:rsidR="000E1174" w:rsidRPr="00880A85">
        <w:rPr>
          <w:rFonts w:ascii="Calibri" w:eastAsia="Candara" w:hAnsi="Calibri" w:cs="Times New Roman"/>
          <w:b/>
        </w:rPr>
        <w:t xml:space="preserve"> </w:t>
      </w:r>
      <w:r w:rsidR="006611F6" w:rsidRPr="00880A85">
        <w:rPr>
          <w:rFonts w:ascii="Calibri" w:eastAsia="Candara" w:hAnsi="Calibri" w:cs="Times New Roman"/>
          <w:b/>
        </w:rPr>
        <w:t>p</w:t>
      </w:r>
      <w:r w:rsidRPr="00880A85">
        <w:rPr>
          <w:rFonts w:ascii="Calibri" w:eastAsia="Candara" w:hAnsi="Calibri" w:cs="Times New Roman"/>
          <w:b/>
        </w:rPr>
        <w:t>oziom selektywnej zbiórki odpadów komunalnych</w:t>
      </w:r>
      <w:r w:rsidR="006611F6" w:rsidRPr="00880A85">
        <w:rPr>
          <w:rFonts w:ascii="Calibri" w:eastAsia="Candara" w:hAnsi="Calibri" w:cs="Times New Roman"/>
          <w:b/>
        </w:rPr>
        <w:t xml:space="preserve"> z gospodarstw domowych na terenie HOF</w:t>
      </w:r>
      <w:r w:rsidRPr="00880A85">
        <w:rPr>
          <w:rFonts w:ascii="Calibri" w:eastAsia="Candara" w:hAnsi="Calibri" w:cs="Times New Roman"/>
          <w:b/>
        </w:rPr>
        <w:t xml:space="preserve"> jest </w:t>
      </w:r>
      <w:r w:rsidR="006611F6" w:rsidRPr="00880A85">
        <w:rPr>
          <w:rFonts w:ascii="Calibri" w:eastAsia="Candara" w:hAnsi="Calibri" w:cs="Times New Roman"/>
          <w:b/>
        </w:rPr>
        <w:t>niski i w roku 2019 wynosił 23,7</w:t>
      </w:r>
      <w:r w:rsidRPr="00880A85">
        <w:rPr>
          <w:rFonts w:ascii="Calibri" w:eastAsia="Candara" w:hAnsi="Calibri" w:cs="Times New Roman"/>
          <w:b/>
        </w:rPr>
        <w:t>%.</w:t>
      </w:r>
    </w:p>
    <w:p w:rsidR="00E320BC" w:rsidRPr="00E320BC" w:rsidRDefault="00E320BC" w:rsidP="00E320BC">
      <w:pPr>
        <w:spacing w:after="0"/>
        <w:ind w:firstLine="357"/>
        <w:rPr>
          <w:rFonts w:ascii="Calibri" w:eastAsia="Candara" w:hAnsi="Calibri" w:cs="Candara"/>
          <w:bCs/>
          <w:color w:val="000000"/>
        </w:rPr>
      </w:pPr>
      <w:r w:rsidRPr="00E320BC">
        <w:rPr>
          <w:rFonts w:ascii="Calibri" w:eastAsia="Candara" w:hAnsi="Calibri" w:cs="Times New Roman"/>
          <w:b/>
        </w:rPr>
        <w:t>Wprowadzony system gospodarki odpadami komunalnymi funkcjonuje sprawnie,</w:t>
      </w:r>
      <w:r w:rsidRPr="00E320BC">
        <w:rPr>
          <w:rFonts w:ascii="Calibri" w:eastAsia="Candara" w:hAnsi="Calibri" w:cs="Times New Roman"/>
        </w:rPr>
        <w:t xml:space="preserve"> odpady odbierane były zgodnie z zatwierdzonym harmonogramem, a zgłaszane pr</w:t>
      </w:r>
      <w:r w:rsidR="00EE60D6">
        <w:rPr>
          <w:rFonts w:ascii="Calibri" w:eastAsia="Candara" w:hAnsi="Calibri" w:cs="Times New Roman"/>
        </w:rPr>
        <w:t>oblemy rozwiązy</w:t>
      </w:r>
      <w:r w:rsidR="00005F31">
        <w:rPr>
          <w:rFonts w:ascii="Calibri" w:eastAsia="Candara" w:hAnsi="Calibri" w:cs="Times New Roman"/>
        </w:rPr>
        <w:t>wane na </w:t>
      </w:r>
      <w:r w:rsidR="00EE60D6">
        <w:rPr>
          <w:rFonts w:ascii="Calibri" w:eastAsia="Candara" w:hAnsi="Calibri" w:cs="Times New Roman"/>
        </w:rPr>
        <w:t>bieżąco.</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i/>
          <w:noProof/>
          <w:color w:val="F5C040"/>
          <w:lang w:eastAsia="pl-PL"/>
        </w:rPr>
        <mc:AlternateContent>
          <mc:Choice Requires="wps">
            <w:drawing>
              <wp:anchor distT="0" distB="0" distL="114300" distR="114300" simplePos="0" relativeHeight="251689984" behindDoc="0" locked="0" layoutInCell="1" allowOverlap="1" wp14:anchorId="522119E7" wp14:editId="5AEB9034">
                <wp:simplePos x="0" y="0"/>
                <wp:positionH relativeFrom="column">
                  <wp:posOffset>-44010</wp:posOffset>
                </wp:positionH>
                <wp:positionV relativeFrom="paragraph">
                  <wp:posOffset>48747</wp:posOffset>
                </wp:positionV>
                <wp:extent cx="5901055" cy="1090247"/>
                <wp:effectExtent l="0" t="0" r="23495" b="15240"/>
                <wp:wrapNone/>
                <wp:docPr id="506" name="Prostokąt 506"/>
                <wp:cNvGraphicFramePr/>
                <a:graphic xmlns:a="http://schemas.openxmlformats.org/drawingml/2006/main">
                  <a:graphicData uri="http://schemas.microsoft.com/office/word/2010/wordprocessingShape">
                    <wps:wsp>
                      <wps:cNvSpPr/>
                      <wps:spPr>
                        <a:xfrm>
                          <a:off x="0" y="0"/>
                          <a:ext cx="5901055" cy="1090247"/>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506" o:spid="_x0000_s1026" style="position:absolute;margin-left:-3.45pt;margin-top:3.85pt;width:464.65pt;height:85.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" filled="f" strokecolor="#dc9f0c" strokeweight="1.25pt"/>
            </w:pict>
          </mc:Fallback>
        </mc:AlternateContent>
      </w:r>
      <w:r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Mieszkańcy HOF system odbioru odpadów w HOF generalnie </w:t>
      </w:r>
      <w:proofErr w:type="gramStart"/>
      <w:r w:rsidRPr="00E320BC">
        <w:rPr>
          <w:rFonts w:ascii="Calibri" w:eastAsia="Candara" w:hAnsi="Calibri" w:cs="Times New Roman"/>
          <w:i/>
          <w:color w:val="936A07"/>
        </w:rPr>
        <w:t>oceniają jako</w:t>
      </w:r>
      <w:proofErr w:type="gramEnd"/>
      <w:r w:rsidRPr="00E320BC">
        <w:rPr>
          <w:rFonts w:ascii="Calibri" w:eastAsia="Candara" w:hAnsi="Calibri" w:cs="Times New Roman"/>
          <w:i/>
          <w:color w:val="936A07"/>
        </w:rPr>
        <w:t xml:space="preserve"> dobry: 1,5% odpowiedzi „bardzo dobry”, 37,7% odpowiedzi „dobry”, 49,3% odpowiedzi „przeciętny”. Natomiast stan świadomości ekologicznej mieszkańców w pytaniu dotyczącym sfery elementów środowiska został oceniony najniżej: 35,8% odpowiedzi „zły” i 40,4% odpowiedzi „przeciętny”.</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Kształtowanie i prowadzenie polityki przestrzennej w HOF</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Uwarunkowania przestrzenne w Hrubieszowskim Obszarze Funkcjonalnym reguluje </w:t>
      </w:r>
      <w:r w:rsidRPr="00E320BC">
        <w:rPr>
          <w:rFonts w:ascii="Calibri" w:eastAsia="Candara" w:hAnsi="Calibri" w:cs="Times New Roman"/>
          <w:b/>
        </w:rPr>
        <w:t>Studium Uwarunkowań i Kierunków Zagospodarowania Przestrzennego Gminy Hrubieszów</w:t>
      </w:r>
      <w:r w:rsidRPr="00E320BC">
        <w:rPr>
          <w:rFonts w:ascii="Calibri" w:eastAsia="Candara" w:hAnsi="Calibri" w:cs="Times New Roman"/>
        </w:rPr>
        <w:t xml:space="preserve"> uchwalone przez Radę Gminy Hrubieszów 30 kwietnia 2001 roku oraz </w:t>
      </w:r>
      <w:r w:rsidRPr="00E320BC">
        <w:rPr>
          <w:rFonts w:ascii="Calibri" w:eastAsia="Candara" w:hAnsi="Calibri" w:cs="Times New Roman"/>
          <w:b/>
        </w:rPr>
        <w:t>Studium Uwarunkowań i Kierunków Zagospodarowania Przestrzennego Miasta Hrubieszów</w:t>
      </w:r>
      <w:r w:rsidRPr="00E320BC">
        <w:rPr>
          <w:rFonts w:ascii="Calibri" w:eastAsia="Candara" w:hAnsi="Calibri" w:cs="Times New Roman"/>
        </w:rPr>
        <w:t xml:space="preserve"> zostało przyjęte Uchwałą Nr LIV/352/2014 Rady Miejskiej w Hrubieszowie z dnia 23 maja 2014 roku, zmienione Uchwałą Nr XLVI/353/2017 Rady Miejskiej w Hrubieszowie z dnia 29 listopada 2017 r.</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Na terenie Miasta Hrubieszów </w:t>
      </w:r>
      <w:r w:rsidRPr="00E320BC">
        <w:rPr>
          <w:rFonts w:ascii="Calibri" w:eastAsia="Candara" w:hAnsi="Calibri" w:cs="Times New Roman"/>
          <w:b/>
        </w:rPr>
        <w:t>obowiązuje 21 miejscowych planów zagospodarowania przestrzennego i zmian planów zagospodarowania przestrzennego.</w:t>
      </w:r>
      <w:r w:rsidRPr="00E320BC">
        <w:rPr>
          <w:rFonts w:ascii="Calibri" w:eastAsia="Candara" w:hAnsi="Calibri" w:cs="Times New Roman"/>
        </w:rPr>
        <w:t xml:space="preserve"> Na terenie Gminy Hrubieszów </w:t>
      </w:r>
      <w:r w:rsidRPr="00E320BC">
        <w:rPr>
          <w:rFonts w:ascii="Calibri" w:eastAsia="Candara" w:hAnsi="Calibri" w:cs="Times New Roman"/>
          <w:b/>
        </w:rPr>
        <w:t>obowiązuje 1 miejscowy plan zagospodarowania przestrzennego.</w:t>
      </w:r>
    </w:p>
    <w:p w:rsidR="00E320BC" w:rsidRPr="00E320BC" w:rsidRDefault="00E320BC" w:rsidP="00E320BC">
      <w:pPr>
        <w:spacing w:after="240"/>
        <w:ind w:firstLine="357"/>
        <w:rPr>
          <w:rFonts w:ascii="Calibri" w:eastAsia="Candara" w:hAnsi="Calibri" w:cs="Times New Roman"/>
        </w:rPr>
      </w:pPr>
      <w:r w:rsidRPr="00E320BC">
        <w:rPr>
          <w:rFonts w:ascii="Calibri" w:eastAsia="Candara" w:hAnsi="Calibri" w:cs="Times New Roman"/>
        </w:rPr>
        <w:lastRenderedPageBreak/>
        <w:t>Zgodnie z danymi Głównego Urzędu Statystycznego</w:t>
      </w:r>
      <w:r w:rsidRPr="00E320BC">
        <w:rPr>
          <w:rFonts w:ascii="Calibri" w:eastAsia="Candara" w:hAnsi="Calibri" w:cs="Times New Roman"/>
          <w:b/>
        </w:rPr>
        <w:t xml:space="preserve"> udział powierzchni objętej obowiązującymi miejscowymi planami zagospodarowania przestrzennego w powierzchni ogółem dla obszaru Miasta Hrubieszów wynosi 66,8%, dla Gminy Hrubieszów 100%.</w:t>
      </w:r>
      <w:r w:rsidRPr="00E320BC">
        <w:rPr>
          <w:rFonts w:ascii="Calibri" w:eastAsia="Candara" w:hAnsi="Calibri" w:cs="Times New Roman"/>
        </w:rPr>
        <w:t xml:space="preserve">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Wyżej wymienione dokumenty planistyczne zapewniają zachowanie ładu przestrzennego i zrównoważonego rozwoju i są dokumentami stanowiącymi podstawę wewnętrznej polityki przestrzennej Hrubieszowskiego Obszaru Funkcjonalnego.</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Stan zagospodarowania przestrzennego HOF</w:t>
      </w:r>
    </w:p>
    <w:p w:rsidR="009959D3" w:rsidRDefault="00E320BC" w:rsidP="00E320BC">
      <w:pPr>
        <w:spacing w:after="0"/>
        <w:ind w:firstLine="357"/>
        <w:rPr>
          <w:rFonts w:ascii="Calibri" w:eastAsia="Candara" w:hAnsi="Calibri" w:cs="Times New Roman"/>
        </w:rPr>
      </w:pPr>
      <w:r w:rsidRPr="00E320BC">
        <w:rPr>
          <w:rFonts w:ascii="Calibri" w:eastAsia="Candara" w:hAnsi="Calibri" w:cs="Times New Roman"/>
          <w:b/>
        </w:rPr>
        <w:t>Układ obecnej sieci osadniczej HOF rozwiną</w:t>
      </w:r>
      <w:r w:rsidR="00EE60D6">
        <w:rPr>
          <w:rFonts w:ascii="Calibri" w:eastAsia="Candara" w:hAnsi="Calibri" w:cs="Times New Roman"/>
          <w:b/>
        </w:rPr>
        <w:t>ł</w:t>
      </w:r>
      <w:r w:rsidRPr="00E320BC">
        <w:rPr>
          <w:rFonts w:ascii="Calibri" w:eastAsia="Candara" w:hAnsi="Calibri" w:cs="Times New Roman"/>
          <w:b/>
        </w:rPr>
        <w:t xml:space="preserve"> się w oparciu o główne doliny rzeczne oraz wzdłuż głównych ciągów komunikacyjnych stanowiących połączenie terenu z centralnie położonym miastem.</w:t>
      </w:r>
      <w:r w:rsidRPr="00E320BC">
        <w:rPr>
          <w:rFonts w:ascii="Calibri" w:eastAsia="Candara" w:hAnsi="Calibri" w:cs="Times New Roman"/>
        </w:rPr>
        <w:t xml:space="preserve"> Wszystkie miejscowości gminne połączone są siecią dróg z miastem umożliwiających tworzenie wzajemnych więzi gospodarczych. Istniejący układ przestrzenny HOF charakteryzuje </w:t>
      </w:r>
      <w:r w:rsidRPr="00E320BC">
        <w:rPr>
          <w:rFonts w:ascii="Calibri" w:eastAsia="Candara" w:hAnsi="Calibri" w:cs="Times New Roman"/>
          <w:b/>
        </w:rPr>
        <w:t>występowanie zarówno zwartych jak i rozproszonych form osadnictwa.</w:t>
      </w:r>
      <w:r w:rsidRPr="00E320BC">
        <w:rPr>
          <w:rFonts w:ascii="Calibri" w:eastAsia="Candara" w:hAnsi="Calibri" w:cs="Times New Roman"/>
        </w:rPr>
        <w:t xml:space="preserve"> Większość wsi ma charakter ulicówek tzn., że zwarta zabudowa domów oraz zabudowa gospodarcza występuje wzdłuż szlaku komunikacyjnego po obu stronach drogi. </w:t>
      </w:r>
      <w:r w:rsidR="009959D3" w:rsidRPr="00880A85">
        <w:rPr>
          <w:rFonts w:ascii="Calibri" w:eastAsia="Candara" w:hAnsi="Calibri" w:cs="Times New Roman"/>
        </w:rPr>
        <w:t xml:space="preserve">Jednakże na terenie Gminy Hrubieszów udział zabudowy rozproszonej również jest znaczący, co negatywnie wpływa </w:t>
      </w:r>
      <w:r w:rsidR="00005F31" w:rsidRPr="00880A85">
        <w:rPr>
          <w:rFonts w:ascii="Calibri" w:eastAsia="Candara" w:hAnsi="Calibri" w:cs="Times New Roman"/>
        </w:rPr>
        <w:t>m. in. na inwestycje związane z </w:t>
      </w:r>
      <w:r w:rsidR="009959D3" w:rsidRPr="00880A85">
        <w:rPr>
          <w:rFonts w:ascii="Calibri" w:eastAsia="Candara" w:hAnsi="Calibri" w:cs="Times New Roman"/>
        </w:rPr>
        <w:t>rozbudową infrastruktury mediów sieciowych.</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Podobnie wyglądały czynniki wpływające na układ samego miasta. Historyczny układ przestrzenny Hrubieszowa w zasadzie zachował się bez większych zmian.</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Podobnie – </w:t>
      </w:r>
      <w:r w:rsidRPr="00E320BC">
        <w:rPr>
          <w:rFonts w:ascii="Calibri" w:eastAsia="Candara" w:hAnsi="Calibri" w:cs="Times New Roman"/>
          <w:b/>
        </w:rPr>
        <w:t>pasmowo – również w nawiązaniu do układu sieci osadniczej, rozwijał się bogaty krajobraz kulturowy HOF.</w:t>
      </w:r>
      <w:r w:rsidRPr="00E320BC">
        <w:rPr>
          <w:rFonts w:ascii="Calibri" w:eastAsia="Candara" w:hAnsi="Calibri" w:cs="Times New Roman"/>
        </w:rPr>
        <w:t xml:space="preserve"> Obiekty o szczególnych wartościach rozmieszczone są przeważnie wzdłuż dolin rzecznych, które wyznaczały strefy osadnictwa (a zarazem nagromadzenia wartości kulturowych) już od czasów najstarszych (prehistorycznych). D</w:t>
      </w:r>
      <w:r w:rsidR="00005F31">
        <w:rPr>
          <w:rFonts w:ascii="Calibri" w:eastAsia="Candara" w:hAnsi="Calibri" w:cs="Times New Roman"/>
        </w:rPr>
        <w:t>ostęp do wody oraz położenie na </w:t>
      </w:r>
      <w:r w:rsidRPr="00E320BC">
        <w:rPr>
          <w:rFonts w:ascii="Calibri" w:eastAsia="Candara" w:hAnsi="Calibri" w:cs="Times New Roman"/>
        </w:rPr>
        <w:t xml:space="preserve">szlaku komunikacyjnym (pierwotnie właśnie doliny rzeczne) stanowiły jedne z podstawowych zasad wyboru lokalizacji pod osadnictwo. Doliny przecinają lessowe wysoczyzny, dzięki czemu powstaje eksponowana lokalizacja obiektów na ich krawędziach. Jednymi z najwyraźniej rysujących się form na terenie HOF są wyniesione ponad dolinę </w:t>
      </w:r>
      <w:r w:rsidR="00EE60D6">
        <w:rPr>
          <w:rFonts w:ascii="Calibri" w:eastAsia="Candara" w:hAnsi="Calibri" w:cs="Times New Roman"/>
        </w:rPr>
        <w:t>Huczwy i Bugu dawne grodziska "Grodzisko" i "Horodyszcze" w Gródku</w:t>
      </w:r>
      <w:r w:rsidRPr="00E320BC">
        <w:rPr>
          <w:rFonts w:ascii="Calibri" w:eastAsia="Candara" w:hAnsi="Calibri" w:cs="Times New Roman"/>
        </w:rPr>
        <w:t xml:space="preserve">. Na nadbużańskiej skarpie usytuowany jest zespół pałacowy w Czumowie, z pałacem z II połowy XIX w. </w:t>
      </w:r>
      <w:proofErr w:type="gramStart"/>
      <w:r w:rsidRPr="00E320BC">
        <w:rPr>
          <w:rFonts w:ascii="Calibri" w:eastAsia="Candara" w:hAnsi="Calibri" w:cs="Times New Roman"/>
        </w:rPr>
        <w:t>i</w:t>
      </w:r>
      <w:proofErr w:type="gramEnd"/>
      <w:r w:rsidRPr="00E320BC">
        <w:rPr>
          <w:rFonts w:ascii="Calibri" w:eastAsia="Candara" w:hAnsi="Calibri" w:cs="Times New Roman"/>
        </w:rPr>
        <w:t> pozostałościami parku.</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Zgodnie </w:t>
      </w:r>
      <w:r w:rsidRPr="00E320BC">
        <w:rPr>
          <w:rFonts w:ascii="Calibri" w:eastAsia="Candara" w:hAnsi="Calibri" w:cs="Times New Roman"/>
          <w:b/>
        </w:rPr>
        <w:t>z kierunkami wykorzystania powierzchni</w:t>
      </w:r>
      <w:r w:rsidRPr="00E320BC">
        <w:rPr>
          <w:rFonts w:ascii="Calibri" w:eastAsia="Candara" w:hAnsi="Calibri" w:cs="Times New Roman"/>
          <w:vertAlign w:val="superscript"/>
        </w:rPr>
        <w:footnoteReference w:id="20"/>
      </w:r>
      <w:r w:rsidRPr="00E320BC">
        <w:rPr>
          <w:rFonts w:ascii="Calibri" w:eastAsia="Candara" w:hAnsi="Calibri" w:cs="Times New Roman"/>
        </w:rPr>
        <w:t xml:space="preserve"> HOF (dane GUS 2014 r.) na ogólną powierzchnię 29 244 ha) składają się: </w:t>
      </w:r>
      <w:r w:rsidRPr="00E320BC">
        <w:rPr>
          <w:rFonts w:ascii="Calibri" w:eastAsia="Candara" w:hAnsi="Calibri" w:cs="Times New Roman"/>
          <w:b/>
        </w:rPr>
        <w:t>użytki rolne stanowiące 82,70% powierzchni całkowitej obszaru</w:t>
      </w:r>
      <w:r w:rsidRPr="00E320BC">
        <w:rPr>
          <w:rFonts w:ascii="Calibri" w:eastAsia="Candara" w:hAnsi="Calibri" w:cs="Times New Roman"/>
        </w:rPr>
        <w:t xml:space="preserve"> (24 169 ha), grunty zabudowane i zurbanizowane stanowiące – 4,87% (1 422 ha), grunty rolne – nieużytki oraz tereny różne – 4,0% (131 ha), grunty leśne oraz zadrzewione i zakrzewione – 2,8% (92 ha), oraz grunty pod wodami stanowiące 0,96% (280 ha). Wśród terenów zabudowanych i zurbanizowanych największą powierzchnię zajmują tereny komunikacyjne - drogi, które stanowią 54,15% ww. terenów oraz tereny mieszkaniowe - 20,1%. Znaczną cześć stanowią również tereny komunikacyjne – kolejowe zabudowane, które stanowią 10,34% oraz tereny inne – 10,2%.</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lastRenderedPageBreak/>
        <w:t>Gmina Hrubieszów pełni rolę naturalnej strefy podmiejskiej Gminy Miejskiej Hrubieszów, ze  wszystkimi tego konsekwencjami.</w:t>
      </w:r>
      <w:r w:rsidRPr="00E320BC">
        <w:rPr>
          <w:rFonts w:ascii="Calibri" w:eastAsia="Candara" w:hAnsi="Calibri" w:cs="Times New Roman"/>
        </w:rPr>
        <w:t xml:space="preserve">  Jest to jeden z potencjałów rozwoju Gminy Hrubieszów, a co za tym idzie obszaru HOF. W strefie podmiejskiej zwykle lokalizowana jest zabudowa mieszkaniowa, usługi czy elementy infrastruktury technicznej, co przynosi gminie korzyści, choć należy zauważyć, że w omawianej gminie są to działania prowadzone w ograniczonym zakresie, głównie ze względu na niewielki rozwój przestrzenny miasta. </w:t>
      </w:r>
      <w:r w:rsidRPr="00E320BC">
        <w:rPr>
          <w:rFonts w:ascii="Calibri" w:eastAsia="Candara" w:hAnsi="Calibri" w:cs="Times New Roman"/>
          <w:b/>
        </w:rPr>
        <w:t>Gmina Miejska Hrubieszów posiada duże rezerwy terenowe w swoich granicach administracyjnych.</w:t>
      </w:r>
      <w:r w:rsidRPr="00E320BC">
        <w:rPr>
          <w:rFonts w:ascii="Calibri" w:eastAsia="Candara" w:hAnsi="Calibri" w:cs="Times New Roman"/>
        </w:rPr>
        <w:t xml:space="preserve"> Studium uwarunkowań i kierunków zagospodarowania przestrzennego Gminy</w:t>
      </w:r>
      <w:r w:rsidRPr="00E320BC">
        <w:rPr>
          <w:rFonts w:ascii="Calibri" w:eastAsia="Candara" w:hAnsi="Calibri" w:cs="Times New Roman"/>
          <w:i/>
          <w:sz w:val="18"/>
          <w:szCs w:val="18"/>
        </w:rPr>
        <w:t xml:space="preserve"> </w:t>
      </w:r>
      <w:r w:rsidRPr="00E320BC">
        <w:rPr>
          <w:rFonts w:ascii="Calibri" w:eastAsia="Candara" w:hAnsi="Calibri" w:cs="Times New Roman"/>
        </w:rPr>
        <w:t xml:space="preserve">Hrubieszów zakłada lokalizację niektórych elementów infrastruktury w granicach Gminy Hrubieszów, ale nie zakłada wydzielenia obszarów miejskich. Co istotne, ze względu na uwarunkowania zagospodarowania przestrzennego Gminy Hrubieszów i potrzeby ochrony wartości przyrodniczych, kulturowych i krajobrazowych wyznaczone zostały obszary otwarte, które mają zostać wolne od </w:t>
      </w:r>
      <w:proofErr w:type="gramStart"/>
      <w:r w:rsidRPr="00E320BC">
        <w:rPr>
          <w:rFonts w:ascii="Calibri" w:eastAsia="Candara" w:hAnsi="Calibri" w:cs="Times New Roman"/>
        </w:rPr>
        <w:t xml:space="preserve">zabudowy. </w:t>
      </w:r>
      <w:proofErr w:type="gramEnd"/>
      <w:r w:rsidRPr="00E320BC">
        <w:rPr>
          <w:rFonts w:ascii="Calibri" w:eastAsia="Candara" w:hAnsi="Calibri" w:cs="Times New Roman"/>
        </w:rPr>
        <w:t>Mimo potrzeby wyznaczania nowych obszarów inwestycyjnych, które mają służyć rozszerzeniu działalności gospodarczej mieszkańców o wytwórczość i usługi pozarolnicze, nadal jest to przeważająca część gminy. Są to tereny zapewniające bazę pod funkcjonowanie rolnictwa</w:t>
      </w:r>
      <w:r w:rsidRPr="00E320BC">
        <w:rPr>
          <w:rFonts w:ascii="Calibri" w:eastAsia="Candara" w:hAnsi="Calibri" w:cs="Times New Roman"/>
          <w:vertAlign w:val="superscript"/>
        </w:rPr>
        <w:footnoteReference w:id="21"/>
      </w:r>
      <w:r w:rsidRPr="00E320BC">
        <w:rPr>
          <w:rFonts w:ascii="Calibri" w:eastAsia="Candara" w:hAnsi="Calibri" w:cs="Times New Roman"/>
        </w:rPr>
        <w:t xml:space="preserve"> i leśnictwa, stanowiące podstawę produkcyjną, pełniąc jednocześnie zadania ekologiczne i krajobrazowe. Dzięki dużemu potencjałowi przyrodniczo-krajobrazowemu oraz atrakcyjnemu środowisku możliwy jest rozwój funkcji rekreacyjno-turystycznej. W Studium wyznaczono tereny do rozwoju tejże funkcji: strefę nadbużańską związaną z rzeką Bug i jej dopływami, strefę parkową związaną z fragmentem Strzeleckiego Parku oraz ośrodki inne – podmiejskie o potencjale kulturowo-historycznym miasta.</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Strefę podmiejską położoną w najbliższym otoczeniu miasta budują miejscowości: Moniatycze od strony północnej, Dziekanów, Moroczyn, Teptiuków i Gródek na wschodzie, Brodzica i Wolica na południowym zachodzie oraz Obrowiec od strony zachodniej.</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 xml:space="preserve">Poszczególne miejscowości w granicach Gminy Hrubieszów posiadają różnorakie cechy charakterystyczne oraz spełniają różne funkcje, które zostały określone w Miejscowym Planie Zagospodarowania Przestrzennego Gminy Hrubieszów. </w:t>
      </w:r>
      <w:r w:rsidRPr="00E320BC">
        <w:rPr>
          <w:rFonts w:ascii="Calibri" w:eastAsia="Candara" w:hAnsi="Calibri" w:cs="Times New Roman"/>
        </w:rPr>
        <w:t>Wszystkie miejscowości pełnią funkcję produkcji żywności, obsługi ludności i rolnictwa. Część to jednostki osadnicze położone na terenach chronionego krajobrazu, poszczególne miejscowości pełnią funkcje obsługi usług turystyki. Inne zadania to przetwórstwo rolno-spożywcze, działalność przetwórcza oraz rzemiosło produkcyjne.</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Miasto położone w środku HOF pełni funkcję centrum usługowego i koncentracji miejsca pracy pozarolniczej. Należy pamiętać, iż miastu przypisano funkcję ośrodka ponadlokalnego, skupiającego usługi publiczne i komercyjne o znaczeniu ponadlokalnym – jest to centrum powiatu.</w:t>
      </w:r>
      <w:r w:rsidRPr="00E320BC">
        <w:rPr>
          <w:rFonts w:ascii="Calibri" w:eastAsia="Candara" w:hAnsi="Calibri" w:cs="Times New Roman"/>
        </w:rPr>
        <w:t xml:space="preserve"> Powierzchnia miasta to 3 303 ha, z czego tylko około 25% powierzchni to obszar zainwestowania miejskiego. W granicach miasta znajdują się również enklawy łąk i działek – ogrody wewnątrz terenów zainwestowania oraz tereny zabudowy zagrodowej. Centrum miasta stanowi Śródmieście ukształtowane w okresie historycznym. Na jego kształt i lokalizację wpływ miały czynniki fizjograficzne. Centrum charakteryzuje się zwartą zabudową i skupia mieszkalnictwo oraz usługi. Konieczność zaspokojenia potrzeb mieszkaniowych wpłynęła na powstanie budownictwa wielorodzinnego (blokowego) nierzadko w obrębie układów zabytkowych. Efektem jest przemieszanie zabudowy niskiej ze średniowysoką, co doprowadziło do dysharmonii dawnego układu </w:t>
      </w:r>
      <w:r w:rsidRPr="00E320BC">
        <w:rPr>
          <w:rFonts w:ascii="Calibri" w:eastAsia="Candara" w:hAnsi="Calibri" w:cs="Times New Roman"/>
        </w:rPr>
        <w:lastRenderedPageBreak/>
        <w:t xml:space="preserve">urbanistycznego i krajobrazu centrum miasta. Tereny osiedleńcze wiodące wzdłuż szlaków komunikacyjnych koncentrycznie do centrum wyznaczają główne obszary osadnictwa, a nowe jednostki urbanistyczne powstają w znacznym oddaleniu od centrum wzdłuż dawnych dróg dojazdowych do niego, głównie na północy i południu od centrum, po obu stronach doliny rzeki. W północnej części miasta znajdują się tereny o znacznym areale, które mają status specjalny, są to tereny wojskowe zamknięte (na Sławęcinie). W południowej części miasta zlokalizowane są tereny kolejowe dwóch stacji rozrządowych oraz tereny przemysłowo-składowe z elementami działalności usługowej (na Podgórzu). Ze względu na szerszy kontekst gospodarczy i nienajlepszą sytuację ekonomiczną makroregionu tereny </w:t>
      </w:r>
      <w:proofErr w:type="gramStart"/>
      <w:r w:rsidRPr="00E320BC">
        <w:rPr>
          <w:rFonts w:ascii="Calibri" w:eastAsia="Candara" w:hAnsi="Calibri" w:cs="Times New Roman"/>
        </w:rPr>
        <w:t>określane jako</w:t>
      </w:r>
      <w:proofErr w:type="gramEnd"/>
      <w:r w:rsidRPr="00E320BC">
        <w:rPr>
          <w:rFonts w:ascii="Calibri" w:eastAsia="Candara" w:hAnsi="Calibri" w:cs="Times New Roman"/>
        </w:rPr>
        <w:t xml:space="preserve"> przemysłowe charakteryzują się znikomą działalnością wytwórczą i stanowią raczej tereny składowo - handlowe z elementami działalności usługowej. Podobnie wygląda sytuacja stacji kolejowych, które w niewielkim stopniu wykorzystują swój potencjał infrastruktury, głównie dla obsługi ruchu linii LHS.  Podstawowym elementem struktury przestrzennej miasta jest szeroka dolina dolnego biegu rzeki Huczwy stanowiąca naturalną barierę do rozwoju przestrzennego Dolina rzeki Huczwy stanowi regionalny korytarz ekologiczny, dno doliny zagrożone jest powodzią i stanowi tereny zalewowe. Skarpy nadrzeczne i tereny w północnej części miasta, leżące w rejonie obrzeżnym Grzędy Horodelskiej, wykazują tendencje osuwiskowe. W terenach otwartych na północy i południu od centrum dominują tereny rolne, w dolinie rzeki Huczwy, tereny łąkowe.</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rPr>
        <w:t xml:space="preserve">Ogromny zasób walorów przyrodniczych, a głównie duża koncentracja gleb o najwyższej przydatności dla produkcji żywności oraz rozwoju rolnictwa towarowego, jak również wysokie nasłonecznienie czy niska lesistość powodują, iż teren HOF w Strategii rozwoju województwa lubelskiego został zaliczony do obszarów rozwoju konkurencyjnego rolnictwa. Obsługę ludności i turystyki traktuje </w:t>
      </w:r>
      <w:proofErr w:type="gramStart"/>
      <w:r w:rsidRPr="00E320BC">
        <w:rPr>
          <w:rFonts w:ascii="Calibri" w:eastAsia="Candara" w:hAnsi="Calibri" w:cs="Times New Roman"/>
          <w:b/>
        </w:rPr>
        <w:t>się jako</w:t>
      </w:r>
      <w:proofErr w:type="gramEnd"/>
      <w:r w:rsidRPr="00E320BC">
        <w:rPr>
          <w:rFonts w:ascii="Calibri" w:eastAsia="Candara" w:hAnsi="Calibri" w:cs="Times New Roman"/>
          <w:b/>
        </w:rPr>
        <w:t xml:space="preserve"> funkcje uzupełniające.</w:t>
      </w:r>
      <w:r w:rsidRPr="00E320BC">
        <w:rPr>
          <w:rFonts w:ascii="Calibri" w:eastAsia="Candara" w:hAnsi="Calibri" w:cs="Times New Roman"/>
        </w:rPr>
        <w:t xml:space="preserve"> Niska dochodowość pierwszej dziedziny wywołuje potrzebę zainwestowania i rozwoju również dwóch pozostałych. Poprawa stanu infrastruktury technicznej czy turystycznej niewątpliwie jest pierwszym krokiem, jaki należy podjąć, celem wyrównania szans rozwoju lokalnego.</w:t>
      </w:r>
    </w:p>
    <w:p w:rsidR="00B36889" w:rsidRDefault="00B36889">
      <w:pPr>
        <w:spacing w:before="0"/>
        <w:ind w:firstLine="0"/>
        <w:jc w:val="left"/>
        <w:rPr>
          <w:rFonts w:ascii="Calibri" w:eastAsia="Candara" w:hAnsi="Calibri" w:cs="Times New Roman"/>
        </w:rPr>
      </w:pPr>
    </w:p>
    <w:p w:rsidR="00E320BC" w:rsidRPr="00E320BC" w:rsidRDefault="00E320BC" w:rsidP="00E320BC">
      <w:pPr>
        <w:spacing w:after="0"/>
        <w:ind w:firstLine="357"/>
        <w:rPr>
          <w:rFonts w:ascii="Calibri" w:eastAsia="Candara" w:hAnsi="Calibri" w:cs="Times New Roman"/>
          <w:b/>
          <w:bCs/>
          <w:smallCaps/>
          <w:spacing w:val="5"/>
          <w:sz w:val="36"/>
          <w:szCs w:val="36"/>
        </w:rPr>
      </w:pPr>
      <w:r w:rsidRPr="00E320BC">
        <w:rPr>
          <w:rFonts w:ascii="Calibri" w:eastAsia="Candara" w:hAnsi="Calibri" w:cs="Times New Roman"/>
          <w:b/>
          <w:bCs/>
          <w:smallCaps/>
          <w:noProof/>
          <w:spacing w:val="5"/>
          <w:sz w:val="36"/>
          <w:szCs w:val="36"/>
          <w:lang w:eastAsia="pl-PL"/>
        </w:rPr>
        <mc:AlternateContent>
          <mc:Choice Requires="wps">
            <w:drawing>
              <wp:anchor distT="0" distB="0" distL="114300" distR="114300" simplePos="0" relativeHeight="251702272" behindDoc="1" locked="0" layoutInCell="1" allowOverlap="1" wp14:anchorId="1A07FA34" wp14:editId="3F16522A">
                <wp:simplePos x="0" y="0"/>
                <wp:positionH relativeFrom="column">
                  <wp:posOffset>68580</wp:posOffset>
                </wp:positionH>
                <wp:positionV relativeFrom="paragraph">
                  <wp:posOffset>269875</wp:posOffset>
                </wp:positionV>
                <wp:extent cx="5721350" cy="630555"/>
                <wp:effectExtent l="0" t="0" r="12700" b="17145"/>
                <wp:wrapNone/>
                <wp:docPr id="44" name="Prostokąt 44"/>
                <wp:cNvGraphicFramePr/>
                <a:graphic xmlns:a="http://schemas.openxmlformats.org/drawingml/2006/main">
                  <a:graphicData uri="http://schemas.microsoft.com/office/word/2010/wordprocessingShape">
                    <wps:wsp>
                      <wps:cNvSpPr/>
                      <wps:spPr>
                        <a:xfrm>
                          <a:off x="0" y="0"/>
                          <a:ext cx="5721350" cy="630555"/>
                        </a:xfrm>
                        <a:prstGeom prst="rect">
                          <a:avLst/>
                        </a:prstGeom>
                        <a:solidFill>
                          <a:sysClr val="window" lastClr="FFFFFF">
                            <a:lumMod val="85000"/>
                          </a:sysClr>
                        </a:solidFill>
                        <a:ln w="15875" cap="flat" cmpd="sng" algn="ctr">
                          <a:solidFill>
                            <a:srgbClr val="31B6FD">
                              <a:lumMod val="75000"/>
                            </a:srgbClr>
                          </a:solidFill>
                          <a:prstDash val="solid"/>
                        </a:ln>
                        <a:effectLst/>
                      </wps:spPr>
                      <wps:txbx>
                        <w:txbxContent>
                          <w:p w:rsidR="002441D5" w:rsidRDefault="002441D5" w:rsidP="00E320BC">
                            <w:pPr>
                              <w:jc w:val="center"/>
                            </w:pPr>
                          </w:p>
                          <w:p w:rsidR="002441D5" w:rsidRDefault="002441D5" w:rsidP="00E320BC">
                            <w:pPr>
                              <w:jc w:val="center"/>
                            </w:pPr>
                          </w:p>
                          <w:p w:rsidR="002441D5" w:rsidRDefault="002441D5" w:rsidP="00E320BC">
                            <w:pPr>
                              <w:jc w:val="center"/>
                            </w:pPr>
                          </w:p>
                          <w:p w:rsidR="002441D5" w:rsidRDefault="002441D5" w:rsidP="00E320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44" o:spid="_x0000_s1045" style="position:absolute;left:0;text-align:left;margin-left:5.4pt;margin-top:21.25pt;width:450.5pt;height:49.65pt;z-index:-25161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" fillcolor="#d9d9d9" strokecolor="#0293e0" strokeweight="1.25pt">
                <v:textbox>
                  <w:txbxContent>
                    <w:p w:rsidR="002441D5" w:rsidRDefault="002441D5" w:rsidP="00E320BC">
                      <w:pPr>
                        <w:jc w:val="center"/>
                      </w:pPr>
                    </w:p>
                    <w:p w:rsidR="002441D5" w:rsidRDefault="002441D5" w:rsidP="00E320BC">
                      <w:pPr>
                        <w:jc w:val="center"/>
                      </w:pPr>
                    </w:p>
                    <w:p w:rsidR="002441D5" w:rsidRDefault="002441D5" w:rsidP="00E320BC">
                      <w:pPr>
                        <w:jc w:val="center"/>
                      </w:pPr>
                    </w:p>
                    <w:p w:rsidR="002441D5" w:rsidRDefault="002441D5" w:rsidP="00E320BC">
                      <w:pPr>
                        <w:jc w:val="center"/>
                      </w:pPr>
                    </w:p>
                  </w:txbxContent>
                </v:textbox>
              </v:rect>
            </w:pict>
          </mc:Fallback>
        </mc:AlternateContent>
      </w:r>
      <w:r w:rsidRPr="00E320BC">
        <w:rPr>
          <w:rFonts w:ascii="Calibri" w:eastAsia="Candara" w:hAnsi="Calibri" w:cs="Times New Roman"/>
          <w:noProof/>
          <w:lang w:eastAsia="pl-PL"/>
        </w:rPr>
        <mc:AlternateContent>
          <mc:Choice Requires="wps">
            <w:drawing>
              <wp:anchor distT="0" distB="0" distL="114300" distR="114300" simplePos="0" relativeHeight="251703296" behindDoc="0" locked="0" layoutInCell="1" allowOverlap="1" wp14:anchorId="565AF4B7" wp14:editId="7A6AFA0D">
                <wp:simplePos x="0" y="0"/>
                <wp:positionH relativeFrom="column">
                  <wp:posOffset>3823970</wp:posOffset>
                </wp:positionH>
                <wp:positionV relativeFrom="paragraph">
                  <wp:posOffset>-423545</wp:posOffset>
                </wp:positionV>
                <wp:extent cx="1793875" cy="1814830"/>
                <wp:effectExtent l="0" t="0" r="0" b="0"/>
                <wp:wrapNone/>
                <wp:docPr id="43"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3875" cy="1814830"/>
                        </a:xfrm>
                        <a:prstGeom prst="rect">
                          <a:avLst/>
                        </a:prstGeom>
                        <a:noFill/>
                        <a:ln w="9525">
                          <a:noFill/>
                          <a:miter lim="800000"/>
                          <a:headEnd/>
                          <a:tailEnd/>
                        </a:ln>
                      </wps:spPr>
                      <wps:txbx>
                        <w:txbxContent>
                          <w:p w:rsidR="002441D5" w:rsidRDefault="002441D5" w:rsidP="00E320BC">
                            <w:r>
                              <w:rPr>
                                <w:noProof/>
                                <w:lang w:eastAsia="pl-PL"/>
                              </w:rPr>
                              <w:drawing>
                                <wp:inline distT="0" distB="0" distL="0" distR="0" wp14:anchorId="3CD78CAD" wp14:editId="343C8C5C">
                                  <wp:extent cx="1602105" cy="1602105"/>
                                  <wp:effectExtent l="0" t="0" r="0" b="0"/>
                                  <wp:docPr id="11" name="Obraz 11" descr="Grafika wektorowa Instytucja, obrazy wektorowe, Instytucja ilustracje i  kli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fika wektorowa Instytucja, obrazy wektorowe, Instytucja ilustracje i  klipart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2105" cy="16021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01.1pt;margin-top:-33.35pt;width:141.25pt;height:142.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" filled="f" stroked="f">
                <v:textbox>
                  <w:txbxContent>
                    <w:p w:rsidR="002441D5" w:rsidRDefault="002441D5" w:rsidP="00E320BC">
                      <w:r>
                        <w:rPr>
                          <w:noProof/>
                          <w:lang w:eastAsia="pl-PL"/>
                        </w:rPr>
                        <w:drawing>
                          <wp:inline distT="0" distB="0" distL="0" distR="0" wp14:anchorId="3CD78CAD" wp14:editId="343C8C5C">
                            <wp:extent cx="1602105" cy="1602105"/>
                            <wp:effectExtent l="0" t="0" r="0" b="0"/>
                            <wp:docPr id="11" name="Obraz 11" descr="Grafika wektorowa Instytucja, obrazy wektorowe, Instytucja ilustracje i  kli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rafika wektorowa Instytucja, obrazy wektorowe, Instytucja ilustracje i  klipart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02105" cy="1602105"/>
                                    </a:xfrm>
                                    <a:prstGeom prst="rect">
                                      <a:avLst/>
                                    </a:prstGeom>
                                    <a:noFill/>
                                    <a:ln>
                                      <a:noFill/>
                                    </a:ln>
                                  </pic:spPr>
                                </pic:pic>
                              </a:graphicData>
                            </a:graphic>
                          </wp:inline>
                        </w:drawing>
                      </w:r>
                    </w:p>
                  </w:txbxContent>
                </v:textbox>
              </v:shape>
            </w:pict>
          </mc:Fallback>
        </mc:AlternateContent>
      </w:r>
    </w:p>
    <w:p w:rsidR="00E320BC" w:rsidRPr="00E320BC" w:rsidRDefault="00E320BC" w:rsidP="00E320BC">
      <w:pPr>
        <w:spacing w:after="0"/>
        <w:ind w:firstLine="708"/>
        <w:rPr>
          <w:rFonts w:ascii="Calibri" w:eastAsia="Candara" w:hAnsi="Calibri" w:cs="Times New Roman"/>
          <w:b/>
          <w:bCs/>
          <w:smallCaps/>
          <w:spacing w:val="5"/>
          <w:sz w:val="36"/>
          <w:szCs w:val="36"/>
        </w:rPr>
      </w:pPr>
      <w:r w:rsidRPr="00E320BC">
        <w:rPr>
          <w:rFonts w:ascii="Calibri" w:eastAsia="Candara" w:hAnsi="Calibri" w:cs="Times New Roman"/>
          <w:b/>
          <w:bCs/>
          <w:smallCaps/>
          <w:spacing w:val="5"/>
          <w:sz w:val="36"/>
          <w:szCs w:val="36"/>
        </w:rPr>
        <w:t>Wymiar instytucjonalny</w:t>
      </w:r>
    </w:p>
    <w:p w:rsidR="00E320BC" w:rsidRPr="00E320BC" w:rsidRDefault="00E320BC" w:rsidP="00E320BC">
      <w:pPr>
        <w:spacing w:after="0"/>
        <w:ind w:firstLine="357"/>
        <w:rPr>
          <w:rFonts w:ascii="Calibri" w:eastAsia="Candara" w:hAnsi="Calibri" w:cs="Times New Roman"/>
        </w:rPr>
      </w:pPr>
    </w:p>
    <w:p w:rsidR="00E320BC" w:rsidRDefault="00E320BC" w:rsidP="00E320BC">
      <w:pPr>
        <w:spacing w:after="0"/>
        <w:ind w:firstLine="357"/>
        <w:rPr>
          <w:rFonts w:ascii="Calibri" w:eastAsia="Candara" w:hAnsi="Calibri" w:cs="Times New Roman"/>
        </w:rPr>
      </w:pPr>
    </w:p>
    <w:p w:rsidR="00B36889" w:rsidRPr="00E320BC" w:rsidRDefault="00B36889" w:rsidP="00E320BC">
      <w:pPr>
        <w:spacing w:after="0"/>
        <w:ind w:firstLine="357"/>
        <w:rPr>
          <w:rFonts w:ascii="Calibri" w:eastAsia="Candara" w:hAnsi="Calibri" w:cs="Times New Roman"/>
        </w:rPr>
      </w:pP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Gminy HOF aktywnie uczestniczą w konkursach i naborach na możliwość pozyskania dodatkowych środków finansowych na realizację inwestycji infrastrukturalnych jak i „miękkich”. Dokumentacje aplikacyjne przedkłada</w:t>
      </w:r>
      <w:r w:rsidR="00C75AC5">
        <w:rPr>
          <w:rFonts w:ascii="Calibri" w:eastAsia="Candara" w:hAnsi="Calibri" w:cs="Times New Roman"/>
        </w:rPr>
        <w:t xml:space="preserve"> się</w:t>
      </w:r>
      <w:r w:rsidRPr="00E320BC">
        <w:rPr>
          <w:rFonts w:ascii="Calibri" w:eastAsia="Candara" w:hAnsi="Calibri" w:cs="Times New Roman"/>
        </w:rPr>
        <w:t xml:space="preserve"> zarówno do instytucji zajmujących się rozdysponowaniem środków krajowych jak i zewnętrznych w tym Unii Europejskiej.</w:t>
      </w:r>
    </w:p>
    <w:p w:rsidR="00E320BC" w:rsidRPr="00E320BC" w:rsidRDefault="00E320BC" w:rsidP="00E320BC">
      <w:pPr>
        <w:keepNext/>
        <w:spacing w:after="0" w:line="240" w:lineRule="auto"/>
        <w:ind w:firstLine="357"/>
        <w:rPr>
          <w:rFonts w:ascii="Calibri" w:eastAsia="Candara" w:hAnsi="Calibri" w:cs="Times New Roman"/>
          <w:b/>
          <w:bCs/>
          <w:color w:val="31B6FD"/>
          <w:sz w:val="18"/>
          <w:szCs w:val="18"/>
        </w:rPr>
      </w:pPr>
      <w:bookmarkStart w:id="41" w:name="_Toc138068625"/>
      <w:r w:rsidRPr="00E320BC">
        <w:rPr>
          <w:rFonts w:ascii="Calibri" w:eastAsia="Candara" w:hAnsi="Calibri" w:cs="Times New Roman"/>
          <w:b/>
          <w:bCs/>
          <w:color w:val="31B6FD"/>
          <w:sz w:val="18"/>
          <w:szCs w:val="18"/>
        </w:rPr>
        <w:lastRenderedPageBreak/>
        <w:t xml:space="preserve">Wykres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Wykres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17</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Liczba umów o dofinansowanie podpisanych wg programów operacyjnych w latach 2017-2020; koszty ogółem i kwalifikowane zgodnie z umowami o dofinansowanie wg programów operacyjnych w HOF w latach 2017-2020 (mln zł)</w:t>
      </w:r>
      <w:bookmarkEnd w:id="41"/>
    </w:p>
    <w:p w:rsidR="00E320BC" w:rsidRPr="00E320BC" w:rsidRDefault="00E320BC" w:rsidP="00D8684B">
      <w:pPr>
        <w:spacing w:after="0"/>
        <w:ind w:firstLine="0"/>
        <w:rPr>
          <w:rFonts w:ascii="Calibri" w:eastAsia="Candara" w:hAnsi="Calibri" w:cs="Times New Roman"/>
        </w:rPr>
      </w:pPr>
      <w:r w:rsidRPr="00E320BC">
        <w:rPr>
          <w:rFonts w:ascii="Calibri" w:eastAsia="Candara" w:hAnsi="Calibri" w:cs="Times New Roman"/>
          <w:noProof/>
          <w:lang w:eastAsia="pl-PL"/>
        </w:rPr>
        <w:drawing>
          <wp:inline distT="0" distB="0" distL="0" distR="0" wp14:anchorId="7507C24D" wp14:editId="45B5EE4C">
            <wp:extent cx="2715491" cy="1892130"/>
            <wp:effectExtent l="0" t="0" r="889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34404" cy="1905309"/>
                    </a:xfrm>
                    <a:prstGeom prst="rect">
                      <a:avLst/>
                    </a:prstGeom>
                    <a:noFill/>
                  </pic:spPr>
                </pic:pic>
              </a:graphicData>
            </a:graphic>
          </wp:inline>
        </w:drawing>
      </w:r>
      <w:r w:rsidRPr="00E320BC">
        <w:rPr>
          <w:rFonts w:ascii="Calibri" w:eastAsia="Candara" w:hAnsi="Calibri" w:cs="Times New Roman"/>
          <w:noProof/>
          <w:lang w:eastAsia="pl-PL"/>
        </w:rPr>
        <w:drawing>
          <wp:inline distT="0" distB="0" distL="0" distR="0" wp14:anchorId="6F83A9DB" wp14:editId="29182501">
            <wp:extent cx="2971800" cy="1853261"/>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0595" cy="1852509"/>
                    </a:xfrm>
                    <a:prstGeom prst="rect">
                      <a:avLst/>
                    </a:prstGeom>
                    <a:noFill/>
                  </pic:spPr>
                </pic:pic>
              </a:graphicData>
            </a:graphic>
          </wp:inline>
        </w:drawing>
      </w:r>
    </w:p>
    <w:p w:rsidR="00E320BC" w:rsidRPr="00E320BC" w:rsidRDefault="00E320BC" w:rsidP="00005F31">
      <w:pPr>
        <w:spacing w:before="0" w:after="0"/>
        <w:ind w:firstLine="357"/>
        <w:rPr>
          <w:rFonts w:ascii="Calibri" w:eastAsia="Candara" w:hAnsi="Calibri" w:cs="Times New Roman"/>
          <w:i/>
          <w:sz w:val="18"/>
          <w:szCs w:val="18"/>
        </w:rPr>
      </w:pPr>
      <w:r w:rsidRPr="00E320BC">
        <w:rPr>
          <w:rFonts w:ascii="Calibri" w:eastAsia="Candara" w:hAnsi="Calibri" w:cs="Times New Roman"/>
          <w:i/>
          <w:sz w:val="18"/>
          <w:szCs w:val="18"/>
        </w:rPr>
        <w:t>Źródło: Opracowanie własne na podstawie BDL GUS</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Główny Urząd Statystyczny monitoruje liczbę umów i wartość kosztów kwalifikowalnych i całkowitych projektów współfinansowanych w ramach programów operacyjnych zarówno tych krajowych jak i regionalnych. Przedstawiona powyżej statystyka GUS nie obejmuje jednak m.in. Programu Rozwoju Obszarów Wiejskich oraz środków w ramach Szwajcarsko-Polski Programu Współpracy, Programu Współpracy Transgranicznej Polska – Białoruś – Ukraina 2014–2020, Mechanizmu Finansowego EOG i Norweskiego Mechanizmu Finansowego, dlatego też nie przedstawia pełnego doświadczenia HOF w pozyskaniu środków zewnętrznych. Zgodnie z danymi GUS wyraźnie wzrasta liczba podpisanych umów o dofinansowanie. W 2020 roku podpisano 74 umowy, i był to wzrost o 335,3% w porównaniu do roku 2017 (57 umów). Wyraźnie wzrosły również wydatki ogółem oraz wydatki kwalifikowane zgodnie z umowami o dofinansowanie. W 2020 roku wydatki ogółem wynosiły 110,05 mln zł i były większe o 571,8% w porównaniu do 2017 roku. Wydatki kwalifikowane w 2020 roku wynosiły 90,64 mln zł (większe o 482,9% w porównaniu do 2017 roku).</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Gmina Miejska Hrubieszów oraz Gmina Hrubieszów, jako jedne z jednostek samorządowych należących do powiatu hrubieszowskiego, prowadzą z nim szeroką współpracę w zakresie infrastruktury technicznej jak i budowania kapitału społecznego. Gmina Hrubieszów posiada również podpisane porozumienia z samorządami z zagranicy: miastem Włodzimierz Wołyński i Rejonem </w:t>
      </w:r>
      <w:proofErr w:type="spellStart"/>
      <w:r w:rsidRPr="00E320BC">
        <w:rPr>
          <w:rFonts w:ascii="Calibri" w:eastAsia="Candara" w:hAnsi="Calibri" w:cs="Times New Roman"/>
        </w:rPr>
        <w:t>Horochowskim</w:t>
      </w:r>
      <w:proofErr w:type="spellEnd"/>
      <w:r w:rsidRPr="00E320BC">
        <w:rPr>
          <w:rFonts w:ascii="Calibri" w:eastAsia="Candara" w:hAnsi="Calibri" w:cs="Times New Roman"/>
        </w:rPr>
        <w:t xml:space="preserve">. </w:t>
      </w:r>
    </w:p>
    <w:p w:rsidR="00E320BC" w:rsidRPr="00E320BC" w:rsidRDefault="00E320BC" w:rsidP="00E320BC">
      <w:pPr>
        <w:spacing w:after="0"/>
        <w:ind w:firstLine="357"/>
        <w:rPr>
          <w:rFonts w:ascii="Calibri" w:eastAsia="Calibri" w:hAnsi="Calibri" w:cs="Calibri"/>
        </w:rPr>
      </w:pPr>
      <w:r w:rsidRPr="00E320BC">
        <w:rPr>
          <w:rFonts w:ascii="Calibri" w:eastAsia="Candara" w:hAnsi="Calibri" w:cs="Times New Roman"/>
        </w:rPr>
        <w:t xml:space="preserve">Gmina Miejska Hrubieszów jest członkiem licznych związków i stowarzyszeń, najważniejsze z nich to: </w:t>
      </w:r>
      <w:r w:rsidRPr="00E320BC">
        <w:rPr>
          <w:rFonts w:ascii="Calibri" w:eastAsia="Calibri" w:hAnsi="Calibri" w:cs="Calibri"/>
        </w:rPr>
        <w:t>Instytut Rozwoju Samorządu Terytorialnego Województwa Lubelskiego, Stowarzyszenie Euroregion Ro</w:t>
      </w:r>
      <w:r w:rsidR="00C75AC5">
        <w:rPr>
          <w:rFonts w:ascii="Calibri" w:eastAsia="Calibri" w:hAnsi="Calibri" w:cs="Calibri"/>
        </w:rPr>
        <w:t>ztocze, Związek Miast Polskich,</w:t>
      </w:r>
      <w:r w:rsidRPr="00E320BC">
        <w:rPr>
          <w:rFonts w:ascii="Calibri" w:eastAsia="Calibri" w:hAnsi="Calibri" w:cs="Calibri"/>
        </w:rPr>
        <w:t xml:space="preserve"> Związek Transgraniczny Euroregion Bug, Stowarzyszenie Hrubieszowskie „Lepsze Jutro” Lokalna Grupa Działania, Lokalna Organizacja Turystyczna </w:t>
      </w:r>
      <w:proofErr w:type="spellStart"/>
      <w:r w:rsidRPr="00E320BC">
        <w:rPr>
          <w:rFonts w:ascii="Calibri" w:eastAsia="Calibri" w:hAnsi="Calibri" w:cs="Calibri"/>
        </w:rPr>
        <w:t>Gotania</w:t>
      </w:r>
      <w:proofErr w:type="spellEnd"/>
      <w:r w:rsidRPr="00E320BC">
        <w:rPr>
          <w:rFonts w:ascii="Calibri" w:eastAsia="Calibri" w:hAnsi="Calibri" w:cs="Calibri"/>
        </w:rPr>
        <w:t>.</w:t>
      </w:r>
      <w:r w:rsidR="00AC0A11">
        <w:rPr>
          <w:rFonts w:ascii="Calibri" w:eastAsia="Calibri" w:hAnsi="Calibri" w:cs="Calibri"/>
        </w:rPr>
        <w:t xml:space="preserve"> </w:t>
      </w:r>
      <w:r w:rsidR="00AC0A11">
        <w:t xml:space="preserve">Gmina Hrubieszów również prowadzi szeroką współpracę </w:t>
      </w:r>
      <w:r w:rsidR="00AC0A11" w:rsidRPr="00FD6113">
        <w:t>samorządową i poza</w:t>
      </w:r>
      <w:r w:rsidR="00AC0A11">
        <w:t xml:space="preserve"> samorządową. Gmina Hrubieszów należy do Związku Gmin Lubelszczyzny, Stowarzyszenia Hrubieszowskiego „Lepsze Jutro” Lokalna Grupa Działania, Konwentu Współpracy Samorządowej Polska – Ukraina, Stowarzyszenia Samorządów Euroregiony Bug i Związku Transgranicznego Euroregionu Bug.</w:t>
      </w:r>
    </w:p>
    <w:p w:rsidR="00E320BC" w:rsidRPr="00E320BC" w:rsidRDefault="00E320BC" w:rsidP="00E320BC">
      <w:pPr>
        <w:spacing w:after="0"/>
        <w:ind w:firstLine="357"/>
        <w:rPr>
          <w:rFonts w:ascii="Calibri" w:eastAsia="Candara" w:hAnsi="Calibri" w:cs="Times New Roman"/>
        </w:rPr>
      </w:pPr>
      <w:r w:rsidRPr="00E320BC">
        <w:rPr>
          <w:rFonts w:ascii="Calibri" w:eastAsia="Calibri" w:hAnsi="Calibri" w:cs="Calibri"/>
        </w:rPr>
        <w:t xml:space="preserve">Gmina Hrubieszów </w:t>
      </w:r>
      <w:r w:rsidRPr="00E320BC">
        <w:rPr>
          <w:rFonts w:ascii="Calibri" w:eastAsia="Candara" w:hAnsi="Calibri" w:cs="Times New Roman"/>
        </w:rPr>
        <w:t xml:space="preserve">w 2019 roku rozpoczęła, na podstawie zawartego w 2018 roku porozumienia z Gminą Drohiczyn, wspólną realizację projektu „Łączy nas Bug – utworzenie dwóch transgranicznych </w:t>
      </w:r>
      <w:r w:rsidRPr="00E320BC">
        <w:rPr>
          <w:rFonts w:ascii="Calibri" w:eastAsia="Candara" w:hAnsi="Calibri" w:cs="Times New Roman"/>
        </w:rPr>
        <w:lastRenderedPageBreak/>
        <w:t xml:space="preserve">szlaków kajakowych”, na który Gmina Drohiczyn otrzymała dofinansowanie w ramach Programu Współpracy Transgranicznej Polska-Białoruś-Ukraina. </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Potwierdzeniem dobrych praktyk we współpracy obu gmin są dotychczas prowadzone wspólne działania, takie jak:</w:t>
      </w:r>
    </w:p>
    <w:p w:rsidR="00E320BC" w:rsidRPr="00E320BC" w:rsidRDefault="00E320BC" w:rsidP="00A13FA7">
      <w:pPr>
        <w:numPr>
          <w:ilvl w:val="0"/>
          <w:numId w:val="13"/>
        </w:numPr>
        <w:spacing w:after="0"/>
        <w:contextualSpacing/>
        <w:rPr>
          <w:rFonts w:ascii="Calibri" w:eastAsia="Candara" w:hAnsi="Calibri" w:cs="Candara"/>
        </w:rPr>
      </w:pPr>
      <w:r w:rsidRPr="00E320BC">
        <w:rPr>
          <w:rFonts w:ascii="Calibri" w:eastAsia="Candara" w:hAnsi="Calibri" w:cs="Candara"/>
        </w:rPr>
        <w:t>Partnerstwo Gminy Miejskiej Hrubieszów z Gminą Hrubieszów w stowarzyszeniach (Stowarzyszenia Samorządów Euroregion Bug, Stowarzyszenia Hrubieszowskiego „Lepsze Jutro” Lokalna Grupa Działania, Lokalnej Organizacji Turystycznej).</w:t>
      </w:r>
    </w:p>
    <w:p w:rsidR="00E320BC" w:rsidRPr="00E320BC" w:rsidRDefault="00E320BC" w:rsidP="00A13FA7">
      <w:pPr>
        <w:numPr>
          <w:ilvl w:val="0"/>
          <w:numId w:val="13"/>
        </w:numPr>
        <w:spacing w:after="0"/>
        <w:contextualSpacing/>
        <w:rPr>
          <w:rFonts w:ascii="Calibri" w:eastAsia="Candara" w:hAnsi="Calibri" w:cs="Candara"/>
        </w:rPr>
      </w:pPr>
      <w:r w:rsidRPr="00E320BC">
        <w:rPr>
          <w:rFonts w:ascii="Calibri" w:eastAsia="Times New Roman" w:hAnsi="Calibri" w:cs="Candara"/>
          <w:bCs/>
          <w:lang w:eastAsia="pl-PL"/>
        </w:rPr>
        <w:t>Pomoc finansowa Gminie Hrubieszów na realizację zadania "Remont</w:t>
      </w:r>
      <w:r w:rsidRPr="00E320BC">
        <w:rPr>
          <w:rFonts w:ascii="Calibri" w:eastAsia="Times New Roman" w:hAnsi="Calibri" w:cs="Candara"/>
          <w:lang w:eastAsia="pl-PL"/>
        </w:rPr>
        <w:t xml:space="preserve"> mostu na rzece Huczwie łączącego teren Gminy Miejskiej Hrubieszów i Gminy Hrubieszów"</w:t>
      </w:r>
    </w:p>
    <w:p w:rsidR="00E320BC" w:rsidRPr="00E320BC" w:rsidRDefault="00E320BC" w:rsidP="00A13FA7">
      <w:pPr>
        <w:numPr>
          <w:ilvl w:val="0"/>
          <w:numId w:val="13"/>
        </w:numPr>
        <w:spacing w:after="0"/>
        <w:contextualSpacing/>
        <w:rPr>
          <w:rFonts w:ascii="Calibri" w:eastAsia="Times New Roman" w:hAnsi="Calibri" w:cs="Candara"/>
          <w:lang w:eastAsia="pl-PL"/>
        </w:rPr>
      </w:pPr>
      <w:r w:rsidRPr="00E320BC">
        <w:rPr>
          <w:rFonts w:ascii="Calibri" w:eastAsia="Times New Roman" w:hAnsi="Calibri" w:cs="Candara"/>
          <w:bCs/>
          <w:lang w:eastAsia="pl-PL"/>
        </w:rPr>
        <w:t>Porozumienie nr 1/2016 z dnia 1 lipca 2016r.</w:t>
      </w:r>
      <w:r w:rsidRPr="00E320BC">
        <w:rPr>
          <w:rFonts w:ascii="Calibri" w:eastAsia="Times New Roman" w:hAnsi="Calibri" w:cs="Candara"/>
          <w:lang w:eastAsia="pl-PL"/>
        </w:rPr>
        <w:t xml:space="preserve"> w sprawie powierzenia Gminie Miejskiej Hrubieszów realizacji zadania publicznego Gminy Hrubieszów w zakresie pomocy społecznej polegającego na kierowaniu mieszkańców Gminy Hrubieszów do Środowiskowego Domu Samopomocy z zaburzeniami psychicznymi w Hrubieszowie. Gmina Hrubieszów nie ponosi kosztów za pobyt i usługi świadczone w </w:t>
      </w:r>
      <w:r w:rsidR="006419E2">
        <w:rPr>
          <w:rFonts w:ascii="Calibri" w:eastAsia="Times New Roman" w:hAnsi="Calibri" w:cs="Candara"/>
          <w:lang w:eastAsia="pl-PL"/>
        </w:rPr>
        <w:t>Ś</w:t>
      </w:r>
      <w:r w:rsidRPr="00E320BC">
        <w:rPr>
          <w:rFonts w:ascii="Calibri" w:eastAsia="Times New Roman" w:hAnsi="Calibri" w:cs="Candara"/>
          <w:lang w:eastAsia="pl-PL"/>
        </w:rPr>
        <w:t>D</w:t>
      </w:r>
      <w:r w:rsidR="006419E2">
        <w:rPr>
          <w:rFonts w:ascii="Calibri" w:eastAsia="Times New Roman" w:hAnsi="Calibri" w:cs="Candara"/>
          <w:lang w:eastAsia="pl-PL"/>
        </w:rPr>
        <w:t>S na rzecz osób kierowanych do Ś</w:t>
      </w:r>
      <w:r w:rsidRPr="00E320BC">
        <w:rPr>
          <w:rFonts w:ascii="Calibri" w:eastAsia="Times New Roman" w:hAnsi="Calibri" w:cs="Candara"/>
          <w:lang w:eastAsia="pl-PL"/>
        </w:rPr>
        <w:t>DS.</w:t>
      </w:r>
    </w:p>
    <w:p w:rsidR="00E320BC" w:rsidRPr="00E320BC" w:rsidRDefault="00E320BC" w:rsidP="00A13FA7">
      <w:pPr>
        <w:numPr>
          <w:ilvl w:val="0"/>
          <w:numId w:val="13"/>
        </w:numPr>
        <w:spacing w:after="0"/>
        <w:contextualSpacing/>
        <w:rPr>
          <w:rFonts w:ascii="Calibri" w:eastAsia="Candara" w:hAnsi="Calibri" w:cs="Candara"/>
        </w:rPr>
      </w:pPr>
      <w:r w:rsidRPr="00E320BC">
        <w:rPr>
          <w:rFonts w:ascii="Calibri" w:eastAsia="Times New Roman" w:hAnsi="Calibri" w:cs="Candara"/>
          <w:bCs/>
          <w:lang w:eastAsia="pl-PL"/>
        </w:rPr>
        <w:t>Porozumienie międzygminne</w:t>
      </w:r>
      <w:r w:rsidRPr="00E320BC">
        <w:rPr>
          <w:rFonts w:ascii="Calibri" w:eastAsia="Times New Roman" w:hAnsi="Calibri" w:cs="Candara"/>
          <w:lang w:eastAsia="pl-PL"/>
        </w:rPr>
        <w:t xml:space="preserve"> z dnia 23 lutego 2021 r. realizowane przez </w:t>
      </w:r>
      <w:proofErr w:type="spellStart"/>
      <w:r w:rsidRPr="00E320BC">
        <w:rPr>
          <w:rFonts w:ascii="Calibri" w:eastAsia="Times New Roman" w:hAnsi="Calibri" w:cs="Candara"/>
          <w:lang w:eastAsia="pl-PL"/>
        </w:rPr>
        <w:t>PGKiM</w:t>
      </w:r>
      <w:proofErr w:type="spellEnd"/>
      <w:r w:rsidRPr="00E320BC">
        <w:rPr>
          <w:rFonts w:ascii="Calibri" w:eastAsia="Times New Roman" w:hAnsi="Calibri" w:cs="Candara"/>
          <w:lang w:eastAsia="pl-PL"/>
        </w:rPr>
        <w:t xml:space="preserve"> Sp. z o.</w:t>
      </w:r>
      <w:proofErr w:type="gramStart"/>
      <w:r w:rsidRPr="00E320BC">
        <w:rPr>
          <w:rFonts w:ascii="Calibri" w:eastAsia="Times New Roman" w:hAnsi="Calibri" w:cs="Candara"/>
          <w:lang w:eastAsia="pl-PL"/>
        </w:rPr>
        <w:t>o</w:t>
      </w:r>
      <w:proofErr w:type="gramEnd"/>
      <w:r w:rsidRPr="00E320BC">
        <w:rPr>
          <w:rFonts w:ascii="Calibri" w:eastAsia="Times New Roman" w:hAnsi="Calibri" w:cs="Candara"/>
          <w:lang w:eastAsia="pl-PL"/>
        </w:rPr>
        <w:t xml:space="preserve">. </w:t>
      </w:r>
      <w:proofErr w:type="gramStart"/>
      <w:r w:rsidRPr="00E320BC">
        <w:rPr>
          <w:rFonts w:ascii="Calibri" w:eastAsia="Times New Roman" w:hAnsi="Calibri" w:cs="Candara"/>
          <w:lang w:eastAsia="pl-PL"/>
        </w:rPr>
        <w:t>w</w:t>
      </w:r>
      <w:proofErr w:type="gramEnd"/>
      <w:r w:rsidRPr="00E320BC">
        <w:rPr>
          <w:rFonts w:ascii="Calibri" w:eastAsia="Times New Roman" w:hAnsi="Calibri" w:cs="Candara"/>
          <w:lang w:eastAsia="pl-PL"/>
        </w:rPr>
        <w:t> sprawie powierzenia Gminie Miejskiej Hrubieszów zadania polegającego na zbiorowym zaopatrzeniu w wodę na terenie miejscowości Wolica z wykorzystaniem urządzeń wodociągowych będących własnością Przedsiębiorstwa Gospodarki Komunalnej i Mieszkaniowej Spółka z o.</w:t>
      </w:r>
      <w:proofErr w:type="gramStart"/>
      <w:r w:rsidRPr="00E320BC">
        <w:rPr>
          <w:rFonts w:ascii="Calibri" w:eastAsia="Times New Roman" w:hAnsi="Calibri" w:cs="Candara"/>
          <w:lang w:eastAsia="pl-PL"/>
        </w:rPr>
        <w:t>o</w:t>
      </w:r>
      <w:proofErr w:type="gramEnd"/>
      <w:r w:rsidRPr="00E320BC">
        <w:rPr>
          <w:rFonts w:ascii="Calibri" w:eastAsia="Times New Roman" w:hAnsi="Calibri" w:cs="Candara"/>
          <w:lang w:eastAsia="pl-PL"/>
        </w:rPr>
        <w:t xml:space="preserve">. </w:t>
      </w:r>
      <w:proofErr w:type="gramStart"/>
      <w:r w:rsidRPr="00E320BC">
        <w:rPr>
          <w:rFonts w:ascii="Calibri" w:eastAsia="Times New Roman" w:hAnsi="Calibri" w:cs="Candara"/>
          <w:lang w:eastAsia="pl-PL"/>
        </w:rPr>
        <w:t>w</w:t>
      </w:r>
      <w:proofErr w:type="gramEnd"/>
      <w:r w:rsidRPr="00E320BC">
        <w:rPr>
          <w:rFonts w:ascii="Calibri" w:eastAsia="Times New Roman" w:hAnsi="Calibri" w:cs="Candara"/>
          <w:lang w:eastAsia="pl-PL"/>
        </w:rPr>
        <w:t xml:space="preserve"> Hrubieszowie. Przejęcie realizacji zadania własnego gminy - zaopatrzenie mieszkańców Wolicy w wodę.</w:t>
      </w:r>
    </w:p>
    <w:p w:rsidR="00E320BC" w:rsidRPr="00E320BC" w:rsidRDefault="00E320BC" w:rsidP="00A13FA7">
      <w:pPr>
        <w:numPr>
          <w:ilvl w:val="0"/>
          <w:numId w:val="13"/>
        </w:numPr>
        <w:spacing w:after="0"/>
        <w:contextualSpacing/>
        <w:rPr>
          <w:rFonts w:ascii="Calibri" w:eastAsia="Candara" w:hAnsi="Calibri" w:cs="Candara"/>
        </w:rPr>
      </w:pPr>
      <w:r w:rsidRPr="00E320BC">
        <w:rPr>
          <w:rFonts w:ascii="Calibri" w:eastAsia="Times New Roman" w:hAnsi="Calibri" w:cs="Candara"/>
          <w:bCs/>
          <w:lang w:eastAsia="pl-PL"/>
        </w:rPr>
        <w:t xml:space="preserve">„Przyszłość i teraźniejszość w 3-ch wymiarach: </w:t>
      </w:r>
      <w:proofErr w:type="spellStart"/>
      <w:r w:rsidRPr="00E320BC">
        <w:rPr>
          <w:rFonts w:ascii="Calibri" w:eastAsia="Times New Roman" w:hAnsi="Calibri" w:cs="Candara"/>
          <w:bCs/>
          <w:lang w:eastAsia="pl-PL"/>
        </w:rPr>
        <w:t>Gotania</w:t>
      </w:r>
      <w:proofErr w:type="spellEnd"/>
      <w:r w:rsidRPr="00E320BC">
        <w:rPr>
          <w:rFonts w:ascii="Calibri" w:eastAsia="Times New Roman" w:hAnsi="Calibri" w:cs="Candara"/>
          <w:bCs/>
          <w:lang w:eastAsia="pl-PL"/>
        </w:rPr>
        <w:t xml:space="preserve"> - Grody Czerwieńskie - Grzęda Sokalska”</w:t>
      </w:r>
    </w:p>
    <w:p w:rsidR="00E320BC" w:rsidRPr="00E320BC" w:rsidRDefault="00E320BC" w:rsidP="00A13FA7">
      <w:pPr>
        <w:numPr>
          <w:ilvl w:val="0"/>
          <w:numId w:val="13"/>
        </w:numPr>
        <w:spacing w:after="0"/>
        <w:contextualSpacing/>
        <w:rPr>
          <w:rFonts w:ascii="Calibri" w:eastAsia="Candara" w:hAnsi="Calibri" w:cs="Times New Roman"/>
        </w:rPr>
      </w:pPr>
      <w:r w:rsidRPr="00E320BC">
        <w:rPr>
          <w:rFonts w:ascii="Calibri" w:eastAsia="Times New Roman" w:hAnsi="Calibri" w:cs="Candara"/>
          <w:bCs/>
          <w:lang w:eastAsia="pl-PL"/>
        </w:rPr>
        <w:t xml:space="preserve">Projekt: Od wizji - do nowoczesnego zarządzania podregionem </w:t>
      </w:r>
      <w:proofErr w:type="spellStart"/>
      <w:r w:rsidRPr="00E320BC">
        <w:rPr>
          <w:rFonts w:ascii="Calibri" w:eastAsia="Times New Roman" w:hAnsi="Calibri" w:cs="Candara"/>
          <w:bCs/>
          <w:lang w:eastAsia="pl-PL"/>
        </w:rPr>
        <w:t>Gotania</w:t>
      </w:r>
      <w:proofErr w:type="spellEnd"/>
      <w:r w:rsidRPr="00E320BC">
        <w:rPr>
          <w:rFonts w:ascii="Calibri" w:eastAsia="Times New Roman" w:hAnsi="Calibri" w:cs="Candara"/>
          <w:bCs/>
          <w:lang w:eastAsia="pl-PL"/>
        </w:rPr>
        <w:t xml:space="preserve">. </w:t>
      </w:r>
      <w:r w:rsidRPr="00E320BC">
        <w:rPr>
          <w:rFonts w:ascii="Calibri" w:eastAsia="Times New Roman" w:hAnsi="Calibri" w:cs="Candara"/>
          <w:lang w:eastAsia="pl-PL"/>
        </w:rPr>
        <w:t xml:space="preserve">Okres realizacji projektu: 09.08.2011 </w:t>
      </w:r>
      <w:proofErr w:type="gramStart"/>
      <w:r w:rsidRPr="00E320BC">
        <w:rPr>
          <w:rFonts w:ascii="Calibri" w:eastAsia="Times New Roman" w:hAnsi="Calibri" w:cs="Candara"/>
          <w:lang w:eastAsia="pl-PL"/>
        </w:rPr>
        <w:t>r</w:t>
      </w:r>
      <w:proofErr w:type="gramEnd"/>
      <w:r w:rsidRPr="00E320BC">
        <w:rPr>
          <w:rFonts w:ascii="Calibri" w:eastAsia="Times New Roman" w:hAnsi="Calibri" w:cs="Candara"/>
          <w:lang w:eastAsia="pl-PL"/>
        </w:rPr>
        <w:t>. - 31.07.2016 r.</w:t>
      </w:r>
    </w:p>
    <w:p w:rsidR="00E320BC" w:rsidRPr="00E320BC" w:rsidRDefault="00E320BC" w:rsidP="00E320BC">
      <w:pPr>
        <w:spacing w:after="0"/>
        <w:ind w:firstLine="357"/>
        <w:rPr>
          <w:rFonts w:ascii="Calibri" w:eastAsia="Calibri" w:hAnsi="Calibri" w:cs="Times New Roman"/>
        </w:rPr>
      </w:pPr>
      <w:r w:rsidRPr="00E320BC">
        <w:rPr>
          <w:rFonts w:ascii="Calibri" w:eastAsia="Candara" w:hAnsi="Calibri" w:cs="Times New Roman"/>
        </w:rPr>
        <w:t xml:space="preserve">Gminy Hrubieszowskiego Obszaru Funkcjonalnego aktywnie prowadzą działalność promocyjną. Podstawowym narzędziem promocji są strony internetowe obu gmin, które są na bieżąco aktualizowane. Co więcej obie jednostki samorządowe prowadzą profile na </w:t>
      </w:r>
      <w:proofErr w:type="spellStart"/>
      <w:r w:rsidRPr="00E320BC">
        <w:rPr>
          <w:rFonts w:ascii="Calibri" w:eastAsia="Candara" w:hAnsi="Calibri" w:cs="Times New Roman"/>
        </w:rPr>
        <w:t>facebooku</w:t>
      </w:r>
      <w:proofErr w:type="spellEnd"/>
      <w:r w:rsidRPr="00E320BC">
        <w:rPr>
          <w:rFonts w:ascii="Calibri" w:eastAsia="Candara" w:hAnsi="Calibri" w:cs="Times New Roman"/>
        </w:rPr>
        <w:t xml:space="preserve">, gdzie umieszczane są najważniejsze </w:t>
      </w:r>
      <w:proofErr w:type="gramStart"/>
      <w:r w:rsidRPr="00E320BC">
        <w:rPr>
          <w:rFonts w:ascii="Calibri" w:eastAsia="Candara" w:hAnsi="Calibri" w:cs="Times New Roman"/>
        </w:rPr>
        <w:t xml:space="preserve">aktualności. </w:t>
      </w:r>
      <w:proofErr w:type="gramEnd"/>
      <w:r w:rsidRPr="00E320BC">
        <w:rPr>
          <w:rFonts w:ascii="Calibri" w:eastAsia="Calibri" w:hAnsi="Calibri" w:cs="Times New Roman"/>
        </w:rPr>
        <w:t>Funkcjonują także profile FB: Hrubieszowska Rada Seniorów (od VI 2017), Hrubieszowska Rada Kobiet (od X 2020), Przedsiębiorczy Hrubieszów (od XII 2020), Hrubieszowskie Organizacje Pozarządowe (od III 2021), Budżet Obywatelski 2022 Miasta Hrubieszów (od II 2021).</w:t>
      </w:r>
      <w:r w:rsidRPr="00E320BC">
        <w:rPr>
          <w:rFonts w:ascii="Calibri" w:eastAsia="Candara" w:hAnsi="Calibri" w:cs="Times New Roman"/>
        </w:rPr>
        <w:t xml:space="preserve">Ponadto </w:t>
      </w:r>
      <w:r w:rsidRPr="00E320BC">
        <w:rPr>
          <w:rFonts w:ascii="Calibri" w:eastAsia="Calibri" w:hAnsi="Calibri" w:cs="Times New Roman"/>
        </w:rPr>
        <w:t xml:space="preserve">w związku z obchodzonym w 2020 r. Jubileuszem 620-lecia nadania </w:t>
      </w:r>
      <w:proofErr w:type="gramStart"/>
      <w:r w:rsidRPr="00E320BC">
        <w:rPr>
          <w:rFonts w:ascii="Calibri" w:eastAsia="Calibri" w:hAnsi="Calibri" w:cs="Times New Roman"/>
        </w:rPr>
        <w:t>praw</w:t>
      </w:r>
      <w:proofErr w:type="gramEnd"/>
      <w:r w:rsidRPr="00E320BC">
        <w:rPr>
          <w:rFonts w:ascii="Calibri" w:eastAsia="Calibri" w:hAnsi="Calibri" w:cs="Times New Roman"/>
        </w:rPr>
        <w:t xml:space="preserve"> miejskich miasto wydało album „Hrubieszów miasto wczoraj i dziś”. W 2020 r. przygotowano i wydano także „Przewodnik Hrubieszowski”. M</w:t>
      </w:r>
      <w:r w:rsidRPr="00E320BC">
        <w:rPr>
          <w:rFonts w:ascii="Calibri" w:eastAsia="Candara" w:hAnsi="Calibri" w:cs="Times New Roman"/>
        </w:rPr>
        <w:t xml:space="preserve">ateriałami promującymi </w:t>
      </w:r>
      <w:r w:rsidR="003F632E">
        <w:rPr>
          <w:rFonts w:ascii="Calibri" w:eastAsia="Candara" w:hAnsi="Calibri" w:cs="Times New Roman"/>
        </w:rPr>
        <w:t>Gminy HOF</w:t>
      </w:r>
      <w:r w:rsidRPr="00E320BC">
        <w:rPr>
          <w:rFonts w:ascii="Calibri" w:eastAsia="Candara" w:hAnsi="Calibri" w:cs="Times New Roman"/>
        </w:rPr>
        <w:t xml:space="preserve"> są kartki pocztowe i kalendarz miejski, a także gadżety promocyjne. W celach promocyjnych ukazują się również w prasie artykuły promujące miasto. </w:t>
      </w:r>
      <w:r w:rsidRPr="00E320BC">
        <w:rPr>
          <w:rFonts w:ascii="Calibri" w:eastAsia="Calibri" w:hAnsi="Calibri" w:cs="Times New Roman"/>
        </w:rPr>
        <w:t>Od 2016 r. miasto wydaje kilka razy w roku „Gazetę Hrubieszowską” kolportowaną bezpłatnie.</w:t>
      </w:r>
    </w:p>
    <w:p w:rsidR="00FE6923" w:rsidRDefault="00E320BC" w:rsidP="00FE6923">
      <w:pPr>
        <w:spacing w:after="240"/>
      </w:pPr>
      <w:r w:rsidRPr="008C4771">
        <w:rPr>
          <w:rFonts w:ascii="Calibri" w:eastAsia="Calibri" w:hAnsi="Calibri" w:cs="Candara"/>
        </w:rPr>
        <w:t xml:space="preserve">Obie gminy prowadzą działania zmierzające do realizacji </w:t>
      </w:r>
      <w:r w:rsidRPr="008C4771">
        <w:rPr>
          <w:rFonts w:ascii="Calibri" w:eastAsia="Candara" w:hAnsi="Calibri" w:cs="Times New Roman"/>
        </w:rPr>
        <w:t xml:space="preserve">usług publicznych na wyższym poziomie, poprzez ograniczenie zużycia zasobów oraz wykorzystanie technologii informacyjno-komunikacyjnych. </w:t>
      </w:r>
      <w:r w:rsidR="00FE6923" w:rsidRPr="008C4771">
        <w:rPr>
          <w:rFonts w:ascii="Calibri" w:eastAsia="Candara" w:hAnsi="Calibri" w:cs="Times New Roman"/>
        </w:rPr>
        <w:t xml:space="preserve">Wraz z rozwojem społeczeństwa informacyjnego oraz wykorzystania nowoczesnych technologii w życiu codziennym i w pracy wzrasta zapotrzebowanie społeczeństwa na możliwość wszelkich spraw administracyjnych na poziomie lokalnym samorządowym drogą elektroniczną. Obecnie m.in. </w:t>
      </w:r>
      <w:r w:rsidR="00FE6923" w:rsidRPr="008C4771">
        <w:t>za pośrednictwem stron podmiotowych BIP oraz portalu internetowego petenci mogą</w:t>
      </w:r>
      <w:r w:rsidR="0054166C" w:rsidRPr="008C4771">
        <w:t xml:space="preserve"> skorzystać z e-usług w Urzędzie Miasta</w:t>
      </w:r>
      <w:r w:rsidR="008C4771" w:rsidRPr="008C4771">
        <w:t xml:space="preserve"> (również e-usługi na 4 poziomie dojrzałości)</w:t>
      </w:r>
      <w:r w:rsidR="0054166C" w:rsidRPr="008C4771">
        <w:t xml:space="preserve"> i </w:t>
      </w:r>
      <w:r w:rsidR="0054166C" w:rsidRPr="008C4771">
        <w:lastRenderedPageBreak/>
        <w:t>Urzędzie Gminy, ale wciąż należy rozszerzać ofertę usług możliwych do realizacji tą drogą.</w:t>
      </w:r>
      <w:r w:rsidR="00FE6923" w:rsidRPr="008C4771">
        <w:t xml:space="preserve"> </w:t>
      </w:r>
      <w:r w:rsidR="0054166C" w:rsidRPr="008C4771">
        <w:t xml:space="preserve">Podczas realizacji części </w:t>
      </w:r>
      <w:r w:rsidR="008C4771" w:rsidRPr="008C4771">
        <w:t>spraw można</w:t>
      </w:r>
      <w:r w:rsidR="0054166C" w:rsidRPr="008C4771">
        <w:t xml:space="preserve"> </w:t>
      </w:r>
      <w:r w:rsidR="00FE6923" w:rsidRPr="008C4771">
        <w:t xml:space="preserve">uzyskać informacje o procedurach załatwienia wybranych spraw urzędowych oraz pobrać niezbędne do ich zainicjowania formularze, lecz </w:t>
      </w:r>
      <w:r w:rsidR="0054166C" w:rsidRPr="008C4771">
        <w:t>nie wszystkie procedury</w:t>
      </w:r>
      <w:r w:rsidR="00FE6923" w:rsidRPr="008C4771">
        <w:t xml:space="preserve"> można </w:t>
      </w:r>
      <w:r w:rsidR="00B65446" w:rsidRPr="008C4771">
        <w:t>dokończyć drogą elektroniczną i k</w:t>
      </w:r>
      <w:r w:rsidR="00FE6923" w:rsidRPr="008C4771">
        <w:t xml:space="preserve">onieczna jest wizyta w urzędzie. Rozwój tego typu </w:t>
      </w:r>
      <w:r w:rsidR="008C4771" w:rsidRPr="008C4771">
        <w:t>usług oraz</w:t>
      </w:r>
      <w:r w:rsidR="0054166C" w:rsidRPr="008C4771">
        <w:t xml:space="preserve"> budowa produktu cyfrowego, który zapewni dostęp do informacji, katalogu e-usług i rozwiązań dla mieszkańców </w:t>
      </w:r>
      <w:proofErr w:type="gramStart"/>
      <w:r w:rsidR="00FE6923" w:rsidRPr="008C4771">
        <w:t>wpłyn</w:t>
      </w:r>
      <w:r w:rsidR="0054166C" w:rsidRPr="008C4771">
        <w:t>ie</w:t>
      </w:r>
      <w:r w:rsidR="00FE6923" w:rsidRPr="008C4771">
        <w:t xml:space="preserve"> </w:t>
      </w:r>
      <w:r w:rsidR="0054166C" w:rsidRPr="008C4771">
        <w:t xml:space="preserve"> </w:t>
      </w:r>
      <w:r w:rsidR="00FE6923" w:rsidRPr="008C4771">
        <w:t>pozytywnie</w:t>
      </w:r>
      <w:proofErr w:type="gramEnd"/>
      <w:r w:rsidR="00FE6923" w:rsidRPr="008C4771">
        <w:t xml:space="preserve"> na </w:t>
      </w:r>
      <w:r w:rsidR="00FE6923" w:rsidRPr="008C4771">
        <w:rPr>
          <w:shd w:val="clear" w:color="auto" w:fill="FFFFFF"/>
        </w:rPr>
        <w:t>zwiększenie dostępności</w:t>
      </w:r>
      <w:r w:rsidR="0054166C" w:rsidRPr="008C4771">
        <w:rPr>
          <w:shd w:val="clear" w:color="auto" w:fill="FFFFFF"/>
        </w:rPr>
        <w:t xml:space="preserve"> (</w:t>
      </w:r>
      <w:r w:rsidR="00A57DC1" w:rsidRPr="008C4771">
        <w:rPr>
          <w:shd w:val="clear" w:color="auto" w:fill="FFFFFF"/>
        </w:rPr>
        <w:t xml:space="preserve">w szczególności dla osób z niepełnosprawnościami, osób wykluczonych komunikacyjnie), czy </w:t>
      </w:r>
      <w:r w:rsidR="00FE6923" w:rsidRPr="008C4771">
        <w:rPr>
          <w:shd w:val="clear" w:color="auto" w:fill="FFFFFF"/>
        </w:rPr>
        <w:t>skrócenie czasu załatwiania wszelkich formalności</w:t>
      </w:r>
      <w:r w:rsidR="00A57DC1" w:rsidRPr="008C4771">
        <w:rPr>
          <w:shd w:val="clear" w:color="auto" w:fill="FFFFFF"/>
        </w:rPr>
        <w:t>.</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b/>
          <w:i/>
          <w:noProof/>
          <w:color w:val="F5C040"/>
          <w:lang w:eastAsia="pl-PL"/>
        </w:rPr>
        <mc:AlternateContent>
          <mc:Choice Requires="wps">
            <w:drawing>
              <wp:anchor distT="0" distB="0" distL="114300" distR="114300" simplePos="0" relativeHeight="251705344" behindDoc="0" locked="0" layoutInCell="1" allowOverlap="1" wp14:anchorId="1E50672A" wp14:editId="0D927AE5">
                <wp:simplePos x="0" y="0"/>
                <wp:positionH relativeFrom="column">
                  <wp:posOffset>-76835</wp:posOffset>
                </wp:positionH>
                <wp:positionV relativeFrom="paragraph">
                  <wp:posOffset>-18415</wp:posOffset>
                </wp:positionV>
                <wp:extent cx="5901055" cy="1150620"/>
                <wp:effectExtent l="0" t="0" r="23495" b="11430"/>
                <wp:wrapNone/>
                <wp:docPr id="51" name="Prostokąt 51"/>
                <wp:cNvGraphicFramePr/>
                <a:graphic xmlns:a="http://schemas.openxmlformats.org/drawingml/2006/main">
                  <a:graphicData uri="http://schemas.microsoft.com/office/word/2010/wordprocessingShape">
                    <wps:wsp>
                      <wps:cNvSpPr/>
                      <wps:spPr>
                        <a:xfrm>
                          <a:off x="0" y="0"/>
                          <a:ext cx="5901055" cy="1150620"/>
                        </a:xfrm>
                        <a:prstGeom prst="rect">
                          <a:avLst/>
                        </a:prstGeom>
                        <a:noFill/>
                        <a:ln w="15875" cap="flat" cmpd="sng" algn="ctr">
                          <a:solidFill>
                            <a:srgbClr val="F5C040">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Prostokąt 51" o:spid="_x0000_s1026" style="position:absolute;margin-left:-6.05pt;margin-top:-1.45pt;width:464.65pt;height:90.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" filled="f" strokecolor="#dc9f0c" strokeweight="1.25pt"/>
            </w:pict>
          </mc:Fallback>
        </mc:AlternateContent>
      </w:r>
      <w:r w:rsidRPr="00E320BC">
        <w:rPr>
          <w:rFonts w:ascii="Calibri" w:eastAsia="Candara" w:hAnsi="Calibri" w:cs="Times New Roman"/>
          <w:b/>
          <w:i/>
          <w:color w:val="936A07"/>
        </w:rPr>
        <w:t>W opinii mieszkańców:</w:t>
      </w:r>
    </w:p>
    <w:p w:rsidR="00E320BC" w:rsidRPr="00E320BC" w:rsidRDefault="00E320BC" w:rsidP="00E320BC">
      <w:pPr>
        <w:spacing w:after="0"/>
        <w:ind w:firstLine="357"/>
        <w:rPr>
          <w:rFonts w:ascii="Calibri" w:eastAsia="Candara" w:hAnsi="Calibri" w:cs="Times New Roman"/>
          <w:i/>
          <w:color w:val="936A07"/>
        </w:rPr>
      </w:pPr>
      <w:r w:rsidRPr="00E320BC">
        <w:rPr>
          <w:rFonts w:ascii="Calibri" w:eastAsia="Candara" w:hAnsi="Calibri" w:cs="Times New Roman"/>
          <w:i/>
          <w:color w:val="936A07"/>
        </w:rPr>
        <w:t xml:space="preserve">Jakość rządzenia oraz funkcjonowanie administracji publicznej w HOF została oceniona wysoko otrzymując 46,3% odpowiedzi „dobry” i 16,4% odpowiedzi „bardzo </w:t>
      </w:r>
      <w:proofErr w:type="gramStart"/>
      <w:r w:rsidRPr="00E320BC">
        <w:rPr>
          <w:rFonts w:ascii="Calibri" w:eastAsia="Candara" w:hAnsi="Calibri" w:cs="Times New Roman"/>
          <w:i/>
          <w:color w:val="936A07"/>
        </w:rPr>
        <w:t xml:space="preserve">dobry”. </w:t>
      </w:r>
      <w:proofErr w:type="gramEnd"/>
      <w:r w:rsidRPr="00E320BC">
        <w:rPr>
          <w:rFonts w:ascii="Calibri" w:eastAsia="Candara" w:hAnsi="Calibri" w:cs="Times New Roman"/>
          <w:i/>
          <w:color w:val="936A07"/>
        </w:rPr>
        <w:t xml:space="preserve">Podobnie doceniony został </w:t>
      </w:r>
      <w:proofErr w:type="gramStart"/>
      <w:r w:rsidRPr="00E320BC">
        <w:rPr>
          <w:rFonts w:ascii="Calibri" w:eastAsia="Candara" w:hAnsi="Calibri" w:cs="Times New Roman"/>
          <w:i/>
          <w:color w:val="936A07"/>
        </w:rPr>
        <w:t>obszar: jakość</w:t>
      </w:r>
      <w:proofErr w:type="gramEnd"/>
      <w:r w:rsidRPr="00E320BC">
        <w:rPr>
          <w:rFonts w:ascii="Calibri" w:eastAsia="Candara" w:hAnsi="Calibri" w:cs="Times New Roman"/>
          <w:i/>
          <w:color w:val="936A07"/>
        </w:rPr>
        <w:t xml:space="preserve"> i stan współpracy HOF z organizacjami pozarządowymi: 44,8% odpowiedzi „dobry” i 13,4% odpowiedzi „bardzo dobry”.</w:t>
      </w:r>
    </w:p>
    <w:p w:rsidR="00E320BC" w:rsidRPr="00E320BC" w:rsidRDefault="00E320BC" w:rsidP="00E320BC">
      <w:pPr>
        <w:spacing w:after="0"/>
        <w:rPr>
          <w:rFonts w:ascii="Calibri" w:eastAsia="Candara" w:hAnsi="Calibri" w:cs="Times New Roman"/>
        </w:rPr>
        <w:sectPr w:rsidR="00E320BC" w:rsidRPr="00E320BC">
          <w:footerReference w:type="default" r:id="rId41"/>
          <w:pgSz w:w="11906" w:h="16838"/>
          <w:pgMar w:top="1417" w:right="1417" w:bottom="1417" w:left="1417" w:header="708" w:footer="708" w:gutter="0"/>
          <w:cols w:space="708"/>
          <w:docGrid w:linePitch="360"/>
        </w:sectPr>
      </w:pPr>
    </w:p>
    <w:p w:rsidR="00E320BC" w:rsidRPr="00E320BC" w:rsidRDefault="00E320BC" w:rsidP="00A13FA7">
      <w:pPr>
        <w:keepNext/>
        <w:keepLines/>
        <w:numPr>
          <w:ilvl w:val="1"/>
          <w:numId w:val="10"/>
        </w:numPr>
        <w:spacing w:before="200" w:after="0"/>
        <w:outlineLvl w:val="1"/>
        <w:rPr>
          <w:rFonts w:ascii="Candara" w:eastAsia="Times New Roman" w:hAnsi="Candara" w:cs="Times New Roman"/>
          <w:b/>
          <w:bCs/>
          <w:color w:val="31B6FD"/>
          <w:sz w:val="26"/>
          <w:szCs w:val="26"/>
        </w:rPr>
      </w:pPr>
      <w:r w:rsidRPr="00E320BC">
        <w:rPr>
          <w:rFonts w:ascii="Candara" w:eastAsia="Times New Roman" w:hAnsi="Candara" w:cs="Times New Roman"/>
          <w:b/>
          <w:bCs/>
          <w:color w:val="31B6FD"/>
          <w:sz w:val="26"/>
          <w:szCs w:val="26"/>
        </w:rPr>
        <w:lastRenderedPageBreak/>
        <w:t xml:space="preserve"> </w:t>
      </w:r>
      <w:bookmarkStart w:id="42" w:name="_Toc138068773"/>
      <w:r w:rsidRPr="00E320BC">
        <w:rPr>
          <w:rFonts w:ascii="Candara" w:eastAsia="Times New Roman" w:hAnsi="Candara" w:cs="Times New Roman"/>
          <w:b/>
          <w:bCs/>
          <w:color w:val="31B6FD"/>
          <w:sz w:val="26"/>
          <w:szCs w:val="26"/>
        </w:rPr>
        <w:t>Analiza strategiczna (SWOT) Hrubieszowskiego Obszaru Funkcjonalnego</w:t>
      </w:r>
      <w:bookmarkEnd w:id="42"/>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Syntezą diagnozy obszaru HOF jest analiza SWOT identyfikująca wewnętrzne i zewnętrzne bariery i potencjały rozwojowe lokalnego samorządu.</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Analiza SWOT (skrót od: </w:t>
      </w:r>
      <w:proofErr w:type="spellStart"/>
      <w:r w:rsidRPr="00E320BC">
        <w:rPr>
          <w:rFonts w:ascii="Calibri" w:eastAsia="Candara" w:hAnsi="Calibri" w:cs="Times New Roman"/>
        </w:rPr>
        <w:t>Strengths-Weaknesses-Opportunities-Threats</w:t>
      </w:r>
      <w:proofErr w:type="spellEnd"/>
      <w:r w:rsidRPr="00E320BC">
        <w:rPr>
          <w:rFonts w:ascii="Calibri" w:eastAsia="Candara" w:hAnsi="Calibri" w:cs="Times New Roman"/>
        </w:rPr>
        <w:t>) ma na celu identyfikację wewnętrznych barier i potencjałów rozwojowych HOF oraz czynników zewnętrznych mogących oddziaływać na przekształcenia w regionie. Analiza została przedstawiona w formie macierzy opisującej:</w:t>
      </w:r>
    </w:p>
    <w:p w:rsidR="00E320BC" w:rsidRPr="00E320BC" w:rsidRDefault="00E320BC" w:rsidP="00A13FA7">
      <w:pPr>
        <w:numPr>
          <w:ilvl w:val="0"/>
          <w:numId w:val="11"/>
        </w:numPr>
        <w:spacing w:after="0"/>
        <w:contextualSpacing/>
        <w:rPr>
          <w:rFonts w:ascii="Calibri" w:eastAsia="Candara" w:hAnsi="Calibri" w:cs="Times New Roman"/>
        </w:rPr>
      </w:pPr>
      <w:proofErr w:type="gramStart"/>
      <w:r w:rsidRPr="00E320BC">
        <w:rPr>
          <w:rFonts w:ascii="Calibri" w:eastAsia="Candara" w:hAnsi="Calibri" w:cs="Times New Roman"/>
        </w:rPr>
        <w:t>mocne</w:t>
      </w:r>
      <w:proofErr w:type="gramEnd"/>
      <w:r w:rsidRPr="00E320BC">
        <w:rPr>
          <w:rFonts w:ascii="Calibri" w:eastAsia="Candara" w:hAnsi="Calibri" w:cs="Times New Roman"/>
        </w:rPr>
        <w:t xml:space="preserve"> strony (</w:t>
      </w:r>
      <w:proofErr w:type="spellStart"/>
      <w:r w:rsidRPr="00E320BC">
        <w:rPr>
          <w:rFonts w:ascii="Calibri" w:eastAsia="Candara" w:hAnsi="Calibri" w:cs="Times New Roman"/>
        </w:rPr>
        <w:t>Strengths</w:t>
      </w:r>
      <w:proofErr w:type="spellEnd"/>
      <w:r w:rsidRPr="00E320BC">
        <w:rPr>
          <w:rFonts w:ascii="Calibri" w:eastAsia="Candara" w:hAnsi="Calibri" w:cs="Times New Roman"/>
        </w:rPr>
        <w:t>) – atuty i cechy mogące decydować o przewadze HOF;</w:t>
      </w:r>
    </w:p>
    <w:p w:rsidR="00E320BC" w:rsidRPr="00E320BC" w:rsidRDefault="00E320BC" w:rsidP="00A13FA7">
      <w:pPr>
        <w:numPr>
          <w:ilvl w:val="0"/>
          <w:numId w:val="11"/>
        </w:numPr>
        <w:spacing w:after="0"/>
        <w:contextualSpacing/>
        <w:rPr>
          <w:rFonts w:ascii="Calibri" w:eastAsia="Candara" w:hAnsi="Calibri" w:cs="Times New Roman"/>
        </w:rPr>
      </w:pPr>
      <w:proofErr w:type="gramStart"/>
      <w:r w:rsidRPr="00E320BC">
        <w:rPr>
          <w:rFonts w:ascii="Calibri" w:eastAsia="Candara" w:hAnsi="Calibri" w:cs="Times New Roman"/>
        </w:rPr>
        <w:t>słabe</w:t>
      </w:r>
      <w:proofErr w:type="gramEnd"/>
      <w:r w:rsidRPr="00E320BC">
        <w:rPr>
          <w:rFonts w:ascii="Calibri" w:eastAsia="Candara" w:hAnsi="Calibri" w:cs="Times New Roman"/>
        </w:rPr>
        <w:t xml:space="preserve"> strony (</w:t>
      </w:r>
      <w:proofErr w:type="spellStart"/>
      <w:r w:rsidRPr="00E320BC">
        <w:rPr>
          <w:rFonts w:ascii="Calibri" w:eastAsia="Candara" w:hAnsi="Calibri" w:cs="Times New Roman"/>
        </w:rPr>
        <w:t>Weaknesses</w:t>
      </w:r>
      <w:proofErr w:type="spellEnd"/>
      <w:r w:rsidRPr="00E320BC">
        <w:rPr>
          <w:rFonts w:ascii="Calibri" w:eastAsia="Candara" w:hAnsi="Calibri" w:cs="Times New Roman"/>
        </w:rPr>
        <w:t>) – negatywne aspekty występujące w HOF, które stanowią jednocześnie wskazanie obszarów wymagających naprawy;</w:t>
      </w:r>
    </w:p>
    <w:p w:rsidR="00E320BC" w:rsidRPr="00E320BC" w:rsidRDefault="00E320BC" w:rsidP="00A13FA7">
      <w:pPr>
        <w:numPr>
          <w:ilvl w:val="0"/>
          <w:numId w:val="11"/>
        </w:numPr>
        <w:spacing w:after="0"/>
        <w:contextualSpacing/>
        <w:rPr>
          <w:rFonts w:ascii="Calibri" w:eastAsia="Candara" w:hAnsi="Calibri" w:cs="Times New Roman"/>
        </w:rPr>
      </w:pPr>
      <w:proofErr w:type="gramStart"/>
      <w:r w:rsidRPr="00E320BC">
        <w:rPr>
          <w:rFonts w:ascii="Calibri" w:eastAsia="Candara" w:hAnsi="Calibri" w:cs="Times New Roman"/>
        </w:rPr>
        <w:t>szanse</w:t>
      </w:r>
      <w:proofErr w:type="gramEnd"/>
      <w:r w:rsidRPr="00E320BC">
        <w:rPr>
          <w:rFonts w:ascii="Calibri" w:eastAsia="Candara" w:hAnsi="Calibri" w:cs="Times New Roman"/>
        </w:rPr>
        <w:t xml:space="preserve"> (</w:t>
      </w:r>
      <w:proofErr w:type="spellStart"/>
      <w:r w:rsidRPr="00E320BC">
        <w:rPr>
          <w:rFonts w:ascii="Calibri" w:eastAsia="Candara" w:hAnsi="Calibri" w:cs="Times New Roman"/>
        </w:rPr>
        <w:t>Opportunities</w:t>
      </w:r>
      <w:proofErr w:type="spellEnd"/>
      <w:r w:rsidRPr="00E320BC">
        <w:rPr>
          <w:rFonts w:ascii="Calibri" w:eastAsia="Candara" w:hAnsi="Calibri" w:cs="Times New Roman"/>
        </w:rPr>
        <w:t>) – czynniki zewnętrzne wywierające pozytywny wpływ na rozwój HOF;</w:t>
      </w:r>
    </w:p>
    <w:p w:rsidR="00E320BC" w:rsidRDefault="00E320BC" w:rsidP="00A13FA7">
      <w:pPr>
        <w:numPr>
          <w:ilvl w:val="0"/>
          <w:numId w:val="11"/>
        </w:numPr>
        <w:contextualSpacing/>
        <w:rPr>
          <w:rFonts w:ascii="Calibri" w:eastAsia="Candara" w:hAnsi="Calibri" w:cs="Times New Roman"/>
        </w:rPr>
      </w:pPr>
      <w:proofErr w:type="gramStart"/>
      <w:r w:rsidRPr="00E320BC">
        <w:rPr>
          <w:rFonts w:ascii="Calibri" w:eastAsia="Candara" w:hAnsi="Calibri" w:cs="Times New Roman"/>
        </w:rPr>
        <w:t>zagrożenia</w:t>
      </w:r>
      <w:proofErr w:type="gramEnd"/>
      <w:r w:rsidRPr="00E320BC">
        <w:rPr>
          <w:rFonts w:ascii="Calibri" w:eastAsia="Candara" w:hAnsi="Calibri" w:cs="Times New Roman"/>
        </w:rPr>
        <w:t xml:space="preserve"> (</w:t>
      </w:r>
      <w:proofErr w:type="spellStart"/>
      <w:r w:rsidRPr="00E320BC">
        <w:rPr>
          <w:rFonts w:ascii="Calibri" w:eastAsia="Candara" w:hAnsi="Calibri" w:cs="Times New Roman"/>
        </w:rPr>
        <w:t>Threats</w:t>
      </w:r>
      <w:proofErr w:type="spellEnd"/>
      <w:r w:rsidRPr="00E320BC">
        <w:rPr>
          <w:rFonts w:ascii="Calibri" w:eastAsia="Candara" w:hAnsi="Calibri" w:cs="Times New Roman"/>
        </w:rPr>
        <w:t>) – czynniki zewnętrzne mogące wywoływać niekorzystne zmian</w:t>
      </w:r>
      <w:r w:rsidRPr="00DE45C9">
        <w:rPr>
          <w:rFonts w:ascii="Calibri" w:eastAsia="Candara" w:hAnsi="Calibri" w:cs="Times New Roman"/>
        </w:rPr>
        <w:t>y</w:t>
      </w:r>
      <w:r w:rsidRPr="00E320BC">
        <w:rPr>
          <w:rFonts w:ascii="Calibri" w:eastAsia="Candara" w:hAnsi="Calibri" w:cs="Times New Roman"/>
        </w:rPr>
        <w:t xml:space="preserve"> w HOF.</w:t>
      </w:r>
    </w:p>
    <w:p w:rsidR="00884C10" w:rsidRDefault="00884C10" w:rsidP="00884C10">
      <w:pPr>
        <w:contextualSpacing/>
        <w:rPr>
          <w:rFonts w:ascii="Calibri" w:eastAsia="Candara" w:hAnsi="Calibri" w:cs="Times New Roman"/>
        </w:rPr>
      </w:pPr>
    </w:p>
    <w:p w:rsidR="00E320BC" w:rsidRDefault="00884C10" w:rsidP="00884C10">
      <w:pPr>
        <w:ind w:left="360" w:firstLine="0"/>
        <w:contextualSpacing/>
        <w:rPr>
          <w:rFonts w:ascii="Calibri" w:eastAsia="Candara" w:hAnsi="Calibri" w:cs="Times New Roman"/>
        </w:rPr>
      </w:pPr>
      <w:r>
        <w:rPr>
          <w:rFonts w:ascii="Calibri" w:eastAsia="Candara" w:hAnsi="Calibri" w:cs="Times New Roman"/>
        </w:rPr>
        <w:t>W niniejszym dokumencie, aby zadbać o czytelność analizy, SWOT podzielono na trzy kategorie: przestrzeń i środowisko, społeczeństwo, gospodarka.</w:t>
      </w:r>
    </w:p>
    <w:tbl>
      <w:tblPr>
        <w:tblStyle w:val="Jasnasiatkaakcent1"/>
        <w:tblW w:w="0" w:type="auto"/>
        <w:tblLook w:val="04A0" w:firstRow="1" w:lastRow="0" w:firstColumn="1" w:lastColumn="0" w:noHBand="0" w:noVBand="1"/>
      </w:tblPr>
      <w:tblGrid>
        <w:gridCol w:w="1355"/>
        <w:gridCol w:w="6426"/>
        <w:gridCol w:w="6439"/>
      </w:tblGrid>
      <w:tr w:rsidR="004F6CB8" w:rsidTr="004F6F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vMerge w:val="restart"/>
            <w:textDirection w:val="btLr"/>
            <w:vAlign w:val="center"/>
          </w:tcPr>
          <w:p w:rsidR="007C120D" w:rsidRPr="00D42294" w:rsidRDefault="007C120D" w:rsidP="007C120D">
            <w:pPr>
              <w:spacing w:before="0"/>
              <w:ind w:left="113" w:right="113"/>
              <w:jc w:val="center"/>
              <w:rPr>
                <w:rFonts w:asciiTheme="minorHAnsi" w:hAnsiTheme="minorHAnsi" w:cstheme="minorHAnsi"/>
              </w:rPr>
            </w:pPr>
            <w:r w:rsidRPr="00D42294">
              <w:rPr>
                <w:rFonts w:asciiTheme="minorHAnsi" w:hAnsiTheme="minorHAnsi" w:cstheme="minorHAnsi"/>
              </w:rPr>
              <w:t>Czynniki wewnętrzne</w:t>
            </w:r>
          </w:p>
        </w:tc>
        <w:tc>
          <w:tcPr>
            <w:tcW w:w="12865" w:type="dxa"/>
            <w:gridSpan w:val="2"/>
            <w:shd w:val="clear" w:color="auto" w:fill="D5F0FE" w:themeFill="accent1" w:themeFillTint="33"/>
            <w:vAlign w:val="center"/>
          </w:tcPr>
          <w:p w:rsidR="007C120D" w:rsidRPr="007D70AB" w:rsidRDefault="007C120D" w:rsidP="007C120D">
            <w:pPr>
              <w:spacing w:before="0"/>
              <w:jc w:val="center"/>
              <w:cnfStyle w:val="100000000000" w:firstRow="1" w:lastRow="0" w:firstColumn="0" w:lastColumn="0" w:oddVBand="0" w:evenVBand="0" w:oddHBand="0" w:evenHBand="0" w:firstRowFirstColumn="0" w:firstRowLastColumn="0" w:lastRowFirstColumn="0" w:lastRowLastColumn="0"/>
            </w:pPr>
            <w:r w:rsidRPr="007D70AB">
              <w:t>PRZESTRZEŃ I ŚRODOWISKO</w:t>
            </w:r>
          </w:p>
        </w:tc>
      </w:tr>
      <w:tr w:rsidR="004F6CB8" w:rsidTr="004F6F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vMerge/>
          </w:tcPr>
          <w:p w:rsidR="007C120D" w:rsidRDefault="007C120D" w:rsidP="0092770D"/>
        </w:tc>
        <w:tc>
          <w:tcPr>
            <w:tcW w:w="6426" w:type="dxa"/>
            <w:shd w:val="clear" w:color="auto" w:fill="92D050"/>
          </w:tcPr>
          <w:p w:rsidR="007C120D" w:rsidRPr="00940BAB" w:rsidRDefault="007C120D" w:rsidP="0092770D">
            <w:pPr>
              <w:jc w:val="center"/>
              <w:cnfStyle w:val="000000100000" w:firstRow="0" w:lastRow="0" w:firstColumn="0" w:lastColumn="0" w:oddVBand="0" w:evenVBand="0" w:oddHBand="1" w:evenHBand="0" w:firstRowFirstColumn="0" w:firstRowLastColumn="0" w:lastRowFirstColumn="0" w:lastRowLastColumn="0"/>
              <w:rPr>
                <w:b/>
              </w:rPr>
            </w:pPr>
            <w:r w:rsidRPr="00940BAB">
              <w:rPr>
                <w:b/>
              </w:rPr>
              <w:t>Mocne strony</w:t>
            </w:r>
          </w:p>
        </w:tc>
        <w:tc>
          <w:tcPr>
            <w:tcW w:w="6439" w:type="dxa"/>
            <w:shd w:val="clear" w:color="auto" w:fill="FF0000"/>
          </w:tcPr>
          <w:p w:rsidR="007C120D" w:rsidRPr="00940BAB" w:rsidRDefault="007C120D" w:rsidP="0092770D">
            <w:pPr>
              <w:jc w:val="center"/>
              <w:cnfStyle w:val="000000100000" w:firstRow="0" w:lastRow="0" w:firstColumn="0" w:lastColumn="0" w:oddVBand="0" w:evenVBand="0" w:oddHBand="1" w:evenHBand="0" w:firstRowFirstColumn="0" w:firstRowLastColumn="0" w:lastRowFirstColumn="0" w:lastRowLastColumn="0"/>
              <w:rPr>
                <w:b/>
              </w:rPr>
            </w:pPr>
            <w:r w:rsidRPr="00940BAB">
              <w:rPr>
                <w:b/>
              </w:rPr>
              <w:t>Słabe strony</w:t>
            </w:r>
          </w:p>
        </w:tc>
      </w:tr>
      <w:tr w:rsidR="004F6CB8" w:rsidTr="004F6F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vMerge/>
          </w:tcPr>
          <w:p w:rsidR="007C120D" w:rsidRDefault="007C120D" w:rsidP="0092770D"/>
        </w:tc>
        <w:tc>
          <w:tcPr>
            <w:tcW w:w="6426" w:type="dxa"/>
            <w:shd w:val="clear" w:color="auto" w:fill="DEF5E3" w:themeFill="accent3" w:themeFillTint="33"/>
          </w:tcPr>
          <w:p w:rsidR="007C120D" w:rsidRPr="00880A85"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Atrakcyjne walory przyrodniczo-kulturowe stwarzające </w:t>
            </w:r>
            <w:r w:rsidRPr="00880A85">
              <w:rPr>
                <w:rFonts w:ascii="Calibri" w:eastAsia="Candara" w:hAnsi="Calibri" w:cs="Times New Roman"/>
              </w:rPr>
              <w:t>możliwość rozwoju turystyki (ogromny potencjał hrubieszowskich podziemi oraz kramów miejskich, tzw. Sutków);</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880A85">
              <w:rPr>
                <w:rFonts w:ascii="Calibri" w:eastAsia="Candara" w:hAnsi="Calibri" w:cs="Times New Roman"/>
              </w:rPr>
              <w:t>Duża powierzchnia</w:t>
            </w:r>
            <w:r w:rsidRPr="00E320BC">
              <w:rPr>
                <w:rFonts w:ascii="Calibri" w:eastAsia="Candara" w:hAnsi="Calibri" w:cs="Times New Roman"/>
              </w:rPr>
              <w:t xml:space="preserve"> obszarów chronionych;</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Z HOF związanych jest wiele znanych postaci (historycznych i współcześnie żyjących), co również może przełożyć się na rozwój turystyki czy posłużyć, jako wyróżnik w promocji obszaru;</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Duże zasoby archeologiczne, których wykorzystanie wpłynie na rozwój turystyki kwalifikowanej;</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Miasto Hrubieszów stanowi centralny ośrodek kultury i oświaty Ziemi Hrubieszowskiej. Jest stolicą subregionu turystycznego „</w:t>
            </w:r>
            <w:proofErr w:type="spellStart"/>
            <w:r w:rsidRPr="00E320BC">
              <w:rPr>
                <w:rFonts w:ascii="Calibri" w:eastAsia="Candara" w:hAnsi="Calibri" w:cs="Times New Roman"/>
              </w:rPr>
              <w:t>Gotania</w:t>
            </w:r>
            <w:proofErr w:type="spellEnd"/>
            <w:r w:rsidRPr="00E320BC">
              <w:rPr>
                <w:rFonts w:ascii="Calibri" w:eastAsia="Candara" w:hAnsi="Calibri" w:cs="Times New Roman"/>
              </w:rPr>
              <w:t>”, produktu turystycznego o zasięgu ponadlokalnym;</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b/>
              </w:rPr>
            </w:pPr>
            <w:r w:rsidRPr="00E320BC">
              <w:rPr>
                <w:rFonts w:ascii="Calibri" w:eastAsia="Candara" w:hAnsi="Calibri" w:cs="Times New Roman"/>
              </w:rPr>
              <w:t>Wielokulturowy wymiar HOF (skupiony głownie na terenie miasta) - obecność zabytków będących świadectwem wielokulturowości i wielowyznaniowości;</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b/>
              </w:rPr>
            </w:pPr>
            <w:r w:rsidRPr="00E320BC">
              <w:rPr>
                <w:rFonts w:ascii="Calibri" w:eastAsia="Candara" w:hAnsi="Calibri" w:cs="Times New Roman"/>
              </w:rPr>
              <w:t xml:space="preserve">Bogate niematerialne dziedzictwo kulturowe kształtujące </w:t>
            </w:r>
            <w:r w:rsidRPr="00E320BC">
              <w:rPr>
                <w:rFonts w:ascii="Calibri" w:eastAsia="Candara" w:hAnsi="Calibri" w:cs="Times New Roman"/>
              </w:rPr>
              <w:lastRenderedPageBreak/>
              <w:t>tożsamość społeczną HOF uwidocznione w działalności zespołów tanecznego i śpiewaczego, tradycjach kulinarnych i rękodzielnictwa;</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Zasoby naturalne, twórczość ludowa i produkty lokalne (w tym spożywcze) dostępne w HOF, dające podstawę do budowy gospodarki lokalnej z większą wartością dodaną. </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Funkcjonująca na dobrym poziomie infrastruktura-sportowo-rekreacyjna mająca wpływ na potencjał turystyczny HOF; </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Bardzo dobre gleby (jedne z najlepszych w województwie lubelskim) stanowiące podstawę do rozwoju rolnictwa i lokalnej bazy surowcowej;</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Rdzeń HOF to miasto powiatowe, co łączy się z dostępem mieszkańców HOF do wyspecjalizowanych usług oraz instytucji publicznych;</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Istniejąca infrastruktura i logistyka związana z funkcjonującym kolejowym przejściem granicznym Hrubieszów/</w:t>
            </w:r>
            <w:proofErr w:type="spellStart"/>
            <w:r w:rsidRPr="00E320BC">
              <w:rPr>
                <w:rFonts w:ascii="Calibri" w:eastAsia="Candara" w:hAnsi="Calibri" w:cs="Times New Roman"/>
              </w:rPr>
              <w:t>Izow</w:t>
            </w:r>
            <w:proofErr w:type="spellEnd"/>
            <w:r w:rsidRPr="00E320BC">
              <w:rPr>
                <w:rFonts w:ascii="Calibri" w:eastAsia="Candara" w:hAnsi="Calibri" w:cs="Times New Roman"/>
              </w:rPr>
              <w:t>;</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Candara"/>
              </w:rPr>
              <w:t>Hrubieszów jest istotnym punktem przesiadkowym dla mieszkańców całego powiatu hrubieszowskiego w celu podróży do większych ośrodków w tym akademickich;</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Uporządkowany system planowania przestrzennego – posiadanie aktualnych dokumentów planistycznych; </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Dobre warunki nasłonecznienia (obszar o potencjale energii użytecznej dla energetyki solarnej powyżej 950 kWh/m</w:t>
            </w:r>
            <w:r w:rsidRPr="00940BAB">
              <w:rPr>
                <w:rFonts w:ascii="Calibri" w:eastAsia="Candara" w:hAnsi="Calibri" w:cs="Times New Roman"/>
                <w:vertAlign w:val="superscript"/>
              </w:rPr>
              <w:t>2</w:t>
            </w:r>
            <w:r w:rsidRPr="00E320BC">
              <w:rPr>
                <w:rFonts w:ascii="Calibri" w:eastAsia="Candara" w:hAnsi="Calibri" w:cs="Times New Roman"/>
              </w:rPr>
              <w:t xml:space="preserve">, wartość usłonecznienia – powyżej 1660 godzin w roku) sprzyjające podejmowaniu inicjatyw w zakresie instalacji fotowoltaicznych i kolektorów słonecznych; </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Candara"/>
              </w:rPr>
              <w:t>Duży potencjał HOF do wytwarzania biomasy na cele energetyczne;</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b/>
              </w:rPr>
            </w:pPr>
            <w:r w:rsidRPr="00E320BC">
              <w:rPr>
                <w:rFonts w:ascii="Calibri" w:eastAsia="Candara" w:hAnsi="Calibri" w:cs="Times New Roman"/>
              </w:rPr>
              <w:t>Brak zakładów przemysłowych emitujących zanieczyszczenia;</w:t>
            </w:r>
          </w:p>
          <w:p w:rsidR="007C120D" w:rsidRPr="00940BAB"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b/>
              </w:rPr>
            </w:pPr>
            <w:r w:rsidRPr="00E320BC">
              <w:rPr>
                <w:rFonts w:ascii="Calibri" w:eastAsia="Candara" w:hAnsi="Calibri" w:cs="Times New Roman"/>
              </w:rPr>
              <w:t>Wzrost świadomości ekologicznej mieszkańców płynący głównie z budowania postawy proekologicznej;</w:t>
            </w:r>
          </w:p>
          <w:p w:rsidR="007C120D" w:rsidRDefault="007C120D" w:rsidP="00A13FA7">
            <w:pPr>
              <w:pStyle w:val="Akapitzlist"/>
              <w:numPr>
                <w:ilvl w:val="0"/>
                <w:numId w:val="40"/>
              </w:numPr>
              <w:spacing w:before="0"/>
              <w:ind w:left="317"/>
              <w:cnfStyle w:val="000000010000" w:firstRow="0" w:lastRow="0" w:firstColumn="0" w:lastColumn="0" w:oddVBand="0" w:evenVBand="0" w:oddHBand="0" w:evenHBand="1" w:firstRowFirstColumn="0" w:firstRowLastColumn="0" w:lastRowFirstColumn="0" w:lastRowLastColumn="0"/>
            </w:pPr>
            <w:r w:rsidRPr="00940BAB">
              <w:rPr>
                <w:rFonts w:eastAsia="Candara" w:cs="Times New Roman"/>
              </w:rPr>
              <w:t xml:space="preserve">Rozwój koncepcji smart </w:t>
            </w:r>
            <w:proofErr w:type="spellStart"/>
            <w:r w:rsidRPr="00940BAB">
              <w:rPr>
                <w:rFonts w:eastAsia="Candara" w:cs="Times New Roman"/>
              </w:rPr>
              <w:t>city</w:t>
            </w:r>
            <w:proofErr w:type="spellEnd"/>
            <w:r w:rsidRPr="00940BAB">
              <w:rPr>
                <w:rFonts w:eastAsia="Candara" w:cs="Times New Roman"/>
              </w:rPr>
              <w:t xml:space="preserve"> (w mieście) w oparciu </w:t>
            </w:r>
            <w:r w:rsidRPr="00940BAB">
              <w:rPr>
                <w:rFonts w:eastAsia="Candara" w:cs="Times New Roman"/>
              </w:rPr>
              <w:lastRenderedPageBreak/>
              <w:t>o wykorzystanie technologii informacyjno- komunikacyjnych, umożliwiającej zrównoważony rozwój miasta w oparciu o oszczędność zasobów środowiska oraz aspektów ekonomicznych, społecznych i przestrzennych.</w:t>
            </w:r>
          </w:p>
        </w:tc>
        <w:tc>
          <w:tcPr>
            <w:tcW w:w="6439" w:type="dxa"/>
            <w:shd w:val="clear" w:color="auto" w:fill="FDA69D"/>
          </w:tcPr>
          <w:p w:rsidR="007C120D" w:rsidRPr="00E320BC" w:rsidRDefault="00334AEA"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lastRenderedPageBreak/>
              <w:t xml:space="preserve">Mało skuteczna </w:t>
            </w:r>
            <w:r w:rsidR="007C120D" w:rsidRPr="00E320BC">
              <w:rPr>
                <w:rFonts w:ascii="Calibri" w:eastAsia="Candara" w:hAnsi="Calibri" w:cs="Times New Roman"/>
              </w:rPr>
              <w:t>ochrona zabytków i krajobrazu kulturowego ze względu na niewystarczający poziom finansowania prac konserwatorskich lub innych prac związanych z utrzymaniem wysokich standardów przestrzeni;</w:t>
            </w:r>
          </w:p>
          <w:p w:rsidR="007C120D" w:rsidRPr="00E320BC" w:rsidRDefault="007C120D"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Wysokie koszty utrzymania i remontów obiektów zabytkowych uniemożliwiające wdrożenie instrumentów ochrony krajobrazu kulturowego; </w:t>
            </w:r>
          </w:p>
          <w:p w:rsidR="007C120D" w:rsidRPr="00E320BC" w:rsidRDefault="007C120D"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Niski stopień bezpieczeństwa pieszych i rowerzystów, związany z brakiem dostosowania infrastruktury do potrzeb użytkowników</w:t>
            </w:r>
            <w:r w:rsidR="00A530AE">
              <w:rPr>
                <w:rFonts w:ascii="Calibri" w:eastAsia="Candara" w:hAnsi="Calibri" w:cs="Times New Roman"/>
              </w:rPr>
              <w:t>, słabo rozwinięty układ ścieżek rowerowych</w:t>
            </w:r>
            <w:r w:rsidRPr="00E320BC">
              <w:rPr>
                <w:rFonts w:ascii="Calibri" w:eastAsia="Candara" w:hAnsi="Calibri" w:cs="Times New Roman"/>
              </w:rPr>
              <w:t>;</w:t>
            </w:r>
          </w:p>
          <w:p w:rsidR="007C120D" w:rsidRDefault="007C120D"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Ograniczona zewnętrzna dostępność komunikacyjna, peryferyjne położenie względem kraju i stolicy województwa;</w:t>
            </w:r>
          </w:p>
          <w:p w:rsidR="00C65B3A" w:rsidRDefault="00C65B3A"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Pr>
                <w:rFonts w:ascii="Calibri" w:eastAsia="Candara" w:hAnsi="Calibri" w:cs="Times New Roman"/>
              </w:rPr>
              <w:t>Wykluczenie transportowe części miejscowości wiejskich HOF, brak możliwości dojazdu publicznym środkiem komunikacji do miasta;</w:t>
            </w:r>
          </w:p>
          <w:p w:rsidR="006F7FB3" w:rsidRDefault="006F7FB3"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t xml:space="preserve">Niewystarczająca współpraca administracji miasta i gminy w </w:t>
            </w:r>
            <w:r>
              <w:lastRenderedPageBreak/>
              <w:t>zakresie planowania mobilności transportowej mieszkańców HOF (w wymiarze organizacyjnym, przestrzennym, infrastrukturalnym);</w:t>
            </w:r>
          </w:p>
          <w:p w:rsidR="00A530AE" w:rsidRPr="00E320BC" w:rsidRDefault="00A530AE"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t>Brak miejskiego transportu publicznego, wokół którego można byłoby budować zrównoważony i zintegrowany układ komunikacyjny obszaru HOF;</w:t>
            </w:r>
          </w:p>
          <w:p w:rsidR="007C120D" w:rsidRPr="00E320BC" w:rsidRDefault="007C120D"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Niewystarczające wykorzystanie magistrali gazowej – niewielki wzrost liczby przyłączy;</w:t>
            </w:r>
          </w:p>
          <w:p w:rsidR="007C120D" w:rsidRPr="00E320BC" w:rsidRDefault="007C120D"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Niedostateczny rozwój infrastruktury kanalizacyjnej w stosunku do sieci wodociągowej, rozproszona zabudowa mieszkaniowa nie sprzyja prowadzeniu inwestycji zmierzających do rozwoju sieci kanalizacyjnej;</w:t>
            </w:r>
          </w:p>
          <w:p w:rsidR="007C120D" w:rsidRPr="00E320BC" w:rsidRDefault="007C120D"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System grzewczy indywidualny oparty głównie na paliwach stałych; </w:t>
            </w:r>
          </w:p>
          <w:p w:rsidR="00B65446" w:rsidRDefault="00B65446" w:rsidP="00B65446">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Pr>
                <w:rFonts w:ascii="Calibri" w:eastAsia="Candara" w:hAnsi="Calibri" w:cs="Times New Roman"/>
              </w:rPr>
              <w:t>Wciąż niewystarczająco wykorzystany</w:t>
            </w:r>
            <w:r w:rsidRPr="00E320BC">
              <w:rPr>
                <w:rFonts w:ascii="Calibri" w:eastAsia="Candara" w:hAnsi="Calibri" w:cs="Times New Roman"/>
              </w:rPr>
              <w:t xml:space="preserve"> potencjał związany z odnawialnymi źródłami energii;</w:t>
            </w:r>
          </w:p>
          <w:p w:rsidR="007C120D" w:rsidRPr="00880A85" w:rsidRDefault="007C120D"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880A85">
              <w:rPr>
                <w:rFonts w:ascii="Calibri" w:eastAsia="Candara" w:hAnsi="Calibri" w:cs="Times New Roman"/>
              </w:rPr>
              <w:t>Brak zbiorników retencyjnych na terenie HOF, co niekorzystnie wpływa na gospodarkę wodną obszaru;</w:t>
            </w:r>
          </w:p>
          <w:p w:rsidR="007C120D" w:rsidRPr="00880A85" w:rsidRDefault="007C120D"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proofErr w:type="gramStart"/>
            <w:r w:rsidRPr="00880A85">
              <w:rPr>
                <w:rFonts w:ascii="Calibri" w:eastAsia="Candara" w:hAnsi="Calibri" w:cs="Times New Roman"/>
              </w:rPr>
              <w:t>Zła jakość</w:t>
            </w:r>
            <w:proofErr w:type="gramEnd"/>
            <w:r w:rsidRPr="00880A85">
              <w:rPr>
                <w:rFonts w:ascii="Calibri" w:eastAsia="Candara" w:hAnsi="Calibri" w:cs="Times New Roman"/>
              </w:rPr>
              <w:t xml:space="preserve"> infrastruktury drogowej będącej w gestii władz powiatu hrubieszowskiego, województwa lubelskiego oraz GDDKiA;</w:t>
            </w:r>
          </w:p>
          <w:p w:rsidR="007C120D" w:rsidRPr="00E320BC" w:rsidRDefault="007C120D" w:rsidP="00A13FA7">
            <w:pPr>
              <w:numPr>
                <w:ilvl w:val="0"/>
                <w:numId w:val="40"/>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Brak dostosowanej infrastruktury i przestrzeni publicznej do potrzeb osób z niepełnosprawnością – występowanie barier przestrzennych;</w:t>
            </w:r>
          </w:p>
          <w:p w:rsidR="007C120D" w:rsidRPr="00334AEA" w:rsidRDefault="007C120D" w:rsidP="00334AEA">
            <w:pPr>
              <w:pStyle w:val="Akapitzlist"/>
              <w:numPr>
                <w:ilvl w:val="0"/>
                <w:numId w:val="40"/>
              </w:numPr>
              <w:spacing w:before="0"/>
              <w:ind w:left="441"/>
              <w:cnfStyle w:val="000000010000" w:firstRow="0" w:lastRow="0" w:firstColumn="0" w:lastColumn="0" w:oddVBand="0" w:evenVBand="0" w:oddHBand="0" w:evenHBand="1" w:firstRowFirstColumn="0" w:firstRowLastColumn="0" w:lastRowFirstColumn="0" w:lastRowLastColumn="0"/>
            </w:pPr>
            <w:r w:rsidRPr="00884AD8">
              <w:rPr>
                <w:rFonts w:eastAsia="Candara" w:cs="Times New Roman"/>
              </w:rPr>
              <w:t>Stosunkowo niewielkie obszary zieleni miejskiej na terenie miasta (z</w:t>
            </w:r>
            <w:r w:rsidR="00334AEA">
              <w:rPr>
                <w:rFonts w:eastAsia="Candara" w:cs="Times New Roman"/>
              </w:rPr>
              <w:t>aledwie 1,1% powierzchni);</w:t>
            </w:r>
          </w:p>
          <w:p w:rsidR="00334AEA" w:rsidRDefault="00334AEA" w:rsidP="00334AEA">
            <w:pPr>
              <w:pStyle w:val="Akapitzlist"/>
              <w:numPr>
                <w:ilvl w:val="0"/>
                <w:numId w:val="40"/>
              </w:numPr>
              <w:spacing w:before="0"/>
              <w:ind w:left="441"/>
              <w:cnfStyle w:val="000000010000" w:firstRow="0" w:lastRow="0" w:firstColumn="0" w:lastColumn="0" w:oddVBand="0" w:evenVBand="0" w:oddHBand="0" w:evenHBand="1" w:firstRowFirstColumn="0" w:firstRowLastColumn="0" w:lastRowFirstColumn="0" w:lastRowLastColumn="0"/>
            </w:pPr>
            <w:r w:rsidRPr="008C4771">
              <w:t>Słaba efektywność energetyczna budynków użyteczności publicznej i związane z tym wysokie koszty utrzymania oraz wysoka emisyjność poprzez duże straty ciepła.</w:t>
            </w:r>
          </w:p>
        </w:tc>
      </w:tr>
      <w:tr w:rsidR="004F6CB8" w:rsidTr="004F6F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tcPr>
          <w:p w:rsidR="007C120D" w:rsidRDefault="007C120D" w:rsidP="0092770D"/>
        </w:tc>
        <w:tc>
          <w:tcPr>
            <w:tcW w:w="6426" w:type="dxa"/>
            <w:shd w:val="clear" w:color="auto" w:fill="00B0F0"/>
          </w:tcPr>
          <w:p w:rsidR="007C120D" w:rsidRPr="00E320BC" w:rsidRDefault="007C120D" w:rsidP="0092770D">
            <w:pPr>
              <w:ind w:firstLine="357"/>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b/>
                <w:sz w:val="24"/>
              </w:rPr>
            </w:pPr>
            <w:r w:rsidRPr="00E320BC">
              <w:rPr>
                <w:rFonts w:ascii="Calibri" w:eastAsia="Candara" w:hAnsi="Calibri" w:cs="Times New Roman"/>
                <w:b/>
                <w:sz w:val="24"/>
              </w:rPr>
              <w:t>Szanse</w:t>
            </w:r>
          </w:p>
        </w:tc>
        <w:tc>
          <w:tcPr>
            <w:tcW w:w="6439" w:type="dxa"/>
            <w:shd w:val="clear" w:color="auto" w:fill="FFC000"/>
          </w:tcPr>
          <w:p w:rsidR="007C120D" w:rsidRPr="00E320BC" w:rsidRDefault="007C120D" w:rsidP="0092770D">
            <w:pPr>
              <w:ind w:firstLine="357"/>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b/>
                <w:sz w:val="24"/>
              </w:rPr>
            </w:pPr>
            <w:r w:rsidRPr="00E320BC">
              <w:rPr>
                <w:rFonts w:ascii="Calibri" w:eastAsia="Candara" w:hAnsi="Calibri" w:cs="Times New Roman"/>
                <w:b/>
                <w:sz w:val="24"/>
              </w:rPr>
              <w:t>Zagrożenia</w:t>
            </w:r>
          </w:p>
        </w:tc>
      </w:tr>
      <w:tr w:rsidR="004F6CB8" w:rsidTr="004F6FE0">
        <w:trPr>
          <w:cnfStyle w:val="000000010000" w:firstRow="0" w:lastRow="0" w:firstColumn="0" w:lastColumn="0" w:oddVBand="0" w:evenVBand="0" w:oddHBand="0" w:evenHBand="1"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1355" w:type="dxa"/>
            <w:textDirection w:val="btLr"/>
            <w:vAlign w:val="center"/>
          </w:tcPr>
          <w:p w:rsidR="007C120D" w:rsidRDefault="007C120D" w:rsidP="0092770D">
            <w:pPr>
              <w:ind w:left="113" w:right="113"/>
              <w:jc w:val="center"/>
            </w:pPr>
            <w:r w:rsidRPr="00E320BC">
              <w:rPr>
                <w:rFonts w:ascii="Calibri" w:hAnsi="Calibri"/>
              </w:rPr>
              <w:t>Czynniki zewnętrzne</w:t>
            </w:r>
          </w:p>
        </w:tc>
        <w:tc>
          <w:tcPr>
            <w:tcW w:w="6426" w:type="dxa"/>
            <w:shd w:val="clear" w:color="auto" w:fill="FDF2D8" w:themeFill="accent5" w:themeFillTint="33"/>
          </w:tcPr>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Możliwości wsparcia przez państwo i UE inwestycji przyjaznych środowisku w tym: OZE, efektywność energetyczna, bezpieczeństwo energetyczne, gospodarka o obiegu zamkniętym zgodnie z założeniami planu działania Europejski Zielony Ład, dofinansowania do przydomowych oczyszczalni ścieków;</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Wzrost opłacalności działań z zakresu odnawialnych źródeł energii ze względu na rosnące koszty energii elektrycznej;</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 xml:space="preserve">Ograniczenie skutków zmian klimatycznych na rozwój społeczno-gospodarczy HOF poprzez wdrożenie planów adaptacyjnych oraz niebieskiej i zielonej infrastruktury; </w:t>
            </w:r>
          </w:p>
          <w:p w:rsidR="007C120D" w:rsidRPr="00E320BC"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 xml:space="preserve">Ograniczenie emisji gazów cieplarnianych dzięki interwencjom w kierunku wprowadzenia technologii niskoemisyjnych oraz przeciwdziałania ubóstwu energetycznemu; </w:t>
            </w:r>
          </w:p>
          <w:p w:rsidR="007C120D" w:rsidRPr="007D70AB" w:rsidRDefault="007C120D"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 xml:space="preserve">Predestynacja obszaru HOF w SRWL do pełnienia kluczowej roli w obsłudze międzynarodowego ruchu granicznego z Ukrainą, wykorzystanie przygranicznego położenia HOF do rozwoju nowych usług w zakresie obsługi ruchu osobowego (na przejściach w Zosinie i Dołhobyczowie) oraz towarowego, m.in. poprzez rozwój zaplecza spedycyjno-logistycznego Linii Hutniczo-Szerokotorowej (LHS) w ramach rozwijającej się globalnej inicjatywy budowy Nowego Jedwabnego Szlaku z Chin do Europy Zachodniej, m.in. </w:t>
            </w:r>
            <w:r w:rsidR="004D5110">
              <w:rPr>
                <w:rFonts w:ascii="Calibri" w:eastAsia="Candara" w:hAnsi="Calibri" w:cs="Times New Roman"/>
                <w:sz w:val="21"/>
                <w:szCs w:val="21"/>
              </w:rPr>
              <w:t>przez Rosję, Ukrainę i Polskę).</w:t>
            </w:r>
          </w:p>
        </w:tc>
        <w:tc>
          <w:tcPr>
            <w:tcW w:w="6439" w:type="dxa"/>
            <w:shd w:val="clear" w:color="auto" w:fill="FFFFCC"/>
          </w:tcPr>
          <w:p w:rsidR="007C120D" w:rsidRPr="00E320BC" w:rsidRDefault="007C120D"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Następujące zmiany klimatyczne mające wpływ na wiele sektorów gospodarki i społeczeństwo poprzez oddziaływanie na fizyczne i biologiczne składniki ekosystemów, takie jak: woda, gleba, powietrze i różnorodność biologiczne. Nieliczne działania inwestycyjne samorządów lokalnych z HOF w tym względzie świadczą o niewystarczającej liczbie inwestycji przeciwdziałających zmianom klimatu i działań skierowanych na adaptacje do zaistniałych już zmian. Na obszarze funkcjonalnym brakuje m.in. zielonej i niebieskiej infrastruktury, zbiorników retencyjnych, itp.;</w:t>
            </w:r>
          </w:p>
          <w:p w:rsidR="007C120D" w:rsidRPr="00E320BC" w:rsidRDefault="007C120D"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 xml:space="preserve">Ryzyko wystąpienia klęsk żywiołowych i związane ze zmianą przepisów prawa mających wpływ na środowisko naturalne i realizację inwestycji proekologicznych; </w:t>
            </w:r>
          </w:p>
          <w:p w:rsidR="007C120D" w:rsidRPr="00E320BC" w:rsidRDefault="007C120D"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Zmniejszenie popytu na technologie niskoemisyjne i styl życia zgodny z ideą zrównoważonego rozwoju;</w:t>
            </w:r>
          </w:p>
          <w:p w:rsidR="007C120D" w:rsidRPr="00E320BC" w:rsidRDefault="007C120D"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Brak możliwości finansowania działań zaradczych związanych ze zjawiskiem suszy w tym w zakresie retencji wodnej;</w:t>
            </w:r>
          </w:p>
          <w:p w:rsidR="007C120D" w:rsidRPr="00E320BC" w:rsidRDefault="007C120D"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Utrzymujący się trend wzrostu zużycia energii;</w:t>
            </w:r>
          </w:p>
          <w:p w:rsidR="007C120D" w:rsidRPr="00E320BC" w:rsidRDefault="007C120D"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Wywoływanie konfliktów między wartościami dziedzictwa kulturowego a współczesnymi procesami urbanistycznymi;</w:t>
            </w:r>
          </w:p>
          <w:p w:rsidR="007C120D" w:rsidRPr="0037579D" w:rsidRDefault="007C120D"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Nadzwyczajne zagrożenia związane z przewozem substancji niebezpiecznych dla środowiska związane z głównymi szlakami transportu samo</w:t>
            </w:r>
            <w:r w:rsidR="004D5110">
              <w:rPr>
                <w:rFonts w:ascii="Calibri" w:eastAsia="Candara" w:hAnsi="Calibri" w:cs="Times New Roman"/>
                <w:sz w:val="21"/>
                <w:szCs w:val="21"/>
              </w:rPr>
              <w:t>chodowego i kolejowego.</w:t>
            </w:r>
          </w:p>
        </w:tc>
      </w:tr>
      <w:tr w:rsidR="007C120D" w:rsidTr="004F6F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shd w:val="clear" w:color="auto" w:fill="D5F0FE" w:themeFill="accent1" w:themeFillTint="33"/>
          </w:tcPr>
          <w:p w:rsidR="007C120D" w:rsidRDefault="007C120D" w:rsidP="00366FCA">
            <w:pPr>
              <w:ind w:firstLine="0"/>
            </w:pPr>
          </w:p>
        </w:tc>
        <w:tc>
          <w:tcPr>
            <w:tcW w:w="12865" w:type="dxa"/>
            <w:gridSpan w:val="2"/>
            <w:shd w:val="clear" w:color="auto" w:fill="D5F0FE" w:themeFill="accent1" w:themeFillTint="33"/>
          </w:tcPr>
          <w:p w:rsidR="007C120D" w:rsidRPr="007D70AB" w:rsidRDefault="007C120D" w:rsidP="00366FCA">
            <w:pPr>
              <w:ind w:firstLine="0"/>
              <w:jc w:val="center"/>
              <w:cnfStyle w:val="000000100000" w:firstRow="0" w:lastRow="0" w:firstColumn="0" w:lastColumn="0" w:oddVBand="0" w:evenVBand="0" w:oddHBand="1" w:evenHBand="0" w:firstRowFirstColumn="0" w:firstRowLastColumn="0" w:lastRowFirstColumn="0" w:lastRowLastColumn="0"/>
              <w:rPr>
                <w:b/>
              </w:rPr>
            </w:pPr>
            <w:r w:rsidRPr="007D70AB">
              <w:rPr>
                <w:b/>
              </w:rPr>
              <w:t>SPOŁECZEŃSTWO</w:t>
            </w:r>
          </w:p>
        </w:tc>
      </w:tr>
      <w:tr w:rsidR="007C120D" w:rsidTr="004F6F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vMerge w:val="restart"/>
            <w:textDirection w:val="btLr"/>
          </w:tcPr>
          <w:p w:rsidR="007C120D" w:rsidRDefault="00064269" w:rsidP="00064269">
            <w:pPr>
              <w:ind w:left="113" w:right="113" w:firstLine="0"/>
            </w:pPr>
            <w:r>
              <w:rPr>
                <w:rFonts w:asciiTheme="minorHAnsi" w:hAnsiTheme="minorHAnsi" w:cstheme="minorHAnsi"/>
              </w:rPr>
              <w:t>C</w:t>
            </w:r>
            <w:r w:rsidR="007C120D" w:rsidRPr="00D42294">
              <w:rPr>
                <w:rFonts w:asciiTheme="minorHAnsi" w:hAnsiTheme="minorHAnsi" w:cstheme="minorHAnsi"/>
              </w:rPr>
              <w:t>zynniki wewnętrzne</w:t>
            </w:r>
          </w:p>
        </w:tc>
        <w:tc>
          <w:tcPr>
            <w:tcW w:w="6426" w:type="dxa"/>
            <w:shd w:val="clear" w:color="auto" w:fill="92D050"/>
          </w:tcPr>
          <w:p w:rsidR="007C120D" w:rsidRPr="00940BAB" w:rsidRDefault="007C120D" w:rsidP="007C120D">
            <w:pPr>
              <w:ind w:firstLine="0"/>
              <w:jc w:val="center"/>
              <w:cnfStyle w:val="000000010000" w:firstRow="0" w:lastRow="0" w:firstColumn="0" w:lastColumn="0" w:oddVBand="0" w:evenVBand="0" w:oddHBand="0" w:evenHBand="1" w:firstRowFirstColumn="0" w:firstRowLastColumn="0" w:lastRowFirstColumn="0" w:lastRowLastColumn="0"/>
              <w:rPr>
                <w:b/>
              </w:rPr>
            </w:pPr>
            <w:r w:rsidRPr="00940BAB">
              <w:rPr>
                <w:b/>
              </w:rPr>
              <w:t>Mocne strony</w:t>
            </w:r>
          </w:p>
        </w:tc>
        <w:tc>
          <w:tcPr>
            <w:tcW w:w="6439" w:type="dxa"/>
            <w:shd w:val="clear" w:color="auto" w:fill="FF0000"/>
          </w:tcPr>
          <w:p w:rsidR="007C120D" w:rsidRPr="00940BAB" w:rsidRDefault="007C120D" w:rsidP="007C120D">
            <w:pPr>
              <w:ind w:firstLine="16"/>
              <w:jc w:val="center"/>
              <w:cnfStyle w:val="000000010000" w:firstRow="0" w:lastRow="0" w:firstColumn="0" w:lastColumn="0" w:oddVBand="0" w:evenVBand="0" w:oddHBand="0" w:evenHBand="1" w:firstRowFirstColumn="0" w:firstRowLastColumn="0" w:lastRowFirstColumn="0" w:lastRowLastColumn="0"/>
              <w:rPr>
                <w:b/>
              </w:rPr>
            </w:pPr>
            <w:r w:rsidRPr="00940BAB">
              <w:rPr>
                <w:b/>
              </w:rPr>
              <w:t>Słabe strony</w:t>
            </w:r>
          </w:p>
        </w:tc>
      </w:tr>
      <w:tr w:rsidR="007C120D" w:rsidTr="004F6F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vMerge/>
          </w:tcPr>
          <w:p w:rsidR="007C120D" w:rsidRDefault="007C120D" w:rsidP="007C120D">
            <w:pPr>
              <w:ind w:firstLine="0"/>
            </w:pPr>
          </w:p>
        </w:tc>
        <w:tc>
          <w:tcPr>
            <w:tcW w:w="6426" w:type="dxa"/>
            <w:shd w:val="clear" w:color="auto" w:fill="DEF5E3" w:themeFill="accent3" w:themeFillTint="33"/>
          </w:tcPr>
          <w:p w:rsidR="007C120D" w:rsidRPr="00E320BC"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Możliwość rozwijania się modelu </w:t>
            </w:r>
            <w:proofErr w:type="spellStart"/>
            <w:r w:rsidRPr="00E320BC">
              <w:rPr>
                <w:rFonts w:ascii="Calibri" w:eastAsia="Candara" w:hAnsi="Calibri" w:cs="Times New Roman"/>
              </w:rPr>
              <w:t>Slow</w:t>
            </w:r>
            <w:proofErr w:type="spellEnd"/>
            <w:r w:rsidRPr="00E320BC">
              <w:rPr>
                <w:rFonts w:ascii="Calibri" w:eastAsia="Candara" w:hAnsi="Calibri" w:cs="Times New Roman"/>
              </w:rPr>
              <w:t xml:space="preserve"> </w:t>
            </w:r>
            <w:proofErr w:type="gramStart"/>
            <w:r w:rsidRPr="00E320BC">
              <w:rPr>
                <w:rFonts w:ascii="Calibri" w:eastAsia="Candara" w:hAnsi="Calibri" w:cs="Times New Roman"/>
              </w:rPr>
              <w:t>City jako</w:t>
            </w:r>
            <w:proofErr w:type="gramEnd"/>
            <w:r w:rsidRPr="00E320BC">
              <w:rPr>
                <w:rFonts w:ascii="Calibri" w:eastAsia="Candara" w:hAnsi="Calibri" w:cs="Times New Roman"/>
              </w:rPr>
              <w:t xml:space="preserve"> modelu rozwoju małych miast polegającego na wykorzystaniu endogennych zasobów własnych;</w:t>
            </w:r>
          </w:p>
          <w:p w:rsidR="007C120D" w:rsidRPr="00880A85"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80A85">
              <w:rPr>
                <w:rFonts w:ascii="Calibri" w:eastAsia="Candara" w:hAnsi="Calibri" w:cs="Times New Roman"/>
              </w:rPr>
              <w:lastRenderedPageBreak/>
              <w:t xml:space="preserve">Pomocą w walce z niekorzystnymi trendami demograficznymi na obszarze HOF jest zasób młodych ludzi z zagranicy (głównie Ukrainy), którzy napływają w poszukiwaniu pracy tymczasowej. Drugą grupą osób napływających na obszar HOF są </w:t>
            </w:r>
            <w:r w:rsidRPr="00880A85">
              <w:rPr>
                <w:rFonts w:ascii="Calibri" w:eastAsia="Candara" w:hAnsi="Calibri" w:cs="Candara"/>
              </w:rPr>
              <w:t>osoby skierowane do pracy w placówkach „służb mundurowych”;</w:t>
            </w:r>
          </w:p>
          <w:p w:rsidR="007C120D" w:rsidRPr="00E320BC"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Wysoki poziom aktywności społecznej mieszkańców HOF, przejawiającej się w liczbie funkcjonujących organizacji pozarządowych jak również rozwijającą się ekonomią społeczną (szczególnie na obszarze Gminy Hrubieszów); </w:t>
            </w:r>
          </w:p>
          <w:p w:rsidR="007C120D" w:rsidRPr="00E320BC"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Candara"/>
              </w:rPr>
              <w:t>Funkcjonujący w jednostkach samorządu terytorialnego HOF system wsparcia finansowego organizacji pozarządowych przy realizacji publicznych zadań zleconych;</w:t>
            </w:r>
          </w:p>
          <w:p w:rsidR="007C120D" w:rsidRPr="00E320BC"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Zadawalający poziom bezpieczeństwa publicznego;</w:t>
            </w:r>
          </w:p>
          <w:p w:rsidR="007C120D" w:rsidRPr="00E320BC"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b/>
              </w:rPr>
            </w:pPr>
            <w:r w:rsidRPr="00E320BC">
              <w:rPr>
                <w:rFonts w:ascii="Calibri" w:eastAsia="Candara" w:hAnsi="Calibri" w:cs="Times New Roman"/>
              </w:rPr>
              <w:t>Koncentracja, na terenie miasta, podmiotów powołanych przez państwo lub JST do wykonania podstawowych zadań dotyczących bezpieczeństwa: siły zbrojne, policja, straż graniczna, straż pożarna, służba więzienna, straż miejska, służba celna;</w:t>
            </w:r>
          </w:p>
          <w:p w:rsidR="007C120D" w:rsidRPr="00E320BC"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b/>
              </w:rPr>
            </w:pPr>
            <w:r w:rsidRPr="00E320BC">
              <w:rPr>
                <w:rFonts w:ascii="Calibri" w:eastAsia="Candara" w:hAnsi="Calibri" w:cs="Times New Roman"/>
              </w:rPr>
              <w:t xml:space="preserve">Zwiększająca się wiedza i świadomość społeczności lokalnej o możliwości wpływania na </w:t>
            </w:r>
            <w:proofErr w:type="gramStart"/>
            <w:r w:rsidRPr="00E320BC">
              <w:rPr>
                <w:rFonts w:ascii="Calibri" w:eastAsia="Candara" w:hAnsi="Calibri" w:cs="Times New Roman"/>
              </w:rPr>
              <w:t>podnoszenie jakości</w:t>
            </w:r>
            <w:proofErr w:type="gramEnd"/>
            <w:r w:rsidRPr="00E320BC">
              <w:rPr>
                <w:rFonts w:ascii="Calibri" w:eastAsia="Candara" w:hAnsi="Calibri" w:cs="Times New Roman"/>
              </w:rPr>
              <w:t xml:space="preserve"> życia (udział w budżecie obywatelskim);</w:t>
            </w:r>
          </w:p>
          <w:p w:rsidR="007C120D" w:rsidRPr="00E320BC"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Dobrze funkcjonująca siec szkół podstawowych i oddziałów przedszkolnych;</w:t>
            </w:r>
          </w:p>
          <w:p w:rsidR="007C120D" w:rsidRPr="00884C10"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b/>
              </w:rPr>
            </w:pPr>
            <w:r w:rsidRPr="00884C10">
              <w:rPr>
                <w:rFonts w:ascii="Calibri" w:eastAsia="Candara" w:hAnsi="Calibri" w:cs="Times New Roman"/>
              </w:rPr>
              <w:t>Istniejąca rozbudowana sieć szkolnictwa na poziomie szkoły średniej i zawodowej (na terenie miasta);</w:t>
            </w:r>
          </w:p>
          <w:p w:rsidR="007C120D" w:rsidRPr="00884C10"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b/>
              </w:rPr>
            </w:pPr>
            <w:r w:rsidRPr="00884C10">
              <w:rPr>
                <w:rFonts w:ascii="Calibri" w:eastAsia="Candara" w:hAnsi="Calibri" w:cs="Times New Roman"/>
              </w:rPr>
              <w:t>Spadek liczby osób korzystających ze środowiskowej pomocy społecznej oraz z zasiłków rodzinnych;</w:t>
            </w:r>
          </w:p>
          <w:p w:rsidR="007C120D" w:rsidRPr="007D70AB"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84C10">
              <w:rPr>
                <w:rFonts w:ascii="Calibri" w:eastAsia="Candara" w:hAnsi="Calibri" w:cs="Times New Roman"/>
              </w:rPr>
              <w:t xml:space="preserve">Według mieszkańców w życiu codziennym granice administracyjne na obszarze HOF są niezauważalne. </w:t>
            </w:r>
          </w:p>
        </w:tc>
        <w:tc>
          <w:tcPr>
            <w:tcW w:w="6439" w:type="dxa"/>
            <w:shd w:val="clear" w:color="auto" w:fill="FDA69D"/>
          </w:tcPr>
          <w:p w:rsidR="007C120D" w:rsidRPr="00E320BC"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lastRenderedPageBreak/>
              <w:t>Negatywne trendy demograficzne: spadek liczby ludności, w tym ludności w wieku przedprodukcyjnym i produkcyjnym mających wpływ na sytuacje społeczno-gospodarczą;</w:t>
            </w:r>
          </w:p>
          <w:p w:rsidR="007C120D" w:rsidRPr="00E320BC"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lastRenderedPageBreak/>
              <w:t xml:space="preserve">Ujemne wartości przyrostu naturalnego, w tym utrzymujący się niski poziom dzietności spowodowany zmniejszającą się liczbą kobiet w wieku rozrodczym i zmianą modelu rodziny; </w:t>
            </w:r>
          </w:p>
          <w:p w:rsidR="007C120D" w:rsidRPr="00E320BC"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Ujemne wartości salda migracji;</w:t>
            </w:r>
          </w:p>
          <w:p w:rsidR="007C120D"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Postępujący proces starzenia się społeczeństwa oraz brak infrastruktury opieki senioralnej, a także niewystarczająca liczba form integracji i aktywizacji osób starszych;</w:t>
            </w:r>
          </w:p>
          <w:p w:rsidR="00E55457" w:rsidRPr="008C4771" w:rsidRDefault="00E55457"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Niewystarczający poziom usług asystenckich, opiekuńczych i specjalistycznych skierowanych do osób z niepełnosprawnościami oraz osób potrzebujących wsparcia w codziennym funkcjonowaniu w społeczności lokalnej, w tym działań zwiększających mobilność, autonomię i bezpieczeństwo tych osób;</w:t>
            </w:r>
          </w:p>
          <w:p w:rsidR="00E55457" w:rsidRPr="008C4771" w:rsidRDefault="00E55457"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 xml:space="preserve">Niewystarczający </w:t>
            </w:r>
            <w:r w:rsidRPr="008C4771">
              <w:t>dostęp do usług społecznych i zdrowotnych</w:t>
            </w:r>
            <w:r w:rsidRPr="008C4771">
              <w:rPr>
                <w:rFonts w:ascii="Calibri" w:eastAsia="Candara" w:hAnsi="Calibri" w:cs="Times New Roman"/>
              </w:rPr>
              <w:t xml:space="preserve"> oraz niewystarczająca liczba form integracji i aktywizacji osób znajdujących się w niekorzystnej sytuacji;</w:t>
            </w:r>
          </w:p>
          <w:p w:rsidR="007C120D" w:rsidRPr="008C4771"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Brak kompleksowej oferty kulturalnej oraz innych sposobów i form spożytkowania czasu wolnego dzieci i dorosłych;</w:t>
            </w:r>
          </w:p>
          <w:p w:rsidR="00B16982" w:rsidRPr="008C4771" w:rsidRDefault="00717E7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Centralizacja usług kulturalnych w centrum HOF i mała dostępność do kultury oraz innych sposobów i form spożytkowania czasu wolnego na obszarach peryferyjnych HOF;</w:t>
            </w:r>
          </w:p>
          <w:p w:rsidR="00717E7D" w:rsidRPr="008C4771" w:rsidRDefault="00717E7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 xml:space="preserve">Zły stan techniczny Hrubieszowskiego Domu Kultury, </w:t>
            </w:r>
            <w:r w:rsidRPr="008C4771">
              <w:t xml:space="preserve">(jedynego takiego obiektu na obszarze powiatu hrubieszowskiego), który pełni funkcje </w:t>
            </w:r>
            <w:r w:rsidRPr="008C4771">
              <w:rPr>
                <w:rFonts w:cstheme="minorHAnsi"/>
              </w:rPr>
              <w:t>społeczno-kulturalne, edukacyjne, szkoleniowe i wystawiennicze;</w:t>
            </w:r>
          </w:p>
          <w:p w:rsidR="007C120D" w:rsidRPr="008C4771"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Placówki opiekuńczo-wychowawcze dla</w:t>
            </w:r>
            <w:r w:rsidR="004D5110" w:rsidRPr="008C4771">
              <w:rPr>
                <w:rFonts w:ascii="Calibri" w:eastAsia="Candara" w:hAnsi="Calibri" w:cs="Times New Roman"/>
              </w:rPr>
              <w:t xml:space="preserve"> dzieci do 3 roku życia (żłobki</w:t>
            </w:r>
            <w:r w:rsidRPr="008C4771">
              <w:rPr>
                <w:rFonts w:ascii="Calibri" w:eastAsia="Candara" w:hAnsi="Calibri" w:cs="Times New Roman"/>
              </w:rPr>
              <w:t xml:space="preserve">) skoncentrowane tylko na obszarze miasta i mała ich liczba, jako bariera powrotu rodzica/opiekuna na rynek pracy; </w:t>
            </w:r>
          </w:p>
          <w:p w:rsidR="003E1887" w:rsidRPr="008C4771" w:rsidRDefault="003E1887"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Mało nowoczesne i niezmodernizowane placówki przedszkoli i szkół podstawowych oraz braki w niezbędnym wyposażeniu;</w:t>
            </w:r>
          </w:p>
          <w:p w:rsidR="003E1887" w:rsidRPr="008C4771" w:rsidRDefault="003E1887"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Mała liczba placówek opiekuńczo-edukacyjnych dostosowanych do potrzeb osób z niepełnosprawnościami;</w:t>
            </w:r>
          </w:p>
          <w:p w:rsidR="003E1887" w:rsidRPr="008C4771" w:rsidRDefault="003E1887"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proofErr w:type="spellStart"/>
            <w:r w:rsidRPr="008C4771">
              <w:rPr>
                <w:rFonts w:ascii="Calibri" w:eastAsia="Candara" w:hAnsi="Calibri" w:cs="Times New Roman"/>
              </w:rPr>
              <w:lastRenderedPageBreak/>
              <w:t>Przyprzedszkolna</w:t>
            </w:r>
            <w:proofErr w:type="spellEnd"/>
            <w:r w:rsidRPr="008C4771">
              <w:rPr>
                <w:rFonts w:ascii="Calibri" w:eastAsia="Candara" w:hAnsi="Calibri" w:cs="Times New Roman"/>
              </w:rPr>
              <w:t xml:space="preserve"> </w:t>
            </w:r>
            <w:r w:rsidR="00B16982" w:rsidRPr="008C4771">
              <w:rPr>
                <w:rFonts w:ascii="Calibri" w:eastAsia="Candara" w:hAnsi="Calibri" w:cs="Times New Roman"/>
              </w:rPr>
              <w:t>infrastruktura</w:t>
            </w:r>
            <w:r w:rsidRPr="008C4771">
              <w:rPr>
                <w:rFonts w:ascii="Calibri" w:eastAsia="Candara" w:hAnsi="Calibri" w:cs="Times New Roman"/>
              </w:rPr>
              <w:t xml:space="preserve"> sportowa, w tym place zabaw, wymaga prac remontowych i rewitalizacyjnych;</w:t>
            </w:r>
          </w:p>
          <w:p w:rsidR="007C120D" w:rsidRPr="008C4771"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 xml:space="preserve">Niedostateczna oferta zajęć pozalekcyjnych i brak wsparcia przy ukierunkowaniu przyszłej kariery zawodowej osób młodych pomimo rozbudowanej infrastruktury szkolnictwa na różnych </w:t>
            </w:r>
            <w:r w:rsidR="005714DE" w:rsidRPr="008C4771">
              <w:rPr>
                <w:rFonts w:ascii="Calibri" w:eastAsia="Candara" w:hAnsi="Calibri" w:cs="Times New Roman"/>
              </w:rPr>
              <w:t>poziomach kształcenia;</w:t>
            </w:r>
          </w:p>
          <w:p w:rsidR="005714DE" w:rsidRPr="008C4771" w:rsidRDefault="005714DE"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proofErr w:type="gramStart"/>
            <w:r w:rsidRPr="008C4771">
              <w:rPr>
                <w:rFonts w:ascii="Calibri" w:eastAsia="Candara" w:hAnsi="Calibri" w:cs="Times New Roman"/>
              </w:rPr>
              <w:t>Słaba jakość</w:t>
            </w:r>
            <w:proofErr w:type="gramEnd"/>
            <w:r w:rsidRPr="008C4771">
              <w:rPr>
                <w:rFonts w:ascii="Calibri" w:eastAsia="Candara" w:hAnsi="Calibri" w:cs="Times New Roman"/>
              </w:rPr>
              <w:t xml:space="preserve"> infrastruktury edukacyjnej w przedszkolach i szkołach podstawowych mająca bezpośredni wpływ na jakość kształcenia;</w:t>
            </w:r>
          </w:p>
          <w:p w:rsidR="00B16982" w:rsidRPr="008C4771" w:rsidRDefault="00B16982"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 xml:space="preserve">Wymagająca dalszych nakładów finansowych i prac rozwojowych oferta </w:t>
            </w:r>
            <w:r w:rsidRPr="008C4771">
              <w:t>programów edukacyjnych przedszkoli oraz programów rozwojowych szkół podstawowych;</w:t>
            </w:r>
          </w:p>
          <w:p w:rsidR="007C120D" w:rsidRPr="008C4771"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Times New Roman" w:hAnsi="Calibri" w:cs="Candara"/>
                <w:lang w:eastAsia="pl-PL"/>
              </w:rPr>
              <w:t>Jakość kształcenia w szkołach podstawowych oraz średnich możn</w:t>
            </w:r>
            <w:r w:rsidR="002F443B" w:rsidRPr="008C4771">
              <w:rPr>
                <w:rFonts w:ascii="Calibri" w:eastAsia="Times New Roman" w:hAnsi="Calibri" w:cs="Candara"/>
                <w:lang w:eastAsia="pl-PL"/>
              </w:rPr>
              <w:t xml:space="preserve">a ocenić, jako </w:t>
            </w:r>
            <w:proofErr w:type="gramStart"/>
            <w:r w:rsidR="002F443B" w:rsidRPr="008C4771">
              <w:rPr>
                <w:rFonts w:ascii="Calibri" w:eastAsia="Times New Roman" w:hAnsi="Calibri" w:cs="Candara"/>
                <w:lang w:eastAsia="pl-PL"/>
              </w:rPr>
              <w:t xml:space="preserve">niezadowalającą. </w:t>
            </w:r>
            <w:proofErr w:type="gramEnd"/>
            <w:r w:rsidRPr="008C4771">
              <w:rPr>
                <w:rFonts w:ascii="Calibri" w:eastAsia="Candara" w:hAnsi="Calibri" w:cs="Times New Roman"/>
              </w:rPr>
              <w:t>Generalnie dominują wyniki egzaminów na poziomie średnim;</w:t>
            </w:r>
          </w:p>
          <w:p w:rsidR="007C120D" w:rsidRPr="008C4771"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Times New Roman"/>
              </w:rPr>
              <w:t>Słabo dostosowany system kształcenia zawodowego do zapotrzebowania na lokalnym rynku pracy (nadwyżki i deficyty w niektórych zawodach);</w:t>
            </w:r>
          </w:p>
          <w:p w:rsidR="007C120D" w:rsidRPr="008C4771"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8C4771">
              <w:rPr>
                <w:rFonts w:ascii="Calibri" w:eastAsia="Candara" w:hAnsi="Calibri" w:cs="Candara"/>
              </w:rPr>
              <w:t>Wykwalifikowana kadra pracownicza (ludzie młodzi po szkołach i studiach) odpływają z obszaru HOF poszukując pracy w większych miastach i za granicą;</w:t>
            </w:r>
          </w:p>
          <w:p w:rsidR="007C120D" w:rsidRPr="00E320BC"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Niewystarczający zasób mieszkalnictwa komunalnego i socjalnego, przeznaczonego dla osób w trudnej sytuacji życiowej i z niskimi dochodami;</w:t>
            </w:r>
          </w:p>
          <w:p w:rsidR="007C120D" w:rsidRPr="00E320BC"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Utrzymujące się na wysokim poziomie długotrwałe bezrobocie wśród osób bez doświadczenia zawodowego i o niskim wykształceniu. Występowanie bezrobocia ukrytego;</w:t>
            </w:r>
          </w:p>
          <w:p w:rsidR="007C120D" w:rsidRPr="00E320BC"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Brak wykwalifikowanych pracowników wśród osób bezrobotnych i poszukujących pracy; </w:t>
            </w:r>
          </w:p>
          <w:p w:rsidR="007C120D"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rPr>
              <w:t>Niewystarczające działania w zakresie przeciwdzi</w:t>
            </w:r>
            <w:r w:rsidR="004D5110">
              <w:rPr>
                <w:rFonts w:ascii="Calibri" w:eastAsia="Candara" w:hAnsi="Calibri" w:cs="Times New Roman"/>
              </w:rPr>
              <w:t>ałania</w:t>
            </w:r>
            <w:r w:rsidRPr="00E320BC">
              <w:rPr>
                <w:rFonts w:ascii="Calibri" w:eastAsia="Candara" w:hAnsi="Calibri" w:cs="Times New Roman"/>
              </w:rPr>
              <w:t xml:space="preserve"> wykluczeniu społecznemu osób starszych i samotnych oraz rodzin o niskim statusie materialnym, brak mieszkań </w:t>
            </w:r>
            <w:r w:rsidRPr="00E320BC">
              <w:rPr>
                <w:rFonts w:ascii="Calibri" w:eastAsia="Candara" w:hAnsi="Calibri" w:cs="Times New Roman"/>
              </w:rPr>
              <w:lastRenderedPageBreak/>
              <w:t>chronionych, brak kompleksowego wsparcia społecznego obejmującego wsparcie emocjonalne, informacyjne, instrumentalne i rzeczowe oraz dla osób z niepełnosprawnościami i ich rodzin;</w:t>
            </w:r>
          </w:p>
          <w:p w:rsidR="004D5110" w:rsidRDefault="004D5110"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Pr>
                <w:rFonts w:ascii="Calibri" w:eastAsia="Candara" w:hAnsi="Calibri" w:cs="Times New Roman"/>
              </w:rPr>
              <w:t>Brak zintegrowanego podejścia w zakresie świadczonych usług społecznych;</w:t>
            </w:r>
          </w:p>
          <w:p w:rsidR="004D5110" w:rsidRPr="00E320BC" w:rsidRDefault="004D5110"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Pr>
                <w:rFonts w:ascii="Calibri" w:eastAsia="Candara" w:hAnsi="Calibri" w:cs="Times New Roman"/>
              </w:rPr>
              <w:t>W opinii mieszkańców deficyt usług w zakresie aktywizacji i integracji społecznej;</w:t>
            </w:r>
          </w:p>
          <w:p w:rsidR="007C120D" w:rsidRPr="007D70AB"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pPr>
            <w:r w:rsidRPr="00E320BC">
              <w:rPr>
                <w:rFonts w:ascii="Calibri" w:eastAsia="Candara" w:hAnsi="Calibri" w:cs="Times New Roman"/>
              </w:rPr>
              <w:t>Brak sprawnie funkcjonującego systemu wewnętrznej komunikacji publicznej;</w:t>
            </w:r>
          </w:p>
          <w:p w:rsidR="007C120D"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pPr>
            <w:r w:rsidRPr="00E320BC">
              <w:rPr>
                <w:rFonts w:ascii="Calibri" w:eastAsia="Candara" w:hAnsi="Calibri" w:cs="Times New Roman"/>
              </w:rPr>
              <w:t>Brak zadawalającej opieki medycznej i ograniczona dostępność do ambulatoryjnej opieki specjalistycznej spowodowana brakami infrastrukturalnymi i kadrowymi.</w:t>
            </w:r>
          </w:p>
        </w:tc>
      </w:tr>
      <w:tr w:rsidR="004F6CB8" w:rsidTr="004F6F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shd w:val="clear" w:color="auto" w:fill="D5F0FE" w:themeFill="accent1" w:themeFillTint="33"/>
          </w:tcPr>
          <w:p w:rsidR="007C120D" w:rsidRDefault="007C120D" w:rsidP="0092770D"/>
        </w:tc>
        <w:tc>
          <w:tcPr>
            <w:tcW w:w="6426" w:type="dxa"/>
            <w:shd w:val="clear" w:color="auto" w:fill="00B0F0"/>
          </w:tcPr>
          <w:p w:rsidR="007C120D" w:rsidRPr="00E320BC" w:rsidRDefault="007C120D" w:rsidP="00366FCA">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b/>
                <w:sz w:val="24"/>
              </w:rPr>
            </w:pPr>
            <w:r w:rsidRPr="00E320BC">
              <w:rPr>
                <w:rFonts w:ascii="Calibri" w:eastAsia="Candara" w:hAnsi="Calibri" w:cs="Times New Roman"/>
                <w:b/>
                <w:sz w:val="24"/>
              </w:rPr>
              <w:t>Szanse</w:t>
            </w:r>
          </w:p>
        </w:tc>
        <w:tc>
          <w:tcPr>
            <w:tcW w:w="6439" w:type="dxa"/>
            <w:shd w:val="clear" w:color="auto" w:fill="FFC000"/>
          </w:tcPr>
          <w:p w:rsidR="007C120D" w:rsidRPr="00E320BC" w:rsidRDefault="007C120D" w:rsidP="00366FCA">
            <w:pPr>
              <w:ind w:firstLine="16"/>
              <w:jc w:val="center"/>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b/>
                <w:sz w:val="24"/>
              </w:rPr>
            </w:pPr>
            <w:r w:rsidRPr="00E320BC">
              <w:rPr>
                <w:rFonts w:ascii="Calibri" w:eastAsia="Candara" w:hAnsi="Calibri" w:cs="Times New Roman"/>
                <w:b/>
                <w:sz w:val="24"/>
              </w:rPr>
              <w:t>Zagrożenia</w:t>
            </w:r>
          </w:p>
        </w:tc>
      </w:tr>
      <w:tr w:rsidR="004F6CB8" w:rsidTr="004F6FE0">
        <w:trPr>
          <w:cnfStyle w:val="000000100000" w:firstRow="0" w:lastRow="0" w:firstColumn="0" w:lastColumn="0" w:oddVBand="0" w:evenVBand="0" w:oddHBand="1"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1355" w:type="dxa"/>
            <w:shd w:val="clear" w:color="auto" w:fill="FFFFFF" w:themeFill="background1"/>
            <w:textDirection w:val="btLr"/>
            <w:vAlign w:val="center"/>
          </w:tcPr>
          <w:p w:rsidR="007C120D" w:rsidRDefault="00064269" w:rsidP="00064269">
            <w:pPr>
              <w:ind w:left="113" w:right="113" w:firstLine="0"/>
            </w:pPr>
            <w:r>
              <w:rPr>
                <w:rFonts w:ascii="Calibri" w:hAnsi="Calibri"/>
              </w:rPr>
              <w:t>C</w:t>
            </w:r>
            <w:r w:rsidR="007C120D" w:rsidRPr="00E320BC">
              <w:rPr>
                <w:rFonts w:ascii="Calibri" w:hAnsi="Calibri"/>
              </w:rPr>
              <w:t>zynniki zewnętrzne</w:t>
            </w:r>
          </w:p>
        </w:tc>
        <w:tc>
          <w:tcPr>
            <w:tcW w:w="6426" w:type="dxa"/>
          </w:tcPr>
          <w:p w:rsidR="007C120D" w:rsidRPr="00E320BC"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Wykorzystanie w rozwoju społeczno-gospodarczym nowych koncepcji, trendów i praktyk rozwoju gospodarki lokalnej w tym z wykorzystaniem ekonomii społecznej, srebrnej ekonomii i energetyki odnawialnej, itp.);</w:t>
            </w:r>
          </w:p>
          <w:p w:rsidR="007C120D"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 xml:space="preserve">Rosnąca rola i </w:t>
            </w:r>
            <w:proofErr w:type="gramStart"/>
            <w:r w:rsidRPr="00E320BC">
              <w:rPr>
                <w:rFonts w:ascii="Calibri" w:eastAsia="Candara" w:hAnsi="Calibri" w:cs="Times New Roman"/>
                <w:sz w:val="21"/>
                <w:szCs w:val="21"/>
              </w:rPr>
              <w:t>znaczenie jakości</w:t>
            </w:r>
            <w:proofErr w:type="gramEnd"/>
            <w:r w:rsidRPr="00E320BC">
              <w:rPr>
                <w:rFonts w:ascii="Calibri" w:eastAsia="Candara" w:hAnsi="Calibri" w:cs="Times New Roman"/>
                <w:sz w:val="21"/>
                <w:szCs w:val="21"/>
              </w:rPr>
              <w:t xml:space="preserve"> życia jako celu nadrzędnego działań i polityk władz samorządowych na szczeblu lokalnym i regionalnym;</w:t>
            </w:r>
          </w:p>
          <w:p w:rsidR="007C120D" w:rsidRDefault="007C120D" w:rsidP="00A13FA7">
            <w:pPr>
              <w:numPr>
                <w:ilvl w:val="0"/>
                <w:numId w:val="12"/>
              </w:numPr>
              <w:ind w:left="317"/>
              <w:contextualSpacing/>
              <w:cnfStyle w:val="000000100000" w:firstRow="0" w:lastRow="0" w:firstColumn="0" w:lastColumn="0" w:oddVBand="0" w:evenVBand="0" w:oddHBand="1" w:evenHBand="0" w:firstRowFirstColumn="0" w:firstRowLastColumn="0" w:lastRowFirstColumn="0" w:lastRowLastColumn="0"/>
            </w:pPr>
            <w:r w:rsidRPr="00E320BC">
              <w:rPr>
                <w:rFonts w:ascii="Calibri" w:eastAsia="Candara" w:hAnsi="Calibri" w:cs="Times New Roman"/>
                <w:sz w:val="21"/>
                <w:szCs w:val="21"/>
              </w:rPr>
              <w:t xml:space="preserve">Bliska i harmonijna współpraca władz gminy miejskiej i wiejskiej w zakresie </w:t>
            </w:r>
            <w:proofErr w:type="gramStart"/>
            <w:r w:rsidRPr="00E320BC">
              <w:rPr>
                <w:rFonts w:ascii="Calibri" w:eastAsia="Candara" w:hAnsi="Calibri" w:cs="Times New Roman"/>
                <w:sz w:val="21"/>
                <w:szCs w:val="21"/>
              </w:rPr>
              <w:t>poprawy jako</w:t>
            </w:r>
            <w:r>
              <w:rPr>
                <w:rFonts w:ascii="Calibri" w:eastAsia="Candara" w:hAnsi="Calibri" w:cs="Times New Roman"/>
                <w:sz w:val="21"/>
                <w:szCs w:val="21"/>
              </w:rPr>
              <w:t>ści</w:t>
            </w:r>
            <w:proofErr w:type="gramEnd"/>
            <w:r>
              <w:rPr>
                <w:rFonts w:ascii="Calibri" w:eastAsia="Candara" w:hAnsi="Calibri" w:cs="Times New Roman"/>
                <w:sz w:val="21"/>
                <w:szCs w:val="21"/>
              </w:rPr>
              <w:t xml:space="preserve"> życia na całym obszarze HOF.</w:t>
            </w:r>
          </w:p>
        </w:tc>
        <w:tc>
          <w:tcPr>
            <w:tcW w:w="6439" w:type="dxa"/>
            <w:shd w:val="clear" w:color="auto" w:fill="FFFFCC"/>
          </w:tcPr>
          <w:p w:rsidR="007C120D"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Imigracja ekonomiczna z Ukrainy, pogłębiająca zjawisko bezrobocia, obciążenia systemu pomocy społecznej oraz wzrost zjawisk patologicznych;</w:t>
            </w:r>
          </w:p>
          <w:p w:rsidR="007C120D" w:rsidRPr="00E320BC"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Pogłębiająca się ekspansja chorób cywilizacyjnych wśród społeczności powodująca znaczne obciążenie systemu opieki zdrowotnej i pomocy społecznej;</w:t>
            </w:r>
          </w:p>
          <w:p w:rsidR="007C120D" w:rsidRDefault="007C120D" w:rsidP="00A13FA7">
            <w:pPr>
              <w:numPr>
                <w:ilvl w:val="0"/>
                <w:numId w:val="12"/>
              </w:numPr>
              <w:ind w:left="387"/>
              <w:contextualSpacing/>
              <w:cnfStyle w:val="000000100000" w:firstRow="0" w:lastRow="0" w:firstColumn="0" w:lastColumn="0" w:oddVBand="0" w:evenVBand="0" w:oddHBand="1" w:evenHBand="0" w:firstRowFirstColumn="0" w:firstRowLastColumn="0" w:lastRowFirstColumn="0" w:lastRowLastColumn="0"/>
            </w:pPr>
            <w:r w:rsidRPr="00E320BC">
              <w:rPr>
                <w:rFonts w:ascii="Calibri" w:eastAsia="Candara" w:hAnsi="Calibri" w:cs="Times New Roman"/>
                <w:sz w:val="21"/>
                <w:szCs w:val="21"/>
              </w:rPr>
              <w:t>Wpływ pandemii COVID-19 również na dziedziny życia na terenie HOF</w:t>
            </w:r>
            <w:r>
              <w:rPr>
                <w:rFonts w:ascii="Calibri" w:eastAsia="Candara" w:hAnsi="Calibri" w:cs="Times New Roman"/>
                <w:sz w:val="21"/>
                <w:szCs w:val="21"/>
              </w:rPr>
              <w:t xml:space="preserve"> </w:t>
            </w:r>
            <w:proofErr w:type="gramStart"/>
            <w:r>
              <w:rPr>
                <w:rFonts w:ascii="Calibri" w:eastAsia="Candara" w:hAnsi="Calibri" w:cs="Times New Roman"/>
                <w:sz w:val="21"/>
                <w:szCs w:val="21"/>
              </w:rPr>
              <w:t>nie związane</w:t>
            </w:r>
            <w:proofErr w:type="gramEnd"/>
            <w:r>
              <w:rPr>
                <w:rFonts w:ascii="Calibri" w:eastAsia="Candara" w:hAnsi="Calibri" w:cs="Times New Roman"/>
                <w:sz w:val="21"/>
                <w:szCs w:val="21"/>
              </w:rPr>
              <w:t xml:space="preserve"> z gospodarką</w:t>
            </w:r>
            <w:r w:rsidRPr="00E320BC">
              <w:rPr>
                <w:rFonts w:ascii="Calibri" w:eastAsia="Candara" w:hAnsi="Calibri" w:cs="Times New Roman"/>
                <w:sz w:val="21"/>
                <w:szCs w:val="21"/>
              </w:rPr>
              <w:t xml:space="preserve">: relacje międzyludzkie, kultura i administracja publiczna. </w:t>
            </w:r>
          </w:p>
        </w:tc>
      </w:tr>
      <w:tr w:rsidR="007C120D" w:rsidTr="004F6FE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5" w:type="dxa"/>
            <w:shd w:val="clear" w:color="auto" w:fill="D5F0FE" w:themeFill="accent1" w:themeFillTint="33"/>
          </w:tcPr>
          <w:p w:rsidR="007C120D" w:rsidRDefault="007C120D" w:rsidP="0092770D"/>
        </w:tc>
        <w:tc>
          <w:tcPr>
            <w:tcW w:w="12865" w:type="dxa"/>
            <w:gridSpan w:val="2"/>
            <w:shd w:val="clear" w:color="auto" w:fill="D5F0FE" w:themeFill="accent1" w:themeFillTint="33"/>
          </w:tcPr>
          <w:p w:rsidR="00064269" w:rsidRPr="007D70AB" w:rsidRDefault="007C120D" w:rsidP="00064269">
            <w:pPr>
              <w:jc w:val="center"/>
              <w:cnfStyle w:val="000000010000" w:firstRow="0" w:lastRow="0" w:firstColumn="0" w:lastColumn="0" w:oddVBand="0" w:evenVBand="0" w:oddHBand="0" w:evenHBand="1" w:firstRowFirstColumn="0" w:firstRowLastColumn="0" w:lastRowFirstColumn="0" w:lastRowLastColumn="0"/>
              <w:rPr>
                <w:b/>
              </w:rPr>
            </w:pPr>
            <w:r w:rsidRPr="007D70AB">
              <w:rPr>
                <w:b/>
              </w:rPr>
              <w:t>GOSPODARKA</w:t>
            </w:r>
          </w:p>
        </w:tc>
      </w:tr>
      <w:tr w:rsidR="007C120D" w:rsidTr="004F6FE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55" w:type="dxa"/>
            <w:vMerge w:val="restart"/>
            <w:shd w:val="clear" w:color="auto" w:fill="FFFFFF" w:themeFill="background1"/>
            <w:textDirection w:val="btLr"/>
            <w:vAlign w:val="center"/>
          </w:tcPr>
          <w:p w:rsidR="007C120D" w:rsidRDefault="004F6CB8" w:rsidP="004F6CB8">
            <w:pPr>
              <w:ind w:left="113" w:right="113" w:firstLine="0"/>
              <w:jc w:val="center"/>
            </w:pPr>
            <w:r>
              <w:t>Czynniki wewnętrzne</w:t>
            </w:r>
          </w:p>
        </w:tc>
        <w:tc>
          <w:tcPr>
            <w:tcW w:w="6426" w:type="dxa"/>
            <w:tcBorders>
              <w:bottom w:val="single" w:sz="4" w:space="0" w:color="auto"/>
            </w:tcBorders>
            <w:shd w:val="clear" w:color="auto" w:fill="92D050"/>
          </w:tcPr>
          <w:p w:rsidR="007C120D" w:rsidRPr="00940BAB" w:rsidRDefault="007C120D" w:rsidP="0092770D">
            <w:pPr>
              <w:ind w:firstLine="0"/>
              <w:jc w:val="center"/>
              <w:cnfStyle w:val="000000100000" w:firstRow="0" w:lastRow="0" w:firstColumn="0" w:lastColumn="0" w:oddVBand="0" w:evenVBand="0" w:oddHBand="1" w:evenHBand="0" w:firstRowFirstColumn="0" w:firstRowLastColumn="0" w:lastRowFirstColumn="0" w:lastRowLastColumn="0"/>
              <w:rPr>
                <w:b/>
              </w:rPr>
            </w:pPr>
            <w:r w:rsidRPr="00940BAB">
              <w:rPr>
                <w:b/>
              </w:rPr>
              <w:t>Mocne strony</w:t>
            </w:r>
          </w:p>
        </w:tc>
        <w:tc>
          <w:tcPr>
            <w:tcW w:w="6439" w:type="dxa"/>
            <w:tcBorders>
              <w:bottom w:val="single" w:sz="4" w:space="0" w:color="auto"/>
            </w:tcBorders>
            <w:shd w:val="clear" w:color="auto" w:fill="FF0000"/>
          </w:tcPr>
          <w:p w:rsidR="007C120D" w:rsidRPr="00940BAB" w:rsidRDefault="007C120D" w:rsidP="0092770D">
            <w:pPr>
              <w:ind w:firstLine="16"/>
              <w:jc w:val="center"/>
              <w:cnfStyle w:val="000000100000" w:firstRow="0" w:lastRow="0" w:firstColumn="0" w:lastColumn="0" w:oddVBand="0" w:evenVBand="0" w:oddHBand="1" w:evenHBand="0" w:firstRowFirstColumn="0" w:firstRowLastColumn="0" w:lastRowFirstColumn="0" w:lastRowLastColumn="0"/>
              <w:rPr>
                <w:b/>
              </w:rPr>
            </w:pPr>
            <w:r w:rsidRPr="00940BAB">
              <w:rPr>
                <w:b/>
              </w:rPr>
              <w:t>Słabe strony</w:t>
            </w:r>
          </w:p>
        </w:tc>
      </w:tr>
      <w:tr w:rsidR="00064269" w:rsidTr="004F6FE0">
        <w:trPr>
          <w:cnfStyle w:val="000000010000" w:firstRow="0" w:lastRow="0" w:firstColumn="0" w:lastColumn="0" w:oddVBand="0" w:evenVBand="0" w:oddHBand="0" w:evenHBand="1"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55" w:type="dxa"/>
            <w:vMerge/>
            <w:shd w:val="clear" w:color="auto" w:fill="FFFFFF" w:themeFill="background1"/>
          </w:tcPr>
          <w:p w:rsidR="00064269" w:rsidRDefault="00064269" w:rsidP="0092770D"/>
        </w:tc>
        <w:tc>
          <w:tcPr>
            <w:tcW w:w="6426" w:type="dxa"/>
            <w:tcBorders>
              <w:top w:val="single" w:sz="4" w:space="0" w:color="auto"/>
              <w:bottom w:val="none" w:sz="0" w:space="0" w:color="auto"/>
            </w:tcBorders>
            <w:shd w:val="clear" w:color="auto" w:fill="DEF5E3" w:themeFill="accent3" w:themeFillTint="33"/>
          </w:tcPr>
          <w:p w:rsidR="00064269" w:rsidRPr="00E320BC"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Rozwijająca się specjalizacja produkcji rolnej (uwarunkowana uprawami o wysokich wymaganiach glebowych) w stopniu umożliwiającym konkurencyjność produktów na rynku regionalnym i krajowym;</w:t>
            </w:r>
          </w:p>
          <w:p w:rsidR="00064269" w:rsidRPr="00884C10"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884C10">
              <w:rPr>
                <w:rFonts w:ascii="Calibri" w:eastAsia="Candara" w:hAnsi="Calibri" w:cs="Times New Roman"/>
              </w:rPr>
              <w:t xml:space="preserve">Dość wysoka skłonność mieszkańców do podejmowania działalności gospodarczej, która przejawia się w wysokiej liczbie </w:t>
            </w:r>
            <w:r w:rsidRPr="00884C10">
              <w:rPr>
                <w:rFonts w:ascii="Calibri" w:eastAsia="Candara" w:hAnsi="Calibri" w:cs="Times New Roman"/>
              </w:rPr>
              <w:lastRenderedPageBreak/>
              <w:t>nowo rejestrowanych podmiotów w systemie REGON;</w:t>
            </w:r>
          </w:p>
          <w:p w:rsidR="00064269" w:rsidRPr="00E320BC"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Stosunkowo łatwy dostęp do tanich i wykwalifikowanych zasobów pracy z Ukrainy, co pozwala na podtrzymanie bieżącego funkcjonowania lokalnego rolnictwa i gospodarki;</w:t>
            </w:r>
          </w:p>
          <w:p w:rsidR="00064269" w:rsidRPr="00E320BC"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Prowadzenie przez gminy HOF przyjaznej polityki podatkowej wobec przedsiębiorców (poprzez niższe stawki podatkowe i zwolnienia w formie pomocy de minimis);</w:t>
            </w:r>
          </w:p>
          <w:p w:rsidR="00064269" w:rsidRPr="00E320BC"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Rodzima przedsiębiorczość oraz firmy rodzinne – osoby związane z HOF, </w:t>
            </w:r>
            <w:r w:rsidRPr="00E320BC">
              <w:rPr>
                <w:rFonts w:ascii="Calibri" w:eastAsia="Candara" w:hAnsi="Calibri" w:cs="Candara"/>
              </w:rPr>
              <w:t>których przywiązanie i lojalność do HOF można wykorzystać do uruchomienia nowych form współdziałania i rozwoju lokalnej przedsiębiorczości;</w:t>
            </w:r>
          </w:p>
          <w:p w:rsidR="00064269" w:rsidRPr="00E320BC"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Dostępność infrastruktury LHS i </w:t>
            </w:r>
            <w:proofErr w:type="gramStart"/>
            <w:r w:rsidRPr="00E320BC">
              <w:rPr>
                <w:rFonts w:ascii="Calibri" w:eastAsia="Candara" w:hAnsi="Calibri" w:cs="Times New Roman"/>
              </w:rPr>
              <w:t>terenów wokół, co</w:t>
            </w:r>
            <w:proofErr w:type="gramEnd"/>
            <w:r w:rsidRPr="00E320BC">
              <w:rPr>
                <w:rFonts w:ascii="Calibri" w:eastAsia="Candara" w:hAnsi="Calibri" w:cs="Times New Roman"/>
              </w:rPr>
              <w:t xml:space="preserve"> może stanowić dobrą podstawę do rozwoju centrum logistycznego na tym obszarze;</w:t>
            </w:r>
          </w:p>
          <w:p w:rsidR="00064269" w:rsidRPr="00E320BC"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Candara"/>
              </w:rPr>
              <w:t>Duże znaczenie sektora usług niekomercyjnych (publicznych) oraz służb mundurowych dla lokalnego rynku pracy;</w:t>
            </w:r>
          </w:p>
          <w:p w:rsidR="00064269" w:rsidRPr="00E320BC"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 xml:space="preserve">Dostępność terenów inwestycyjnych przeznaczonych w miejscowym planie do prowadzenia i rozwoju działalności; </w:t>
            </w:r>
          </w:p>
          <w:p w:rsidR="00064269" w:rsidRPr="00E320BC"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Dość wysoka skuteczność gmin HOF w pozyskiwaniu środków zewnętrznych na rozwój infrastruktury technicznej i społecznej, co może stanowić dobrą przesłankę do podnoszenia jej atrakcyjności inwestycyjnej.</w:t>
            </w:r>
          </w:p>
          <w:p w:rsidR="00064269" w:rsidRPr="00E320BC"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Bogate dziedzictwo kulturowe i wysokie walory krajobrazowe umożliwiają rozwój usług turystycznych oraz są szansą na wykreowanie produktu turystycznego (np. wioska Gotów/</w:t>
            </w:r>
            <w:proofErr w:type="spellStart"/>
            <w:r w:rsidRPr="00E320BC">
              <w:rPr>
                <w:rFonts w:ascii="Calibri" w:eastAsia="Candara" w:hAnsi="Calibri" w:cs="Times New Roman"/>
              </w:rPr>
              <w:t>Gotania</w:t>
            </w:r>
            <w:proofErr w:type="spellEnd"/>
            <w:r w:rsidRPr="00E320BC">
              <w:rPr>
                <w:rFonts w:ascii="Calibri" w:eastAsia="Candara" w:hAnsi="Calibri" w:cs="Times New Roman"/>
              </w:rPr>
              <w:t xml:space="preserve"> w skansenie w miejscowości </w:t>
            </w:r>
            <w:proofErr w:type="spellStart"/>
            <w:r w:rsidRPr="00E320BC">
              <w:rPr>
                <w:rFonts w:ascii="Calibri" w:eastAsia="Candara" w:hAnsi="Calibri" w:cs="Times New Roman"/>
              </w:rPr>
              <w:t>Masłomęcz</w:t>
            </w:r>
            <w:proofErr w:type="spellEnd"/>
            <w:r w:rsidRPr="00E320BC">
              <w:rPr>
                <w:rFonts w:ascii="Calibri" w:eastAsia="Candara" w:hAnsi="Calibri" w:cs="Times New Roman"/>
              </w:rPr>
              <w:t>);</w:t>
            </w:r>
          </w:p>
          <w:p w:rsidR="004F6CB8" w:rsidRPr="004F6CB8"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b/>
              </w:rPr>
            </w:pPr>
            <w:r w:rsidRPr="00E320BC">
              <w:rPr>
                <w:rFonts w:ascii="Calibri" w:eastAsia="Candara" w:hAnsi="Calibri" w:cs="Times New Roman"/>
              </w:rPr>
              <w:t xml:space="preserve">Dobre warunki do rozwoju dzielności gospodarczej opartej na energetyce odnawialnej, szczególnie solarnej w związku z doskonałym nasłonecznieniem obszaru; </w:t>
            </w:r>
          </w:p>
          <w:p w:rsidR="00064269" w:rsidRPr="00940BAB" w:rsidRDefault="00064269"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b/>
              </w:rPr>
            </w:pPr>
            <w:r w:rsidRPr="00E320BC">
              <w:rPr>
                <w:rFonts w:ascii="Calibri" w:eastAsia="Candara" w:hAnsi="Calibri" w:cs="Times New Roman"/>
              </w:rPr>
              <w:t xml:space="preserve">Szeroka współpraca obu gmin HOF w zakresie realizacji wspólnych inwestycji i działania podnoszące atrakcyjność inwestycyjną i mieszkaniową Obszaru Funkcjonalnego.  </w:t>
            </w:r>
          </w:p>
        </w:tc>
        <w:tc>
          <w:tcPr>
            <w:tcW w:w="6439" w:type="dxa"/>
            <w:tcBorders>
              <w:top w:val="single" w:sz="4" w:space="0" w:color="auto"/>
              <w:bottom w:val="none" w:sz="0" w:space="0" w:color="auto"/>
            </w:tcBorders>
            <w:shd w:val="clear" w:color="auto" w:fill="FDA69D"/>
          </w:tcPr>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lastRenderedPageBreak/>
              <w:t>Brak atrakcyjnych ofert pracy, niedostateczna liczba małych i średnich podmiotów gospodarki narodowej oferujących miejsca pracy;</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Pr>
                <w:rFonts w:ascii="Calibri" w:eastAsia="Candara" w:hAnsi="Calibri" w:cs="Times New Roman"/>
              </w:rPr>
              <w:t>N</w:t>
            </w:r>
            <w:r w:rsidRPr="00E320BC">
              <w:rPr>
                <w:rFonts w:ascii="Calibri" w:eastAsia="Candara" w:hAnsi="Calibri" w:cs="Times New Roman"/>
              </w:rPr>
              <w:t xml:space="preserve">iska atrakcyjność inwestycyjna HOF, (tu lepiej wypada obszar miejski), na którą wpływa między innymi peryferyjne położenie obszaru, słaba zewnętrzna dostępność komunikacyjna i zły stan </w:t>
            </w:r>
            <w:r w:rsidRPr="00E320BC">
              <w:rPr>
                <w:rFonts w:ascii="Calibri" w:eastAsia="Candara" w:hAnsi="Calibri" w:cs="Times New Roman"/>
              </w:rPr>
              <w:lastRenderedPageBreak/>
              <w:t>głównych dróg dojazdowych;</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W opinii mieszkańców na terenie HOF występują trudne warunki do prowadzenia działalności gospodarczej;</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Candara"/>
              </w:rPr>
              <w:t>Dość wysoka dynamika wyrejestrowywania podmiotów z systemu REGON, krótki okres funkcjonowania nowo powstałych podmiotów;</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Ograniczony dostęp do instytucji otoczenia biznesu w HOF (niewystarczająca liczba podmiotów);</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Bariery w rozwoju rolnictwa i budowania bazy surowcowej spowodowane brakiem podmiotów otoczenia rolnictwa i przetwórstwa;</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Niewielka promocja i dystrybucja produktów rolnych oraz brak współpracy rolników w tym zakresie;</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Candara"/>
              </w:rPr>
              <w:t>Bardzo słabo rozwinięty sektor przemysłu, brakuje dużych podmiotów gospodarczych zapewniających liczne miejsca pracy, jak również możliwość generowania nowych inwestycji (m.in. poprzez kooperację);</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Candara"/>
              </w:rPr>
              <w:t>Niedostatecznie rozwinięta wyspecjalizowana działalność gospodarcza, deficyt firm obserwuje się w branżach wiedzo- i techno-chłonnych;</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Niska wartość dodana w gospodarce lokalnej, czego przejawem jest niska rentowność i dochodowość z działalności prowadzonej przez przedsiębiorców;</w:t>
            </w:r>
          </w:p>
          <w:p w:rsidR="00064269" w:rsidRPr="00E320BC"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rPr>
            </w:pPr>
            <w:r w:rsidRPr="00E320BC">
              <w:rPr>
                <w:rFonts w:ascii="Calibri" w:eastAsia="Candara" w:hAnsi="Calibri" w:cs="Times New Roman"/>
              </w:rPr>
              <w:t>Słabo rozwinięty lokalny rynek pracy, zbyt duża liczba pracujących w sektorze usług nierynkowych;</w:t>
            </w:r>
          </w:p>
          <w:p w:rsidR="004F6CB8" w:rsidRPr="004F6CB8"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b/>
              </w:rPr>
            </w:pPr>
            <w:r w:rsidRPr="00E320BC">
              <w:rPr>
                <w:rFonts w:ascii="Calibri" w:eastAsia="Candara" w:hAnsi="Calibri" w:cs="Times New Roman"/>
              </w:rPr>
              <w:t>Niski poziom rozwoju lokalnej przedsiębiorczości, oceniany głównie przez pryzmat wielkości zatrudnienia i formy prawnej działających firm lokalnych, skali ich działania na rynkach oraz zdolności inwestycyjnej;</w:t>
            </w:r>
          </w:p>
          <w:p w:rsidR="00064269" w:rsidRPr="00940BAB" w:rsidRDefault="00064269"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b/>
              </w:rPr>
            </w:pPr>
            <w:r w:rsidRPr="00E320BC">
              <w:rPr>
                <w:rFonts w:ascii="Calibri" w:eastAsia="Candara" w:hAnsi="Calibri" w:cs="Times New Roman"/>
              </w:rPr>
              <w:t xml:space="preserve">Niewystarczająco rozwinięte nauczanie techniczne oraz zasadnicze i zawodowe w powiecie hrubieszowskim, mające </w:t>
            </w:r>
            <w:proofErr w:type="gramStart"/>
            <w:r w:rsidRPr="00E320BC">
              <w:rPr>
                <w:rFonts w:ascii="Calibri" w:eastAsia="Candara" w:hAnsi="Calibri" w:cs="Times New Roman"/>
              </w:rPr>
              <w:t>wpływ na jakość</w:t>
            </w:r>
            <w:proofErr w:type="gramEnd"/>
            <w:r w:rsidRPr="00E320BC">
              <w:rPr>
                <w:rFonts w:ascii="Calibri" w:eastAsia="Candara" w:hAnsi="Calibri" w:cs="Times New Roman"/>
              </w:rPr>
              <w:t xml:space="preserve"> lokalnych zasobów kadrowych. </w:t>
            </w:r>
          </w:p>
        </w:tc>
      </w:tr>
      <w:tr w:rsidR="004F6FE0" w:rsidTr="008376F0">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1355" w:type="dxa"/>
            <w:vMerge w:val="restart"/>
            <w:shd w:val="clear" w:color="auto" w:fill="FFFFFF" w:themeFill="background1"/>
            <w:textDirection w:val="btLr"/>
          </w:tcPr>
          <w:p w:rsidR="004F6FE0" w:rsidRDefault="008376F0" w:rsidP="008376F0">
            <w:pPr>
              <w:ind w:left="113" w:right="113" w:firstLine="0"/>
            </w:pPr>
            <w:r>
              <w:lastRenderedPageBreak/>
              <w:t>Czynniki zewnętrzne</w:t>
            </w:r>
          </w:p>
        </w:tc>
        <w:tc>
          <w:tcPr>
            <w:tcW w:w="6426" w:type="dxa"/>
            <w:tcBorders>
              <w:top w:val="none" w:sz="0" w:space="0" w:color="auto"/>
            </w:tcBorders>
            <w:shd w:val="clear" w:color="auto" w:fill="00B0F0"/>
          </w:tcPr>
          <w:p w:rsidR="004F6FE0" w:rsidRPr="00E320BC" w:rsidRDefault="004F6FE0" w:rsidP="008376F0">
            <w:pPr>
              <w:ind w:left="-43"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b/>
                <w:sz w:val="24"/>
              </w:rPr>
              <w:t>Szanse</w:t>
            </w:r>
          </w:p>
        </w:tc>
        <w:tc>
          <w:tcPr>
            <w:tcW w:w="6439" w:type="dxa"/>
            <w:tcBorders>
              <w:top w:val="none" w:sz="0" w:space="0" w:color="auto"/>
            </w:tcBorders>
            <w:shd w:val="clear" w:color="auto" w:fill="FFC000"/>
          </w:tcPr>
          <w:p w:rsidR="004F6FE0" w:rsidRPr="00E320BC" w:rsidRDefault="004F6FE0" w:rsidP="008376F0">
            <w:pPr>
              <w:ind w:left="27"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ndara" w:hAnsi="Calibri" w:cs="Times New Roman"/>
              </w:rPr>
            </w:pPr>
            <w:r w:rsidRPr="00E320BC">
              <w:rPr>
                <w:rFonts w:ascii="Calibri" w:eastAsia="Candara" w:hAnsi="Calibri" w:cs="Times New Roman"/>
                <w:b/>
                <w:sz w:val="24"/>
              </w:rPr>
              <w:t>Zagrożenia</w:t>
            </w:r>
          </w:p>
        </w:tc>
      </w:tr>
      <w:tr w:rsidR="004F6FE0" w:rsidTr="004F6FE0">
        <w:trPr>
          <w:cnfStyle w:val="000000010000" w:firstRow="0" w:lastRow="0" w:firstColumn="0" w:lastColumn="0" w:oddVBand="0" w:evenVBand="0" w:oddHBand="0" w:evenHBand="1" w:firstRowFirstColumn="0" w:firstRowLastColumn="0" w:lastRowFirstColumn="0" w:lastRowLastColumn="0"/>
          <w:trHeight w:val="401"/>
        </w:trPr>
        <w:tc>
          <w:tcPr>
            <w:cnfStyle w:val="001000000000" w:firstRow="0" w:lastRow="0" w:firstColumn="1" w:lastColumn="0" w:oddVBand="0" w:evenVBand="0" w:oddHBand="0" w:evenHBand="0" w:firstRowFirstColumn="0" w:firstRowLastColumn="0" w:lastRowFirstColumn="0" w:lastRowLastColumn="0"/>
            <w:tcW w:w="1355" w:type="dxa"/>
            <w:vMerge/>
            <w:shd w:val="clear" w:color="auto" w:fill="FFFFFF" w:themeFill="background1"/>
          </w:tcPr>
          <w:p w:rsidR="004F6FE0" w:rsidRDefault="004F6FE0" w:rsidP="0092770D"/>
        </w:tc>
        <w:tc>
          <w:tcPr>
            <w:tcW w:w="6426" w:type="dxa"/>
            <w:tcBorders>
              <w:top w:val="none" w:sz="0" w:space="0" w:color="auto"/>
            </w:tcBorders>
            <w:shd w:val="clear" w:color="auto" w:fill="D5F0FE" w:themeFill="accent1" w:themeFillTint="33"/>
          </w:tcPr>
          <w:p w:rsidR="004F6FE0" w:rsidRPr="00E320BC" w:rsidRDefault="004F6FE0"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Przyciągnięcie do HOF inwestycji z zewnątrz w tym firm zajmujących się przetwórstwem rolno-spożywczym m.in. poprzez dozbrojenie dostępnych terenów inwestycyjnych oraz realizację polityki promocji gospodarczej, prowadzonej w bliskiej współpracy z Urzędem Marszałkowskim Województwa Lubelskiego oraz agendami rządowymi, w tym PAIH, ARP, PFR itp.);</w:t>
            </w:r>
          </w:p>
          <w:p w:rsidR="004F6FE0" w:rsidRPr="00E320BC" w:rsidRDefault="004F6FE0"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 xml:space="preserve">Rozwój rolnictwa ekologicznego i produkcja żywności certyfikowanej oparte na istniejących zasobach naturalnych i wykorzystanie trendu w społeczeństwie związanego ze zdrowym trybem życia; </w:t>
            </w:r>
          </w:p>
          <w:p w:rsidR="004F6FE0" w:rsidRPr="00E320BC" w:rsidRDefault="004F6FE0"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Rozwój współpracy sieciowej przedsiębiorstw z wykorzystaniem najlepszych praktyk i nowych modeli biznesowych, w tym klastra energetycznego i rolno-spożywczego, partnerstw publiczno-prywatnych itp.;</w:t>
            </w:r>
          </w:p>
          <w:p w:rsidR="004F6FE0" w:rsidRPr="00E320BC" w:rsidRDefault="004F6FE0"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Rozwój produktu turystycznego w oparciu o dziedzictwo i wybraną infrastrukturę ziemi hrubieszowskiej, w tym wykorzystanie potencjału „</w:t>
            </w:r>
            <w:proofErr w:type="spellStart"/>
            <w:r w:rsidRPr="00E320BC">
              <w:rPr>
                <w:rFonts w:ascii="Calibri" w:eastAsia="Candara" w:hAnsi="Calibri" w:cs="Times New Roman"/>
                <w:sz w:val="21"/>
                <w:szCs w:val="21"/>
              </w:rPr>
              <w:t>Gotanii</w:t>
            </w:r>
            <w:proofErr w:type="spellEnd"/>
            <w:r w:rsidRPr="00E320BC">
              <w:rPr>
                <w:rFonts w:ascii="Calibri" w:eastAsia="Candara" w:hAnsi="Calibri" w:cs="Times New Roman"/>
                <w:sz w:val="21"/>
                <w:szCs w:val="21"/>
              </w:rPr>
              <w:t>”, podziemi Hrubieszowa;</w:t>
            </w:r>
          </w:p>
          <w:p w:rsidR="004F6FE0" w:rsidRPr="00E320BC" w:rsidRDefault="004F6FE0"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Dostępne źródła finansowania rozwoju różnych elementów infrastruktury i form turystyki zintegrowanej (np. w ramach PO Polska Wschodnia, PROW, RPO WL);</w:t>
            </w:r>
          </w:p>
          <w:p w:rsidR="004F6FE0" w:rsidRPr="00E320BC" w:rsidRDefault="004F6FE0"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Bliska współpraca z samorządem województwa w zakresie wdrażania dokumentów strategicznych istotnych z punktu widzenia rozwoju HOF i kreowania jego nowych funkcji rozwojowych (w tym OSI Żywicielski), w tym Strategii Rozwoju Województwa Lubelskiego do roku 2030 oraz Ponadlokalnej Strategii Rozwoju Hrubieszowskiego Obszaru Funkcjonalnego;</w:t>
            </w:r>
          </w:p>
          <w:p w:rsidR="004F6FE0" w:rsidRPr="004F6CB8" w:rsidRDefault="004F6FE0" w:rsidP="00A13FA7">
            <w:pPr>
              <w:numPr>
                <w:ilvl w:val="0"/>
                <w:numId w:val="12"/>
              </w:numPr>
              <w:ind w:left="31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b/>
                <w:sz w:val="24"/>
              </w:rPr>
            </w:pPr>
            <w:r w:rsidRPr="00E320BC">
              <w:rPr>
                <w:rFonts w:ascii="Calibri" w:eastAsia="Candara" w:hAnsi="Calibri" w:cs="Times New Roman"/>
                <w:sz w:val="21"/>
                <w:szCs w:val="21"/>
              </w:rPr>
              <w:t>Unijne polityki, strategie i instrumenty finansowe wspierające rozwój sektora rolno-spożywczego w ramach krótkich łańcuchów dostaw (patrz Europejski Zielony Ład, Strategia UE od Pola do Stołu);</w:t>
            </w:r>
          </w:p>
          <w:p w:rsidR="004F6FE0" w:rsidRPr="008376F0" w:rsidRDefault="004F6FE0" w:rsidP="00A13FA7">
            <w:pPr>
              <w:pStyle w:val="Akapitzlist"/>
              <w:numPr>
                <w:ilvl w:val="0"/>
                <w:numId w:val="12"/>
              </w:numPr>
              <w:ind w:left="346"/>
              <w:cnfStyle w:val="000000010000" w:firstRow="0" w:lastRow="0" w:firstColumn="0" w:lastColumn="0" w:oddVBand="0" w:evenVBand="0" w:oddHBand="0" w:evenHBand="1" w:firstRowFirstColumn="0" w:firstRowLastColumn="0" w:lastRowFirstColumn="0" w:lastRowLastColumn="0"/>
              <w:rPr>
                <w:rFonts w:eastAsia="Candara" w:cs="Times New Roman"/>
              </w:rPr>
            </w:pPr>
            <w:r w:rsidRPr="008376F0">
              <w:rPr>
                <w:rFonts w:eastAsia="Candara" w:cs="Times New Roman"/>
                <w:sz w:val="21"/>
                <w:szCs w:val="21"/>
              </w:rPr>
              <w:t>Optymalne wykorzystanie środków pochodzących z Krajowego Planu Odbudowy, Polskiego Ładu oraz innych programów krajowych i Regionalnego Programu Operacyjnego na potrzeby rozwoju gospodarczego i społecznego.</w:t>
            </w:r>
          </w:p>
        </w:tc>
        <w:tc>
          <w:tcPr>
            <w:tcW w:w="6439" w:type="dxa"/>
            <w:tcBorders>
              <w:top w:val="none" w:sz="0" w:space="0" w:color="auto"/>
            </w:tcBorders>
            <w:shd w:val="clear" w:color="auto" w:fill="FFFFCC"/>
          </w:tcPr>
          <w:p w:rsidR="004F6FE0" w:rsidRPr="00E320BC" w:rsidRDefault="004F6FE0"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Niepewność w zakresie prowadzenia polityki fiskalnej samorządów, wynikająca ze zmieniających się regulacji prawnych (m.in. wzrastające wydatki na oświatę oraz administrację publiczną);</w:t>
            </w:r>
          </w:p>
          <w:p w:rsidR="004F6FE0" w:rsidRPr="00E320BC" w:rsidRDefault="004F6FE0"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 xml:space="preserve">Kurczące się zasoby pracy związane z odchodzeniem wielu doświadczonych pracowników na emeryturę, bez możliwości zastąpienia ich nowymi pracownikami (na skutek utrzymującej się migracji młodych ludzi, niedostosowanego do potrzeb przedsiębiorców systemu kształcenia zawodowego); </w:t>
            </w:r>
          </w:p>
          <w:p w:rsidR="004F6FE0" w:rsidRPr="00E320BC" w:rsidRDefault="004F6FE0"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sz w:val="21"/>
                <w:szCs w:val="21"/>
              </w:rPr>
            </w:pPr>
            <w:r w:rsidRPr="00E320BC">
              <w:rPr>
                <w:rFonts w:ascii="Calibri" w:eastAsia="Candara" w:hAnsi="Calibri" w:cs="Times New Roman"/>
                <w:sz w:val="21"/>
                <w:szCs w:val="21"/>
              </w:rPr>
              <w:t xml:space="preserve">Utrzymujące się niekorzystne uwarunkowania globalne związane z pogłębiającą się recesją na świecie i długotrwałym kryzysem gospodarczym wywołanym pandemią </w:t>
            </w:r>
            <w:proofErr w:type="spellStart"/>
            <w:r w:rsidRPr="00E320BC">
              <w:rPr>
                <w:rFonts w:ascii="Calibri" w:eastAsia="Candara" w:hAnsi="Calibri" w:cs="Times New Roman"/>
                <w:sz w:val="21"/>
                <w:szCs w:val="21"/>
              </w:rPr>
              <w:t>koronawirusa</w:t>
            </w:r>
            <w:proofErr w:type="spellEnd"/>
            <w:r w:rsidRPr="00E320BC">
              <w:rPr>
                <w:rFonts w:ascii="Calibri" w:eastAsia="Candara" w:hAnsi="Calibri" w:cs="Times New Roman"/>
                <w:sz w:val="21"/>
                <w:szCs w:val="21"/>
              </w:rPr>
              <w:t>, które w odniesieniu do rozwoju HOF mogą prowadzić do zmniejszenia się liczby działających przedsiębiorstw oraz większej presji na system pomocy społecznej.</w:t>
            </w:r>
          </w:p>
          <w:p w:rsidR="004F6FE0" w:rsidRPr="004F6CB8" w:rsidRDefault="004F6FE0" w:rsidP="00A13FA7">
            <w:pPr>
              <w:numPr>
                <w:ilvl w:val="0"/>
                <w:numId w:val="12"/>
              </w:numPr>
              <w:ind w:left="387"/>
              <w:contextualSpacing/>
              <w:cnfStyle w:val="000000010000" w:firstRow="0" w:lastRow="0" w:firstColumn="0" w:lastColumn="0" w:oddVBand="0" w:evenVBand="0" w:oddHBand="0" w:evenHBand="1" w:firstRowFirstColumn="0" w:firstRowLastColumn="0" w:lastRowFirstColumn="0" w:lastRowLastColumn="0"/>
              <w:rPr>
                <w:rFonts w:ascii="Calibri" w:eastAsia="Candara" w:hAnsi="Calibri" w:cs="Times New Roman"/>
                <w:b/>
                <w:sz w:val="24"/>
              </w:rPr>
            </w:pPr>
            <w:r w:rsidRPr="00E320BC">
              <w:rPr>
                <w:rFonts w:ascii="Calibri" w:eastAsia="Candara" w:hAnsi="Calibri" w:cs="Times New Roman"/>
                <w:sz w:val="21"/>
                <w:szCs w:val="21"/>
              </w:rPr>
              <w:t>Ogólna stagnacja w rozwoju HOF i brak realnych szans na jego rozwój w najbliższych latach w związku kryzysem i trudną sytuację g</w:t>
            </w:r>
            <w:r>
              <w:rPr>
                <w:rFonts w:ascii="Calibri" w:eastAsia="Candara" w:hAnsi="Calibri" w:cs="Times New Roman"/>
                <w:sz w:val="21"/>
                <w:szCs w:val="21"/>
              </w:rPr>
              <w:t>ospodarczą w kraju i za granicą;</w:t>
            </w:r>
          </w:p>
          <w:p w:rsidR="004F6FE0" w:rsidRPr="008376F0" w:rsidRDefault="004F6FE0" w:rsidP="00A13FA7">
            <w:pPr>
              <w:pStyle w:val="Akapitzlist"/>
              <w:numPr>
                <w:ilvl w:val="0"/>
                <w:numId w:val="12"/>
              </w:numPr>
              <w:ind w:left="441"/>
              <w:cnfStyle w:val="000000010000" w:firstRow="0" w:lastRow="0" w:firstColumn="0" w:lastColumn="0" w:oddVBand="0" w:evenVBand="0" w:oddHBand="0" w:evenHBand="1" w:firstRowFirstColumn="0" w:firstRowLastColumn="0" w:lastRowFirstColumn="0" w:lastRowLastColumn="0"/>
              <w:rPr>
                <w:rFonts w:eastAsia="Candara" w:cs="Times New Roman"/>
              </w:rPr>
            </w:pPr>
            <w:r w:rsidRPr="008376F0">
              <w:rPr>
                <w:rFonts w:eastAsia="Candara" w:cs="Times New Roman"/>
                <w:sz w:val="21"/>
                <w:szCs w:val="21"/>
              </w:rPr>
              <w:t xml:space="preserve">Niechęć i niewiara przedsiębiorców w szanse rozwoju swego biznesu i obszaru HOF, na </w:t>
            </w:r>
            <w:proofErr w:type="gramStart"/>
            <w:r w:rsidRPr="008376F0">
              <w:rPr>
                <w:rFonts w:eastAsia="Candara" w:cs="Times New Roman"/>
                <w:sz w:val="21"/>
                <w:szCs w:val="21"/>
              </w:rPr>
              <w:t>terenie którego</w:t>
            </w:r>
            <w:proofErr w:type="gramEnd"/>
            <w:r w:rsidRPr="008376F0">
              <w:rPr>
                <w:rFonts w:eastAsia="Candara" w:cs="Times New Roman"/>
                <w:sz w:val="21"/>
                <w:szCs w:val="21"/>
              </w:rPr>
              <w:t xml:space="preserve"> działają.</w:t>
            </w:r>
          </w:p>
        </w:tc>
      </w:tr>
    </w:tbl>
    <w:p w:rsidR="00E320BC" w:rsidRPr="00005F31" w:rsidRDefault="00E320BC" w:rsidP="00005F31">
      <w:pPr>
        <w:pStyle w:val="Nagwek11"/>
        <w:numPr>
          <w:ilvl w:val="0"/>
          <w:numId w:val="0"/>
        </w:numPr>
        <w:sectPr w:rsidR="00E320BC" w:rsidRPr="00005F31" w:rsidSect="00E320BC">
          <w:pgSz w:w="16838" w:h="11906" w:orient="landscape"/>
          <w:pgMar w:top="1417" w:right="1417" w:bottom="1417" w:left="1417" w:header="708" w:footer="708" w:gutter="0"/>
          <w:cols w:space="708"/>
          <w:docGrid w:linePitch="360"/>
        </w:sectPr>
      </w:pPr>
    </w:p>
    <w:p w:rsidR="00E320BC" w:rsidRPr="00E320BC" w:rsidRDefault="00E320BC" w:rsidP="00C652EF">
      <w:pPr>
        <w:pStyle w:val="Nagwek11"/>
      </w:pPr>
      <w:bookmarkStart w:id="43" w:name="_Toc138068774"/>
      <w:r w:rsidRPr="00E320BC">
        <w:lastRenderedPageBreak/>
        <w:t>Wizja, misja i cele rozwoju</w:t>
      </w:r>
      <w:bookmarkEnd w:id="43"/>
    </w:p>
    <w:p w:rsidR="00E320BC" w:rsidRPr="00E320BC" w:rsidRDefault="00E320BC" w:rsidP="007E1012">
      <w:pPr>
        <w:keepNext/>
        <w:keepLines/>
        <w:spacing w:before="200"/>
        <w:ind w:left="851"/>
        <w:outlineLvl w:val="1"/>
        <w:rPr>
          <w:rFonts w:ascii="Candara" w:eastAsia="Times New Roman" w:hAnsi="Candara" w:cs="Times New Roman"/>
          <w:b/>
          <w:bCs/>
          <w:color w:val="31B6FD"/>
          <w:sz w:val="26"/>
          <w:szCs w:val="26"/>
        </w:rPr>
      </w:pPr>
      <w:bookmarkStart w:id="44" w:name="_Toc138068775"/>
      <w:r w:rsidRPr="00E320BC">
        <w:rPr>
          <w:rFonts w:ascii="Candara" w:eastAsia="Times New Roman" w:hAnsi="Candara" w:cs="Times New Roman"/>
          <w:b/>
          <w:bCs/>
          <w:color w:val="31B6FD"/>
          <w:sz w:val="26"/>
          <w:szCs w:val="26"/>
        </w:rPr>
        <w:t>3.1</w:t>
      </w:r>
      <w:r w:rsidRPr="00E320BC">
        <w:rPr>
          <w:rFonts w:ascii="Candara" w:eastAsia="Times New Roman" w:hAnsi="Candara" w:cs="Times New Roman"/>
          <w:b/>
          <w:bCs/>
          <w:color w:val="31B6FD"/>
          <w:sz w:val="26"/>
          <w:szCs w:val="26"/>
        </w:rPr>
        <w:tab/>
        <w:t>Wizja i misja</w:t>
      </w:r>
      <w:bookmarkEnd w:id="44"/>
    </w:p>
    <w:p w:rsidR="007E1012" w:rsidRDefault="007E1012" w:rsidP="00D8684B">
      <w:r w:rsidRPr="007E1012">
        <w:t>Strategia rozwoju ponadlokalnego Hrubieszowskiego Obszaru Funkcjonalnego na lata 2021 – 2030</w:t>
      </w:r>
      <w:r>
        <w:t xml:space="preserve"> </w:t>
      </w:r>
      <w:r w:rsidRPr="008F108A">
        <w:t xml:space="preserve">jest dokumentem, w którym zdiagnozowano aktualną sytuację społeczno-gospodarczą. Zwrócono uwagę zarówno na mocne i słabe strony, jak również na potencjały i bariery tego obszaru. Określona w  dokumencie misja i wizja to elementy strategii ukazujące najważniejsze kierunki rozwoju </w:t>
      </w:r>
      <w:r>
        <w:t>obszaru</w:t>
      </w:r>
      <w:r w:rsidRPr="008F108A">
        <w:t xml:space="preserve">. </w:t>
      </w:r>
    </w:p>
    <w:p w:rsidR="007214C8" w:rsidRPr="00082A66" w:rsidRDefault="007214C8" w:rsidP="00D8684B">
      <w:r w:rsidRPr="008F108A">
        <w:t xml:space="preserve">Wizja jest swoistym wyobrażeniem przyszłości, </w:t>
      </w:r>
      <w:r w:rsidR="00543879">
        <w:t xml:space="preserve">stanowi projekcję, opis pożądanego stanu </w:t>
      </w:r>
      <w:proofErr w:type="gramStart"/>
      <w:r w:rsidR="00543879">
        <w:t xml:space="preserve">rzeczywistości </w:t>
      </w:r>
      <w:r w:rsidRPr="008F108A">
        <w:t>do której</w:t>
      </w:r>
      <w:proofErr w:type="gramEnd"/>
      <w:r w:rsidRPr="008F108A">
        <w:t xml:space="preserve"> prowadzą działania kreowane przez Władze Gminy Hrubieszów</w:t>
      </w:r>
      <w:r>
        <w:t>, Gminy Miejskiej Hrubieszów</w:t>
      </w:r>
      <w:r w:rsidRPr="008F108A">
        <w:t xml:space="preserve"> i instytucji publicznych wyższego rzędu oraz działania partnerów realizujących Strategię. Wizja </w:t>
      </w:r>
      <w:r w:rsidR="00082A66">
        <w:t>Hrubieszowskiego Obszaru Funkcjonalnego w </w:t>
      </w:r>
      <w:r w:rsidRPr="008F108A">
        <w:t>perspektywie do 2030 roku powstała przy udziale społeczności lokalnej podczas procesu konsultacji i partycypa</w:t>
      </w:r>
      <w:r w:rsidRPr="008D5142">
        <w:t>cji społecznych.</w:t>
      </w:r>
      <w:r w:rsidRPr="008F108A">
        <w:t xml:space="preserve"> Treść wizji ma charakter opisowy i przedstawia oczekiwany </w:t>
      </w:r>
      <w:r w:rsidRPr="00082A66">
        <w:t>obraz przyszłości.</w:t>
      </w:r>
    </w:p>
    <w:p w:rsidR="00082A66" w:rsidRDefault="00347670" w:rsidP="007E1012">
      <w:pPr>
        <w:ind w:firstLine="708"/>
        <w:rPr>
          <w:b/>
        </w:rPr>
      </w:pPr>
      <w:r w:rsidRPr="00E320BC">
        <w:rPr>
          <w:rFonts w:ascii="Calibri" w:eastAsia="Candara" w:hAnsi="Calibri" w:cs="Times New Roman"/>
          <w:noProof/>
          <w:lang w:eastAsia="pl-PL"/>
        </w:rPr>
        <mc:AlternateContent>
          <mc:Choice Requires="wps">
            <w:drawing>
              <wp:anchor distT="0" distB="0" distL="114300" distR="114300" simplePos="0" relativeHeight="251713536" behindDoc="1" locked="0" layoutInCell="1" allowOverlap="1" wp14:anchorId="4781655A" wp14:editId="4A1A1672">
                <wp:simplePos x="0" y="0"/>
                <wp:positionH relativeFrom="column">
                  <wp:posOffset>-252095</wp:posOffset>
                </wp:positionH>
                <wp:positionV relativeFrom="paragraph">
                  <wp:posOffset>299720</wp:posOffset>
                </wp:positionV>
                <wp:extent cx="6213071" cy="4724400"/>
                <wp:effectExtent l="0" t="0" r="16510" b="19050"/>
                <wp:wrapNone/>
                <wp:docPr id="36" name="Prostokąt zaokrąglony 36"/>
                <wp:cNvGraphicFramePr/>
                <a:graphic xmlns:a="http://schemas.openxmlformats.org/drawingml/2006/main">
                  <a:graphicData uri="http://schemas.microsoft.com/office/word/2010/wordprocessingShape">
                    <wps:wsp>
                      <wps:cNvSpPr/>
                      <wps:spPr>
                        <a:xfrm>
                          <a:off x="0" y="0"/>
                          <a:ext cx="6213071" cy="4724400"/>
                        </a:xfrm>
                        <a:prstGeom prst="roundRect">
                          <a:avLst/>
                        </a:prstGeom>
                        <a:solidFill>
                          <a:srgbClr val="31B6FD">
                            <a:lumMod val="60000"/>
                            <a:lumOff val="40000"/>
                          </a:srgbClr>
                        </a:solidFill>
                        <a:ln w="15875" cap="flat" cmpd="sng" algn="ctr">
                          <a:solidFill>
                            <a:srgbClr val="31B6FD">
                              <a:shade val="50000"/>
                              <a:shade val="75000"/>
                              <a:lumMod val="80000"/>
                            </a:srgbClr>
                          </a:solidFill>
                          <a:prstDash val="solid"/>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Prostokąt zaokrąglony 36" o:spid="_x0000_s1026" style="position:absolute;margin-left:-19.85pt;margin-top:23.6pt;width:489.2pt;height:372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" fillcolor="#83d3fe" strokecolor="#165d83" strokeweight="1.25pt"/>
            </w:pict>
          </mc:Fallback>
        </mc:AlternateContent>
      </w:r>
      <w:r w:rsidR="00082A66" w:rsidRPr="00082A66">
        <w:rPr>
          <w:b/>
        </w:rPr>
        <w:t>Wizja Hrubieszowskiego Obszaru Funkcjonalnego:</w:t>
      </w:r>
    </w:p>
    <w:p w:rsidR="00543879" w:rsidRPr="00082A66" w:rsidRDefault="00543879" w:rsidP="007E1012">
      <w:pPr>
        <w:ind w:firstLine="708"/>
        <w:rPr>
          <w:b/>
        </w:rPr>
      </w:pPr>
    </w:p>
    <w:p w:rsidR="00082A66" w:rsidRPr="00347670" w:rsidRDefault="00082A66" w:rsidP="00082A66">
      <w:pPr>
        <w:rPr>
          <w:b/>
        </w:rPr>
      </w:pPr>
      <w:r w:rsidRPr="00347670">
        <w:rPr>
          <w:b/>
        </w:rPr>
        <w:t>W 2030 roku Hrubieszowski Obszar Funkcjonalny:</w:t>
      </w:r>
    </w:p>
    <w:p w:rsidR="00082A66" w:rsidRPr="00347670" w:rsidRDefault="00082A66" w:rsidP="00A13FA7">
      <w:pPr>
        <w:pStyle w:val="Akapitzlist"/>
        <w:numPr>
          <w:ilvl w:val="0"/>
          <w:numId w:val="17"/>
        </w:numPr>
        <w:spacing w:line="240" w:lineRule="auto"/>
        <w:rPr>
          <w:rFonts w:ascii="Times New Roman" w:hAnsi="Times New Roman" w:cs="Times New Roman"/>
          <w:b/>
          <w:sz w:val="24"/>
          <w:szCs w:val="24"/>
          <w:lang w:eastAsia="pl-PL"/>
        </w:rPr>
      </w:pPr>
      <w:proofErr w:type="gramStart"/>
      <w:r w:rsidRPr="00347670">
        <w:rPr>
          <w:b/>
        </w:rPr>
        <w:t>to</w:t>
      </w:r>
      <w:proofErr w:type="gramEnd"/>
      <w:r w:rsidRPr="00347670">
        <w:rPr>
          <w:b/>
        </w:rPr>
        <w:t xml:space="preserve"> obszar spójny i coraz bardziej zintegrowany w wymi</w:t>
      </w:r>
      <w:r w:rsidR="00543879" w:rsidRPr="00347670">
        <w:rPr>
          <w:b/>
        </w:rPr>
        <w:t>arze społecznym, gospodarczym i </w:t>
      </w:r>
      <w:r w:rsidRPr="00347670">
        <w:rPr>
          <w:b/>
        </w:rPr>
        <w:t>przestrzennym wykorzystujący endogenne potencjały;</w:t>
      </w:r>
    </w:p>
    <w:p w:rsidR="00082A66" w:rsidRPr="00347670" w:rsidRDefault="00082A66" w:rsidP="00A13FA7">
      <w:pPr>
        <w:pStyle w:val="Akapitzlist"/>
        <w:numPr>
          <w:ilvl w:val="0"/>
          <w:numId w:val="17"/>
        </w:numPr>
        <w:rPr>
          <w:b/>
        </w:rPr>
      </w:pPr>
      <w:proofErr w:type="gramStart"/>
      <w:r w:rsidRPr="00347670">
        <w:rPr>
          <w:b/>
        </w:rPr>
        <w:t>to</w:t>
      </w:r>
      <w:proofErr w:type="gramEnd"/>
      <w:r w:rsidRPr="00347670">
        <w:rPr>
          <w:b/>
        </w:rPr>
        <w:t xml:space="preserve"> miejsce atrakcyjne i przyjazne do życia oraz pracy;</w:t>
      </w:r>
    </w:p>
    <w:p w:rsidR="00082A66" w:rsidRPr="00347670" w:rsidRDefault="00082A66" w:rsidP="00A13FA7">
      <w:pPr>
        <w:pStyle w:val="Akapitzlist"/>
        <w:numPr>
          <w:ilvl w:val="0"/>
          <w:numId w:val="17"/>
        </w:numPr>
        <w:rPr>
          <w:b/>
        </w:rPr>
      </w:pPr>
      <w:r w:rsidRPr="00347670">
        <w:rPr>
          <w:b/>
        </w:rPr>
        <w:t xml:space="preserve">to obszar z dobrze rozwiniętym rolnictwem specjalizującym się w produkcji </w:t>
      </w:r>
      <w:proofErr w:type="gramStart"/>
      <w:r w:rsidRPr="00347670">
        <w:rPr>
          <w:b/>
        </w:rPr>
        <w:t>wysokiej jakości</w:t>
      </w:r>
      <w:proofErr w:type="gramEnd"/>
      <w:r w:rsidRPr="00347670">
        <w:rPr>
          <w:b/>
        </w:rPr>
        <w:t xml:space="preserve"> żywności, z dobrze prowadzoną polityką wspierania sektora rolno-spożywczego oraz dobrze prosperującym ośrodkiem otoczenia rolnictwa stanowiącym rdzeń obszaru (Miasto Hrubieszów);</w:t>
      </w:r>
    </w:p>
    <w:p w:rsidR="00082A66" w:rsidRPr="00347670" w:rsidRDefault="00082A66" w:rsidP="00A13FA7">
      <w:pPr>
        <w:pStyle w:val="Akapitzlist"/>
        <w:numPr>
          <w:ilvl w:val="0"/>
          <w:numId w:val="17"/>
        </w:numPr>
        <w:rPr>
          <w:b/>
        </w:rPr>
      </w:pPr>
      <w:proofErr w:type="gramStart"/>
      <w:r w:rsidRPr="00347670">
        <w:rPr>
          <w:b/>
        </w:rPr>
        <w:t>to</w:t>
      </w:r>
      <w:proofErr w:type="gramEnd"/>
      <w:r w:rsidRPr="00347670">
        <w:rPr>
          <w:b/>
        </w:rPr>
        <w:t xml:space="preserve"> obszar dostosowany do zmieniających się warunków klimatycznych, posiadający infrastrukturę i obiekty niwelujące zagrożenia takie jak susza, powodzie, gwałtowne opady;</w:t>
      </w:r>
    </w:p>
    <w:p w:rsidR="00082A66" w:rsidRPr="00347670" w:rsidRDefault="00082A66" w:rsidP="00A13FA7">
      <w:pPr>
        <w:pStyle w:val="Akapitzlist"/>
        <w:numPr>
          <w:ilvl w:val="0"/>
          <w:numId w:val="17"/>
        </w:numPr>
        <w:rPr>
          <w:b/>
        </w:rPr>
      </w:pPr>
      <w:proofErr w:type="gramStart"/>
      <w:r w:rsidRPr="00347670">
        <w:rPr>
          <w:b/>
        </w:rPr>
        <w:t>to</w:t>
      </w:r>
      <w:proofErr w:type="gramEnd"/>
      <w:r w:rsidRPr="00347670">
        <w:rPr>
          <w:b/>
        </w:rPr>
        <w:t xml:space="preserve"> obszar nastawiony na zieloną energię i transport niskoemisyjny; </w:t>
      </w:r>
    </w:p>
    <w:p w:rsidR="00082A66" w:rsidRPr="00347670" w:rsidRDefault="00082A66" w:rsidP="00A13FA7">
      <w:pPr>
        <w:pStyle w:val="Akapitzlist"/>
        <w:numPr>
          <w:ilvl w:val="0"/>
          <w:numId w:val="17"/>
        </w:numPr>
        <w:rPr>
          <w:b/>
        </w:rPr>
      </w:pPr>
      <w:proofErr w:type="gramStart"/>
      <w:r w:rsidRPr="00347670">
        <w:rPr>
          <w:b/>
        </w:rPr>
        <w:t>to</w:t>
      </w:r>
      <w:proofErr w:type="gramEnd"/>
      <w:r w:rsidRPr="00347670">
        <w:rPr>
          <w:b/>
        </w:rPr>
        <w:t xml:space="preserve"> obszar atrakcyjny i konkurencyjny pod względem gospodarczym i inwestycyjnym, generujący nowe miejsca pracy;</w:t>
      </w:r>
    </w:p>
    <w:p w:rsidR="00082A66" w:rsidRPr="00347670" w:rsidRDefault="00082A66" w:rsidP="00A13FA7">
      <w:pPr>
        <w:pStyle w:val="Akapitzlist"/>
        <w:numPr>
          <w:ilvl w:val="0"/>
          <w:numId w:val="17"/>
        </w:numPr>
        <w:rPr>
          <w:b/>
        </w:rPr>
      </w:pPr>
      <w:proofErr w:type="gramStart"/>
      <w:r w:rsidRPr="00347670">
        <w:rPr>
          <w:b/>
        </w:rPr>
        <w:t>to</w:t>
      </w:r>
      <w:proofErr w:type="gramEnd"/>
      <w:r w:rsidRPr="00347670">
        <w:rPr>
          <w:b/>
        </w:rPr>
        <w:t xml:space="preserve"> obszar, na którym walory turystyczne są w szerokim zakresie włączone w obieg gospodarczy i optymalnie wykorzystywane w ramach rozwijanego zintegrowanego produktu turystycznego Ziemi Hrubieszowskiej;</w:t>
      </w:r>
    </w:p>
    <w:p w:rsidR="00082A66" w:rsidRPr="00347670" w:rsidRDefault="00082A66" w:rsidP="00A13FA7">
      <w:pPr>
        <w:pStyle w:val="Akapitzlist"/>
        <w:numPr>
          <w:ilvl w:val="0"/>
          <w:numId w:val="17"/>
        </w:numPr>
        <w:spacing w:line="240" w:lineRule="auto"/>
        <w:rPr>
          <w:rFonts w:ascii="Times New Roman" w:hAnsi="Times New Roman" w:cs="Times New Roman"/>
          <w:b/>
          <w:sz w:val="24"/>
          <w:szCs w:val="24"/>
          <w:lang w:eastAsia="pl-PL"/>
        </w:rPr>
      </w:pPr>
      <w:proofErr w:type="gramStart"/>
      <w:r w:rsidRPr="00347670">
        <w:rPr>
          <w:b/>
        </w:rPr>
        <w:t>to</w:t>
      </w:r>
      <w:proofErr w:type="gramEnd"/>
      <w:r w:rsidRPr="00347670">
        <w:rPr>
          <w:b/>
        </w:rPr>
        <w:t xml:space="preserve"> ważny ośrodek obsługi ruchu granicznego, który w pełni korzysta ze swojego położenia względem granicy państwa, stolicy województwa oraz głównych szlaków komunikacyjnych</w:t>
      </w:r>
      <w:r w:rsidRPr="00347670">
        <w:rPr>
          <w:rFonts w:ascii="Times New Roman" w:hAnsi="Times New Roman" w:cs="Times New Roman"/>
          <w:b/>
          <w:sz w:val="24"/>
          <w:szCs w:val="24"/>
          <w:lang w:eastAsia="pl-PL"/>
        </w:rPr>
        <w:t>;</w:t>
      </w:r>
    </w:p>
    <w:p w:rsidR="00082A66" w:rsidRPr="00347670" w:rsidRDefault="00082A66" w:rsidP="00A13FA7">
      <w:pPr>
        <w:pStyle w:val="Akapitzlist"/>
        <w:numPr>
          <w:ilvl w:val="0"/>
          <w:numId w:val="17"/>
        </w:numPr>
        <w:rPr>
          <w:b/>
        </w:rPr>
      </w:pPr>
      <w:proofErr w:type="gramStart"/>
      <w:r w:rsidRPr="00347670">
        <w:rPr>
          <w:b/>
        </w:rPr>
        <w:t>to</w:t>
      </w:r>
      <w:proofErr w:type="gramEnd"/>
      <w:r w:rsidRPr="00347670">
        <w:rPr>
          <w:b/>
        </w:rPr>
        <w:t xml:space="preserve"> obszar, który respektuje zasady ochrony cennych przyrodniczo i krajobrazowo terenów;</w:t>
      </w:r>
    </w:p>
    <w:p w:rsidR="00082A66" w:rsidRPr="00347670" w:rsidRDefault="00082A66" w:rsidP="00A13FA7">
      <w:pPr>
        <w:pStyle w:val="Akapitzlist"/>
        <w:numPr>
          <w:ilvl w:val="0"/>
          <w:numId w:val="17"/>
        </w:numPr>
        <w:rPr>
          <w:b/>
        </w:rPr>
      </w:pPr>
      <w:proofErr w:type="gramStart"/>
      <w:r w:rsidRPr="00347670">
        <w:rPr>
          <w:b/>
        </w:rPr>
        <w:t>to</w:t>
      </w:r>
      <w:proofErr w:type="gramEnd"/>
      <w:r w:rsidRPr="00347670">
        <w:rPr>
          <w:b/>
        </w:rPr>
        <w:t xml:space="preserve"> obszar ze sprawną i otwartą na współpracę administracją lokalną.</w:t>
      </w:r>
    </w:p>
    <w:p w:rsidR="00082A66" w:rsidRDefault="00082A66" w:rsidP="007E1012">
      <w:pPr>
        <w:ind w:firstLine="708"/>
      </w:pPr>
    </w:p>
    <w:p w:rsidR="00543879" w:rsidRPr="008F108A" w:rsidRDefault="00543879" w:rsidP="00D8684B">
      <w:r w:rsidRPr="008F108A">
        <w:lastRenderedPageBreak/>
        <w:t xml:space="preserve">Osiągnięcie wyżej wymienionej wizji będzie możliwe dzięki </w:t>
      </w:r>
      <w:r w:rsidR="00B552EB">
        <w:t>uaktywnieniu najważniejszych potencjałów rozwojowych Hrubieszowskiego Obszaru Funkcjonalnego w połączeniu ze specyficznym położeniem w regionie, kraju i w Europie</w:t>
      </w:r>
      <w:r w:rsidRPr="008F108A">
        <w:t xml:space="preserve">, dzięki któremu </w:t>
      </w:r>
      <w:r>
        <w:t>HOF</w:t>
      </w:r>
      <w:r w:rsidRPr="008F108A">
        <w:t xml:space="preserve"> ma duże szanse na wykreowanie impulsów rozwojowych </w:t>
      </w:r>
      <w:r>
        <w:t>w </w:t>
      </w:r>
      <w:r w:rsidRPr="008F108A">
        <w:t>zakresie spedycji, logistyki i transportu przy obsłudze ruchu granicznego z Ukrainą. Istotne jest tu również wykorzystanie walorów przyrodn</w:t>
      </w:r>
      <w:r w:rsidR="00B552EB">
        <w:t>iczych, archeologicznych i </w:t>
      </w:r>
      <w:r w:rsidRPr="008F108A">
        <w:t>kulturowych do rozwoju usług i oferty turystycznej oraz spożytkowanie stale rozwijającego się kapitału społecznego. Wykorzystanie tych wewnętrznych potencjałów, przy pomocy środków zewnętrznych, przyczyni się do przyśpieszenia procesów restruk</w:t>
      </w:r>
      <w:r w:rsidR="00B552EB">
        <w:t>turyzacji lokalnej gospodarki i </w:t>
      </w:r>
      <w:proofErr w:type="gramStart"/>
      <w:r w:rsidRPr="008F108A">
        <w:t>poprawy jakości</w:t>
      </w:r>
      <w:proofErr w:type="gramEnd"/>
      <w:r w:rsidRPr="008F108A">
        <w:t xml:space="preserve"> życia mieszkańców.</w:t>
      </w:r>
    </w:p>
    <w:p w:rsidR="007E1012" w:rsidRDefault="007E1012" w:rsidP="00D8684B">
      <w:r w:rsidRPr="008F108A">
        <w:t>Z kolei misja koncentruje się na podstawowych wartościach, które przyświecają Władzom G</w:t>
      </w:r>
      <w:r>
        <w:t>min</w:t>
      </w:r>
      <w:r w:rsidRPr="008F108A">
        <w:t xml:space="preserve"> i jej miesz</w:t>
      </w:r>
      <w:r>
        <w:t xml:space="preserve">kańcom w procesach rozwojowych. </w:t>
      </w:r>
      <w:r w:rsidR="0068318E">
        <w:t>Misja w</w:t>
      </w:r>
      <w:r>
        <w:t>skazuje generalny kierunek, w którym podąża obszar funkcjonalny oraz</w:t>
      </w:r>
      <w:r w:rsidRPr="008F108A">
        <w:t xml:space="preserve"> czynniki uzasadniające przyjęcie określonych wartości, jako nadrzędnych. Misja stanowi odpowiedź na pytania</w:t>
      </w:r>
      <w:r w:rsidR="0068318E">
        <w:t>,</w:t>
      </w:r>
      <w:r w:rsidRPr="008F108A">
        <w:t xml:space="preserve"> ja</w:t>
      </w:r>
      <w:r w:rsidR="007214C8">
        <w:t>kie stawiamy sobie w założonym horyzoncie czasowym przyjętym</w:t>
      </w:r>
      <w:r>
        <w:t xml:space="preserve"> w </w:t>
      </w:r>
      <w:proofErr w:type="gramStart"/>
      <w:r w:rsidRPr="008F108A">
        <w:t xml:space="preserve">dokumencie: </w:t>
      </w:r>
      <w:r w:rsidRPr="007E1012">
        <w:rPr>
          <w:b/>
        </w:rPr>
        <w:t>Co</w:t>
      </w:r>
      <w:proofErr w:type="gramEnd"/>
      <w:r w:rsidRPr="007E1012">
        <w:rPr>
          <w:b/>
        </w:rPr>
        <w:t xml:space="preserve"> jest naszym priorytetem i kim jesteśmy? </w:t>
      </w:r>
      <w:r w:rsidR="007214C8">
        <w:t>Z misji wynikają cele ogólne, których wspieranie jest niezbędne do zrealizowania przyjętej wizji rozwoju.</w:t>
      </w:r>
    </w:p>
    <w:p w:rsidR="00B552EB" w:rsidRDefault="00B552EB" w:rsidP="00347670">
      <w:pPr>
        <w:spacing w:after="0"/>
        <w:ind w:firstLine="708"/>
        <w:rPr>
          <w:b/>
        </w:rPr>
      </w:pPr>
      <w:r w:rsidRPr="00B552EB">
        <w:rPr>
          <w:b/>
        </w:rPr>
        <w:t>Misja Hrubieszowskiego Obszaru</w:t>
      </w:r>
      <w:r w:rsidR="00493944" w:rsidRPr="00493944">
        <w:rPr>
          <w:b/>
        </w:rPr>
        <w:t xml:space="preserve"> </w:t>
      </w:r>
      <w:r w:rsidR="00493944">
        <w:rPr>
          <w:b/>
        </w:rPr>
        <w:t>Funkcjonalnego:</w:t>
      </w:r>
    </w:p>
    <w:p w:rsidR="00347670" w:rsidRDefault="00347670" w:rsidP="007E1012">
      <w:pPr>
        <w:ind w:firstLine="708"/>
        <w:rPr>
          <w:b/>
        </w:rPr>
      </w:pPr>
      <w:r w:rsidRPr="00E320BC">
        <w:rPr>
          <w:rFonts w:ascii="Calibri" w:eastAsia="Candara" w:hAnsi="Calibri" w:cs="Times New Roman"/>
          <w:noProof/>
          <w:lang w:eastAsia="pl-PL"/>
        </w:rPr>
        <mc:AlternateContent>
          <mc:Choice Requires="wps">
            <w:drawing>
              <wp:anchor distT="0" distB="0" distL="114300" distR="114300" simplePos="0" relativeHeight="251715584" behindDoc="1" locked="0" layoutInCell="1" allowOverlap="1" wp14:anchorId="65DBEAB4" wp14:editId="40C7ECAF">
                <wp:simplePos x="0" y="0"/>
                <wp:positionH relativeFrom="column">
                  <wp:posOffset>-236855</wp:posOffset>
                </wp:positionH>
                <wp:positionV relativeFrom="paragraph">
                  <wp:posOffset>173990</wp:posOffset>
                </wp:positionV>
                <wp:extent cx="6212840" cy="1920240"/>
                <wp:effectExtent l="0" t="0" r="16510" b="22860"/>
                <wp:wrapNone/>
                <wp:docPr id="37" name="Prostokąt zaokrąglony 37"/>
                <wp:cNvGraphicFramePr/>
                <a:graphic xmlns:a="http://schemas.openxmlformats.org/drawingml/2006/main">
                  <a:graphicData uri="http://schemas.microsoft.com/office/word/2010/wordprocessingShape">
                    <wps:wsp>
                      <wps:cNvSpPr/>
                      <wps:spPr>
                        <a:xfrm>
                          <a:off x="0" y="0"/>
                          <a:ext cx="6212840" cy="1920240"/>
                        </a:xfrm>
                        <a:prstGeom prst="roundRect">
                          <a:avLst/>
                        </a:prstGeom>
                        <a:solidFill>
                          <a:srgbClr val="31B6FD">
                            <a:lumMod val="60000"/>
                            <a:lumOff val="40000"/>
                          </a:srgbClr>
                        </a:solidFill>
                        <a:ln w="15875" cap="flat" cmpd="sng" algn="ctr">
                          <a:solidFill>
                            <a:srgbClr val="31B6FD">
                              <a:shade val="50000"/>
                              <a:shade val="75000"/>
                              <a:lumMod val="80000"/>
                            </a:srgbClr>
                          </a:solidFill>
                          <a:prstDash val="solid"/>
                        </a:ln>
                        <a:effectLst>
                          <a:softEdge rad="63500"/>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Prostokąt zaokrąglony 37" o:spid="_x0000_s1026" style="position:absolute;margin-left:-18.65pt;margin-top:13.7pt;width:489.2pt;height:151.2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" fillcolor="#83d3fe" strokecolor="#165d83" strokeweight="1.25pt"/>
            </w:pict>
          </mc:Fallback>
        </mc:AlternateContent>
      </w:r>
    </w:p>
    <w:p w:rsidR="00B552EB" w:rsidRDefault="00B552EB" w:rsidP="00B552EB">
      <w:pPr>
        <w:ind w:firstLine="708"/>
        <w:rPr>
          <w:rFonts w:cstheme="minorHAnsi"/>
          <w:b/>
        </w:rPr>
      </w:pPr>
      <w:r w:rsidRPr="00347670">
        <w:rPr>
          <w:rFonts w:cstheme="minorHAnsi"/>
          <w:b/>
        </w:rPr>
        <w:t xml:space="preserve">Misją Hrubieszowskiego Obszaru Funkcjonalnego jest tworzenie dogodnych warunków do życia mieszkańców oraz realizacji aspiracji z poszanowaniem i przyjaznym nastawianiem wobec </w:t>
      </w:r>
      <w:r w:rsidR="00493944">
        <w:rPr>
          <w:rFonts w:cstheme="minorHAnsi"/>
          <w:b/>
        </w:rPr>
        <w:t>obywateli społeczności lokalnej. Realizacja misji będzie możliwa poprzez zachęcanie mieszkańców</w:t>
      </w:r>
      <w:r w:rsidRPr="00347670">
        <w:rPr>
          <w:rFonts w:cstheme="minorHAnsi"/>
          <w:b/>
        </w:rPr>
        <w:t xml:space="preserve"> do współtworzenia zacho</w:t>
      </w:r>
      <w:r w:rsidR="00493944">
        <w:rPr>
          <w:rFonts w:cstheme="minorHAnsi"/>
          <w:b/>
        </w:rPr>
        <w:t>dzących zmian w przestrzeni HOF oraz</w:t>
      </w:r>
      <w:r w:rsidRPr="00347670">
        <w:rPr>
          <w:rFonts w:cstheme="minorHAnsi"/>
          <w:b/>
        </w:rPr>
        <w:t xml:space="preserve"> integrację na poziomie ponadlokalnym i rozwój społeczno-gospodarczy obszaru</w:t>
      </w:r>
      <w:r w:rsidR="00493944">
        <w:rPr>
          <w:rFonts w:cstheme="minorHAnsi"/>
          <w:b/>
        </w:rPr>
        <w:t>.</w:t>
      </w:r>
      <w:r w:rsidRPr="00347670">
        <w:rPr>
          <w:rFonts w:cstheme="minorHAnsi"/>
          <w:b/>
        </w:rPr>
        <w:t xml:space="preserve"> </w:t>
      </w:r>
      <w:r w:rsidR="00493944">
        <w:rPr>
          <w:rFonts w:cstheme="minorHAnsi"/>
          <w:b/>
        </w:rPr>
        <w:t>Równocześnie należy zwrócić uwagę</w:t>
      </w:r>
      <w:r w:rsidRPr="00347670">
        <w:rPr>
          <w:rFonts w:cstheme="minorHAnsi"/>
          <w:b/>
        </w:rPr>
        <w:t xml:space="preserve"> na </w:t>
      </w:r>
      <w:r w:rsidR="00493944">
        <w:rPr>
          <w:rFonts w:cstheme="minorHAnsi"/>
          <w:b/>
        </w:rPr>
        <w:t>działania zmierzające</w:t>
      </w:r>
      <w:r w:rsidRPr="00347670">
        <w:rPr>
          <w:rFonts w:cstheme="minorHAnsi"/>
          <w:b/>
        </w:rPr>
        <w:t xml:space="preserve"> do ograniczenia spadku liczby mieszkańców, adaptacji do zmian klimatu oraz rozwoju zintegrowanego produktu turystycznego i budowy atrakcyjnej oferty kulturalnej oraz sportowo-rekreacyjnej.</w:t>
      </w:r>
    </w:p>
    <w:p w:rsidR="00163727" w:rsidRPr="00347670" w:rsidRDefault="00163727" w:rsidP="00B552EB">
      <w:pPr>
        <w:ind w:firstLine="708"/>
        <w:rPr>
          <w:rFonts w:cstheme="minorHAnsi"/>
          <w:b/>
        </w:rPr>
      </w:pPr>
    </w:p>
    <w:p w:rsidR="00E320BC" w:rsidRPr="00E320BC" w:rsidRDefault="00E320BC" w:rsidP="00584A9E">
      <w:pPr>
        <w:keepNext/>
        <w:keepLines/>
        <w:spacing w:before="200"/>
        <w:ind w:left="851"/>
        <w:outlineLvl w:val="1"/>
        <w:rPr>
          <w:rFonts w:ascii="Candara" w:eastAsia="Times New Roman" w:hAnsi="Candara" w:cs="Times New Roman"/>
          <w:b/>
          <w:bCs/>
          <w:color w:val="31B6FD"/>
          <w:sz w:val="26"/>
          <w:szCs w:val="26"/>
        </w:rPr>
      </w:pPr>
      <w:bookmarkStart w:id="45" w:name="_Toc138068776"/>
      <w:r w:rsidRPr="00E320BC">
        <w:rPr>
          <w:rFonts w:ascii="Candara" w:eastAsia="Times New Roman" w:hAnsi="Candara" w:cs="Times New Roman"/>
          <w:b/>
          <w:bCs/>
          <w:color w:val="31B6FD"/>
          <w:sz w:val="26"/>
          <w:szCs w:val="26"/>
        </w:rPr>
        <w:t>3.2</w:t>
      </w:r>
      <w:r w:rsidRPr="00E320BC">
        <w:rPr>
          <w:rFonts w:ascii="Candara" w:eastAsia="Times New Roman" w:hAnsi="Candara" w:cs="Times New Roman"/>
          <w:b/>
          <w:bCs/>
          <w:color w:val="31B6FD"/>
          <w:sz w:val="26"/>
          <w:szCs w:val="26"/>
        </w:rPr>
        <w:tab/>
        <w:t>Cele strategiczne i operacyjne</w:t>
      </w:r>
      <w:bookmarkEnd w:id="45"/>
    </w:p>
    <w:p w:rsidR="00584A9E" w:rsidRDefault="00584A9E" w:rsidP="00D8684B">
      <w:r>
        <w:t>Cel powinien być opisem stanu, który ma nastąpić w dłuższej perspektywie czasu, ale jest realny, rzeczywisty i osiągalny. Prawidłowo sformułowany cel powinien odzwierciedlać „zasadę SMART”:</w:t>
      </w:r>
    </w:p>
    <w:p w:rsidR="00584A9E" w:rsidRDefault="00584A9E" w:rsidP="00A13FA7">
      <w:pPr>
        <w:pStyle w:val="Akapitzlist"/>
        <w:numPr>
          <w:ilvl w:val="0"/>
          <w:numId w:val="18"/>
        </w:numPr>
        <w:ind w:left="993"/>
      </w:pPr>
      <w:r>
        <w:t xml:space="preserve">S - </w:t>
      </w:r>
      <w:proofErr w:type="spellStart"/>
      <w:r>
        <w:t>Specific</w:t>
      </w:r>
      <w:proofErr w:type="spellEnd"/>
      <w:r>
        <w:t xml:space="preserve"> – specyficzny</w:t>
      </w:r>
    </w:p>
    <w:p w:rsidR="00584A9E" w:rsidRDefault="00584A9E" w:rsidP="00A13FA7">
      <w:pPr>
        <w:pStyle w:val="Akapitzlist"/>
        <w:numPr>
          <w:ilvl w:val="0"/>
          <w:numId w:val="18"/>
        </w:numPr>
        <w:ind w:left="993"/>
      </w:pPr>
      <w:r>
        <w:t xml:space="preserve">M - </w:t>
      </w:r>
      <w:proofErr w:type="spellStart"/>
      <w:r>
        <w:t>Measurable</w:t>
      </w:r>
      <w:proofErr w:type="spellEnd"/>
      <w:r>
        <w:t xml:space="preserve"> – konkretny</w:t>
      </w:r>
    </w:p>
    <w:p w:rsidR="00584A9E" w:rsidRDefault="00584A9E" w:rsidP="00A13FA7">
      <w:pPr>
        <w:pStyle w:val="Akapitzlist"/>
        <w:numPr>
          <w:ilvl w:val="0"/>
          <w:numId w:val="18"/>
        </w:numPr>
        <w:ind w:left="993"/>
      </w:pPr>
      <w:r>
        <w:t xml:space="preserve">A - </w:t>
      </w:r>
      <w:proofErr w:type="spellStart"/>
      <w:r>
        <w:t>Actionable</w:t>
      </w:r>
      <w:proofErr w:type="spellEnd"/>
      <w:r>
        <w:t xml:space="preserve"> - przekładalny na działania</w:t>
      </w:r>
    </w:p>
    <w:p w:rsidR="00584A9E" w:rsidRDefault="00584A9E" w:rsidP="00A13FA7">
      <w:pPr>
        <w:pStyle w:val="Akapitzlist"/>
        <w:numPr>
          <w:ilvl w:val="0"/>
          <w:numId w:val="18"/>
        </w:numPr>
        <w:ind w:left="993"/>
      </w:pPr>
      <w:r>
        <w:t xml:space="preserve">R - </w:t>
      </w:r>
      <w:proofErr w:type="spellStart"/>
      <w:r>
        <w:t>Realistic</w:t>
      </w:r>
      <w:proofErr w:type="spellEnd"/>
      <w:r>
        <w:t xml:space="preserve"> - realny / rzeczywisty</w:t>
      </w:r>
    </w:p>
    <w:p w:rsidR="00584A9E" w:rsidRDefault="00584A9E" w:rsidP="00A13FA7">
      <w:pPr>
        <w:pStyle w:val="Akapitzlist"/>
        <w:numPr>
          <w:ilvl w:val="0"/>
          <w:numId w:val="18"/>
        </w:numPr>
        <w:spacing w:after="240"/>
        <w:ind w:left="993"/>
      </w:pPr>
      <w:r>
        <w:t xml:space="preserve">T - </w:t>
      </w:r>
      <w:proofErr w:type="spellStart"/>
      <w:r>
        <w:t>Timetabled</w:t>
      </w:r>
      <w:proofErr w:type="spellEnd"/>
      <w:r>
        <w:t xml:space="preserve"> - ujęty w ramy czasowe </w:t>
      </w:r>
    </w:p>
    <w:p w:rsidR="0050167D" w:rsidRDefault="0050167D" w:rsidP="00D8684B">
      <w:r>
        <w:t>Podczas formułowania celów pod uwagę wzięto wiele aspektów. Zostały one przedstawione na grafice poniżej:</w:t>
      </w:r>
    </w:p>
    <w:p w:rsidR="00F84C11" w:rsidRDefault="00F84C11" w:rsidP="00F84C11">
      <w:pPr>
        <w:pStyle w:val="Legenda"/>
        <w:keepNext/>
      </w:pPr>
      <w:bookmarkStart w:id="46" w:name="_Toc138068500"/>
      <w:r>
        <w:lastRenderedPageBreak/>
        <w:t xml:space="preserve">Ryc. </w:t>
      </w:r>
      <w:r w:rsidR="00E20FF4">
        <w:fldChar w:fldCharType="begin"/>
      </w:r>
      <w:r w:rsidR="00E20FF4">
        <w:instrText xml:space="preserve"> SEQ Ryc. \* ARABIC </w:instrText>
      </w:r>
      <w:r w:rsidR="00E20FF4">
        <w:fldChar w:fldCharType="separate"/>
      </w:r>
      <w:r w:rsidR="0022657A">
        <w:rPr>
          <w:noProof/>
        </w:rPr>
        <w:t>4</w:t>
      </w:r>
      <w:r w:rsidR="00E20FF4">
        <w:rPr>
          <w:noProof/>
        </w:rPr>
        <w:fldChar w:fldCharType="end"/>
      </w:r>
      <w:r>
        <w:t>. Elementy mające wpływ na proces formułowania celów i kierunków działań</w:t>
      </w:r>
      <w:bookmarkEnd w:id="46"/>
      <w:r>
        <w:t xml:space="preserve"> </w:t>
      </w:r>
    </w:p>
    <w:p w:rsidR="0050167D" w:rsidRDefault="0050167D" w:rsidP="00F84C11">
      <w:pPr>
        <w:ind w:firstLine="0"/>
        <w:jc w:val="center"/>
      </w:pPr>
      <w:r>
        <w:rPr>
          <w:noProof/>
          <w:lang w:eastAsia="pl-PL"/>
        </w:rPr>
        <w:drawing>
          <wp:inline distT="0" distB="0" distL="0" distR="0" wp14:anchorId="50CFC1A0" wp14:editId="4D43FEFA">
            <wp:extent cx="5742710" cy="3683500"/>
            <wp:effectExtent l="0" t="0" r="0" b="0"/>
            <wp:docPr id="551" name="Obraz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5515" cy="3685299"/>
                    </a:xfrm>
                    <a:prstGeom prst="rect">
                      <a:avLst/>
                    </a:prstGeom>
                    <a:noFill/>
                  </pic:spPr>
                </pic:pic>
              </a:graphicData>
            </a:graphic>
          </wp:inline>
        </w:drawing>
      </w:r>
    </w:p>
    <w:p w:rsidR="001F3DF0" w:rsidRDefault="001F3DF0" w:rsidP="00D8684B">
      <w:r>
        <w:t xml:space="preserve">W Strategii przyjęto </w:t>
      </w:r>
      <w:r>
        <w:rPr>
          <w:b/>
        </w:rPr>
        <w:t>trzy</w:t>
      </w:r>
      <w:r w:rsidRPr="001F3DF0">
        <w:rPr>
          <w:b/>
        </w:rPr>
        <w:t>szczeblowy</w:t>
      </w:r>
      <w:r w:rsidR="00584A9E" w:rsidRPr="001F3DF0">
        <w:rPr>
          <w:b/>
        </w:rPr>
        <w:t xml:space="preserve"> układ celów</w:t>
      </w:r>
      <w:r w:rsidR="00584A9E">
        <w:t xml:space="preserve"> podporządkowanych wspomaganiu rozwoju społecznego i gospodarczego </w:t>
      </w:r>
      <w:r w:rsidR="005B3290">
        <w:t>Obszaru F</w:t>
      </w:r>
      <w:r w:rsidR="00584A9E">
        <w:t xml:space="preserve">unkcjonalnego. </w:t>
      </w:r>
      <w:r>
        <w:t>Na uwagę zasługuje fakt</w:t>
      </w:r>
      <w:r w:rsidR="00584A9E">
        <w:t xml:space="preserve">, że jest to najważniejsza część dokumentu strategii określająca </w:t>
      </w:r>
      <w:r w:rsidR="00347670">
        <w:t>kierunki interwencji</w:t>
      </w:r>
      <w:r w:rsidR="00717F06">
        <w:t xml:space="preserve"> (kierunki działań)</w:t>
      </w:r>
      <w:r w:rsidR="00584A9E">
        <w:t xml:space="preserve"> adekwatnie do aspiracji rozwojowych, słabych i mocnych stron obszaru funkcjonalnego oraz uwarunk</w:t>
      </w:r>
      <w:r>
        <w:t>owań zewnętrznych jego rozwoju.</w:t>
      </w:r>
    </w:p>
    <w:p w:rsidR="001F3DF0" w:rsidRDefault="00584A9E" w:rsidP="00584A9E">
      <w:pPr>
        <w:ind w:firstLine="491"/>
        <w:rPr>
          <w:b/>
        </w:rPr>
      </w:pPr>
      <w:r w:rsidRPr="001F3DF0">
        <w:rPr>
          <w:b/>
        </w:rPr>
        <w:t xml:space="preserve">Cele zostały sformułowane w następującym układzie: </w:t>
      </w:r>
    </w:p>
    <w:p w:rsidR="001F3DF0" w:rsidRPr="001F3DF0" w:rsidRDefault="005B3290" w:rsidP="005B3290">
      <w:pPr>
        <w:pStyle w:val="Akapitzlist"/>
        <w:spacing w:after="240"/>
        <w:ind w:left="0" w:firstLine="0"/>
      </w:pPr>
      <w:r>
        <w:rPr>
          <w:noProof/>
          <w:lang w:eastAsia="pl-PL"/>
        </w:rPr>
        <w:drawing>
          <wp:inline distT="0" distB="0" distL="0" distR="0" wp14:anchorId="44998D38" wp14:editId="51CB735C">
            <wp:extent cx="5886450" cy="3238500"/>
            <wp:effectExtent l="0" t="0" r="0" b="19050"/>
            <wp:docPr id="60" name="Diagram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5B406F" w:rsidRDefault="00584A9E" w:rsidP="00584A9E">
      <w:pPr>
        <w:ind w:firstLine="491"/>
      </w:pPr>
      <w:r w:rsidRPr="008F108A">
        <w:lastRenderedPageBreak/>
        <w:t xml:space="preserve">Rozwój lokalny </w:t>
      </w:r>
      <w:r w:rsidR="005B3290">
        <w:t>Hrubieszowskiego Obszaru Funkcjonalnego</w:t>
      </w:r>
      <w:r w:rsidRPr="008F108A">
        <w:t xml:space="preserve"> oparto na potrzebie zaspokajania potrzeb mieszkańców oraz </w:t>
      </w:r>
      <w:r w:rsidRPr="00584A9E">
        <w:t xml:space="preserve">potrzebie rozwoju </w:t>
      </w:r>
      <w:r w:rsidR="00056E70">
        <w:t>atrakcyjności i konkurencyjności HOF</w:t>
      </w:r>
      <w:r w:rsidRPr="00584A9E">
        <w:t>. Przy opracowaniu planu interwencji pod</w:t>
      </w:r>
      <w:r w:rsidRPr="008F108A">
        <w:t xml:space="preserve"> uwagę wzięto wieloa</w:t>
      </w:r>
      <w:r w:rsidR="005B3290">
        <w:t>spektowość zmian zachodzących w </w:t>
      </w:r>
      <w:r w:rsidRPr="008F108A">
        <w:t>wymiarze społecznym, gospodarczym, środowiskowym i </w:t>
      </w:r>
      <w:r w:rsidR="00056E70">
        <w:t>przestrzennym.</w:t>
      </w:r>
    </w:p>
    <w:p w:rsidR="005B406F" w:rsidRDefault="005B406F">
      <w:pPr>
        <w:spacing w:before="0"/>
        <w:ind w:firstLine="0"/>
        <w:jc w:val="left"/>
      </w:pPr>
      <w:r>
        <w:br w:type="page"/>
      </w:r>
    </w:p>
    <w:p w:rsidR="007F60A9" w:rsidRDefault="007F60A9" w:rsidP="007F60A9">
      <w:pPr>
        <w:pStyle w:val="Legenda"/>
        <w:keepNext/>
        <w:spacing w:after="0"/>
      </w:pPr>
      <w:bookmarkStart w:id="47" w:name="_Toc138068537"/>
      <w:r>
        <w:lastRenderedPageBreak/>
        <w:t xml:space="preserve">Tabela </w:t>
      </w:r>
      <w:r w:rsidR="00E20FF4">
        <w:fldChar w:fldCharType="begin"/>
      </w:r>
      <w:r w:rsidR="00E20FF4">
        <w:instrText xml:space="preserve"> SEQ Tabela \* ARABIC </w:instrText>
      </w:r>
      <w:r w:rsidR="00E20FF4">
        <w:fldChar w:fldCharType="separate"/>
      </w:r>
      <w:r w:rsidR="0022657A">
        <w:rPr>
          <w:noProof/>
        </w:rPr>
        <w:t>7</w:t>
      </w:r>
      <w:r w:rsidR="00E20FF4">
        <w:rPr>
          <w:noProof/>
        </w:rPr>
        <w:fldChar w:fldCharType="end"/>
      </w:r>
      <w:r>
        <w:t>. Schemat celów Hrubieszowskiego Obszaru Funkcjonalnego do 2030 roku</w:t>
      </w:r>
      <w:bookmarkEnd w:id="47"/>
    </w:p>
    <w:tbl>
      <w:tblPr>
        <w:tblStyle w:val="Tabela-Siatka"/>
        <w:tblW w:w="0" w:type="auto"/>
        <w:tblLook w:val="04A0" w:firstRow="1" w:lastRow="0" w:firstColumn="1" w:lastColumn="0" w:noHBand="0" w:noVBand="1"/>
      </w:tblPr>
      <w:tblGrid>
        <w:gridCol w:w="2303"/>
        <w:gridCol w:w="2303"/>
        <w:gridCol w:w="2303"/>
        <w:gridCol w:w="2303"/>
        <w:gridCol w:w="8"/>
      </w:tblGrid>
      <w:tr w:rsidR="00C31A5F" w:rsidRPr="005B406F" w:rsidTr="005B406F">
        <w:trPr>
          <w:gridAfter w:val="1"/>
          <w:wAfter w:w="8" w:type="dxa"/>
        </w:trPr>
        <w:tc>
          <w:tcPr>
            <w:tcW w:w="9212" w:type="dxa"/>
            <w:gridSpan w:val="4"/>
          </w:tcPr>
          <w:p w:rsidR="00C31A5F" w:rsidRPr="005B406F" w:rsidRDefault="00C31A5F" w:rsidP="005B406F">
            <w:pPr>
              <w:jc w:val="center"/>
              <w:rPr>
                <w:rFonts w:ascii="Calibri" w:hAnsi="Calibri" w:cs="Calibri"/>
                <w:b/>
                <w:color w:val="000000"/>
                <w:sz w:val="18"/>
                <w:szCs w:val="18"/>
              </w:rPr>
            </w:pPr>
            <w:r w:rsidRPr="005B406F">
              <w:rPr>
                <w:rFonts w:ascii="Calibri" w:hAnsi="Calibri" w:cs="Calibri"/>
                <w:b/>
                <w:color w:val="000000"/>
                <w:sz w:val="18"/>
                <w:szCs w:val="18"/>
              </w:rPr>
              <w:t>Cel nadrzędny</w:t>
            </w:r>
          </w:p>
        </w:tc>
      </w:tr>
      <w:tr w:rsidR="00C31A5F" w:rsidRPr="005B406F" w:rsidTr="005B406F">
        <w:trPr>
          <w:gridAfter w:val="1"/>
          <w:wAfter w:w="8" w:type="dxa"/>
        </w:trPr>
        <w:tc>
          <w:tcPr>
            <w:tcW w:w="9212" w:type="dxa"/>
            <w:gridSpan w:val="4"/>
            <w:shd w:val="clear" w:color="auto" w:fill="052E65" w:themeFill="text2" w:themeFillShade="BF"/>
          </w:tcPr>
          <w:p w:rsidR="00C31A5F" w:rsidRPr="005B406F" w:rsidRDefault="005B406F" w:rsidP="00B92036">
            <w:pPr>
              <w:spacing w:before="0"/>
              <w:jc w:val="center"/>
              <w:rPr>
                <w:rFonts w:ascii="Calibri" w:hAnsi="Calibri" w:cs="Calibri"/>
                <w:b/>
                <w:color w:val="000000"/>
                <w:sz w:val="18"/>
                <w:szCs w:val="18"/>
              </w:rPr>
            </w:pPr>
            <w:r w:rsidRPr="00C73CFB">
              <w:rPr>
                <w:b/>
              </w:rPr>
              <w:t xml:space="preserve">Wzrost atrakcyjności i konkurencyjności Hrubieszowskiego Obszaru </w:t>
            </w:r>
            <w:proofErr w:type="gramStart"/>
            <w:r w:rsidRPr="00C73CFB">
              <w:rPr>
                <w:b/>
              </w:rPr>
              <w:t>Funkcjonalnego jako</w:t>
            </w:r>
            <w:proofErr w:type="gramEnd"/>
            <w:r w:rsidRPr="00C73CFB">
              <w:rPr>
                <w:b/>
              </w:rPr>
              <w:t xml:space="preserve"> miejsca do pracy i zamieszkania </w:t>
            </w:r>
            <w:r w:rsidR="00B92036" w:rsidRPr="00C73CFB">
              <w:rPr>
                <w:b/>
              </w:rPr>
              <w:t>poprzez długoterminowe i trwałe działania podejmowane</w:t>
            </w:r>
            <w:r w:rsidRPr="00C73CFB">
              <w:rPr>
                <w:b/>
              </w:rPr>
              <w:t xml:space="preserve"> przez samorządy go współtworzące oraz </w:t>
            </w:r>
            <w:r w:rsidRPr="00C73CFB">
              <w:rPr>
                <w:b/>
              </w:rPr>
              <w:br/>
              <w:t>przedsięwzięcia wspólne, jak również zaangażowanie partnerów społeczno-gospodarczych.</w:t>
            </w:r>
          </w:p>
        </w:tc>
      </w:tr>
      <w:tr w:rsidR="00C31A5F" w:rsidRPr="005B406F" w:rsidTr="005B406F">
        <w:trPr>
          <w:gridAfter w:val="1"/>
          <w:wAfter w:w="8" w:type="dxa"/>
        </w:trPr>
        <w:tc>
          <w:tcPr>
            <w:tcW w:w="9212" w:type="dxa"/>
            <w:gridSpan w:val="4"/>
          </w:tcPr>
          <w:p w:rsidR="00C31A5F" w:rsidRPr="005B406F" w:rsidRDefault="00C31A5F" w:rsidP="005B406F">
            <w:pPr>
              <w:jc w:val="center"/>
              <w:rPr>
                <w:rFonts w:ascii="Calibri" w:hAnsi="Calibri" w:cs="Calibri"/>
                <w:b/>
                <w:color w:val="000000"/>
                <w:sz w:val="18"/>
                <w:szCs w:val="18"/>
              </w:rPr>
            </w:pPr>
            <w:r w:rsidRPr="005B406F">
              <w:rPr>
                <w:rFonts w:ascii="Calibri" w:hAnsi="Calibri" w:cs="Calibri"/>
                <w:b/>
                <w:color w:val="000000"/>
                <w:sz w:val="18"/>
                <w:szCs w:val="18"/>
              </w:rPr>
              <w:t>Cele strategiczne</w:t>
            </w:r>
          </w:p>
        </w:tc>
      </w:tr>
      <w:tr w:rsidR="007F60A9" w:rsidRPr="005B406F" w:rsidTr="005B406F">
        <w:trPr>
          <w:gridAfter w:val="1"/>
          <w:wAfter w:w="8" w:type="dxa"/>
        </w:trPr>
        <w:tc>
          <w:tcPr>
            <w:tcW w:w="2303" w:type="dxa"/>
            <w:shd w:val="clear" w:color="auto" w:fill="2C82F4" w:themeFill="text2" w:themeFillTint="99"/>
            <w:vAlign w:val="center"/>
          </w:tcPr>
          <w:p w:rsidR="00C31A5F" w:rsidRPr="005B406F" w:rsidRDefault="007F60A9" w:rsidP="005B406F">
            <w:pPr>
              <w:pStyle w:val="Akapitzlist"/>
              <w:spacing w:before="0"/>
              <w:ind w:left="142" w:firstLine="0"/>
              <w:jc w:val="center"/>
              <w:rPr>
                <w:sz w:val="18"/>
                <w:szCs w:val="18"/>
              </w:rPr>
            </w:pPr>
            <w:r w:rsidRPr="005B406F">
              <w:rPr>
                <w:color w:val="FFFFFF" w:themeColor="background1"/>
                <w:sz w:val="18"/>
                <w:szCs w:val="18"/>
              </w:rPr>
              <w:t xml:space="preserve">1. </w:t>
            </w:r>
            <w:proofErr w:type="gramStart"/>
            <w:r w:rsidR="006004BA" w:rsidRPr="005B406F">
              <w:rPr>
                <w:color w:val="FFFFFF" w:themeColor="background1"/>
                <w:sz w:val="18"/>
                <w:szCs w:val="18"/>
              </w:rPr>
              <w:t>LEP</w:t>
            </w:r>
            <w:r w:rsidR="00CA661D" w:rsidRPr="005B406F">
              <w:rPr>
                <w:color w:val="FFFFFF" w:themeColor="background1"/>
                <w:sz w:val="18"/>
                <w:szCs w:val="18"/>
              </w:rPr>
              <w:t>SZA JAKOŚĆ</w:t>
            </w:r>
            <w:proofErr w:type="gramEnd"/>
            <w:r w:rsidR="00CA661D" w:rsidRPr="005B406F">
              <w:rPr>
                <w:color w:val="FFFFFF" w:themeColor="background1"/>
                <w:sz w:val="18"/>
                <w:szCs w:val="18"/>
              </w:rPr>
              <w:t xml:space="preserve"> ŻYCIA I </w:t>
            </w:r>
            <w:r w:rsidR="006004BA" w:rsidRPr="005B406F">
              <w:rPr>
                <w:color w:val="FFFFFF" w:themeColor="background1"/>
                <w:sz w:val="18"/>
                <w:szCs w:val="18"/>
              </w:rPr>
              <w:t>ZINTEGROWANA SPOŁECZNOŚĆ LOKALNA</w:t>
            </w:r>
          </w:p>
        </w:tc>
        <w:tc>
          <w:tcPr>
            <w:tcW w:w="2303" w:type="dxa"/>
            <w:shd w:val="clear" w:color="auto" w:fill="2C82F4" w:themeFill="text2" w:themeFillTint="99"/>
            <w:vAlign w:val="center"/>
          </w:tcPr>
          <w:p w:rsidR="00C31A5F" w:rsidRPr="005B406F" w:rsidRDefault="00CA661D" w:rsidP="00A13FA7">
            <w:pPr>
              <w:pStyle w:val="Akapitzlist"/>
              <w:numPr>
                <w:ilvl w:val="0"/>
                <w:numId w:val="19"/>
              </w:numPr>
              <w:spacing w:before="0"/>
              <w:ind w:left="107" w:firstLine="0"/>
              <w:jc w:val="center"/>
              <w:rPr>
                <w:rFonts w:cs="Calibri"/>
                <w:color w:val="FFFFFF" w:themeColor="background1"/>
                <w:sz w:val="18"/>
                <w:szCs w:val="18"/>
              </w:rPr>
            </w:pPr>
            <w:r w:rsidRPr="005B406F">
              <w:rPr>
                <w:rFonts w:cs="Calibri"/>
                <w:color w:val="FFFFFF" w:themeColor="background1"/>
                <w:sz w:val="18"/>
                <w:szCs w:val="18"/>
              </w:rPr>
              <w:t>CZYSTE ŚRODOWISKO I </w:t>
            </w:r>
            <w:r w:rsidR="006004BA" w:rsidRPr="005B406F">
              <w:rPr>
                <w:rFonts w:cs="Calibri"/>
                <w:color w:val="FFFFFF" w:themeColor="background1"/>
                <w:sz w:val="18"/>
                <w:szCs w:val="18"/>
              </w:rPr>
              <w:t xml:space="preserve">ADAPTACJA DO ZMIAN KLIMATU </w:t>
            </w:r>
          </w:p>
        </w:tc>
        <w:tc>
          <w:tcPr>
            <w:tcW w:w="2303" w:type="dxa"/>
            <w:shd w:val="clear" w:color="auto" w:fill="2C82F4" w:themeFill="text2" w:themeFillTint="99"/>
            <w:vAlign w:val="center"/>
          </w:tcPr>
          <w:p w:rsidR="00C31A5F" w:rsidRPr="005B406F" w:rsidRDefault="00CA661D" w:rsidP="00A13FA7">
            <w:pPr>
              <w:pStyle w:val="Akapitzlist"/>
              <w:numPr>
                <w:ilvl w:val="0"/>
                <w:numId w:val="19"/>
              </w:numPr>
              <w:spacing w:before="0"/>
              <w:ind w:left="72" w:firstLine="0"/>
              <w:jc w:val="center"/>
              <w:rPr>
                <w:rFonts w:cs="Calibri"/>
                <w:color w:val="FFFFFF" w:themeColor="background1"/>
                <w:sz w:val="18"/>
                <w:szCs w:val="18"/>
              </w:rPr>
            </w:pPr>
            <w:r w:rsidRPr="005B406F">
              <w:rPr>
                <w:rFonts w:cs="Calibri"/>
                <w:color w:val="FFFFFF" w:themeColor="background1"/>
                <w:sz w:val="18"/>
                <w:szCs w:val="18"/>
              </w:rPr>
              <w:t>ROZWIJAJĄCA SIĘ GOSPODARKA I </w:t>
            </w:r>
            <w:r w:rsidR="006004BA" w:rsidRPr="005B406F">
              <w:rPr>
                <w:rFonts w:cs="Calibri"/>
                <w:color w:val="FFFFFF" w:themeColor="background1"/>
                <w:sz w:val="18"/>
                <w:szCs w:val="18"/>
              </w:rPr>
              <w:t xml:space="preserve">LOKALNY RYNEK PRACY </w:t>
            </w:r>
          </w:p>
        </w:tc>
        <w:tc>
          <w:tcPr>
            <w:tcW w:w="2303" w:type="dxa"/>
            <w:shd w:val="clear" w:color="auto" w:fill="2C82F4" w:themeFill="text2" w:themeFillTint="99"/>
            <w:vAlign w:val="center"/>
          </w:tcPr>
          <w:p w:rsidR="00C31A5F" w:rsidRPr="005B406F" w:rsidRDefault="00CA661D" w:rsidP="00A13FA7">
            <w:pPr>
              <w:pStyle w:val="Akapitzlist"/>
              <w:numPr>
                <w:ilvl w:val="0"/>
                <w:numId w:val="19"/>
              </w:numPr>
              <w:spacing w:before="0"/>
              <w:ind w:left="79" w:hanging="12"/>
              <w:jc w:val="center"/>
              <w:rPr>
                <w:rFonts w:cs="Calibri"/>
                <w:color w:val="FFFFFF" w:themeColor="background1"/>
                <w:sz w:val="18"/>
                <w:szCs w:val="18"/>
              </w:rPr>
            </w:pPr>
            <w:r w:rsidRPr="005B406F">
              <w:rPr>
                <w:rFonts w:cs="Calibri"/>
                <w:color w:val="FFFFFF" w:themeColor="background1"/>
                <w:sz w:val="18"/>
                <w:szCs w:val="18"/>
              </w:rPr>
              <w:t>SPRAWNA ADMINISTRACJA I </w:t>
            </w:r>
            <w:r w:rsidR="006004BA" w:rsidRPr="005B406F">
              <w:rPr>
                <w:rFonts w:cs="Calibri"/>
                <w:color w:val="FFFFFF" w:themeColor="background1"/>
                <w:sz w:val="18"/>
                <w:szCs w:val="18"/>
              </w:rPr>
              <w:t xml:space="preserve">AKTYWNE SPOŁECZEŃSTWO OBYWATELSKIE </w:t>
            </w:r>
          </w:p>
        </w:tc>
      </w:tr>
      <w:tr w:rsidR="006004BA" w:rsidRPr="005B406F" w:rsidTr="005B406F">
        <w:trPr>
          <w:gridAfter w:val="1"/>
          <w:wAfter w:w="8" w:type="dxa"/>
        </w:trPr>
        <w:tc>
          <w:tcPr>
            <w:tcW w:w="9212" w:type="dxa"/>
            <w:gridSpan w:val="4"/>
          </w:tcPr>
          <w:p w:rsidR="006004BA" w:rsidRPr="005B406F" w:rsidRDefault="006004BA" w:rsidP="005B406F">
            <w:pPr>
              <w:jc w:val="center"/>
              <w:rPr>
                <w:rFonts w:ascii="Calibri" w:hAnsi="Calibri" w:cs="Calibri"/>
                <w:b/>
                <w:color w:val="000000"/>
                <w:sz w:val="18"/>
                <w:szCs w:val="18"/>
              </w:rPr>
            </w:pPr>
            <w:r w:rsidRPr="005B406F">
              <w:rPr>
                <w:rFonts w:ascii="Calibri" w:hAnsi="Calibri" w:cs="Calibri"/>
                <w:b/>
                <w:color w:val="000000"/>
                <w:sz w:val="18"/>
                <w:szCs w:val="18"/>
              </w:rPr>
              <w:t>Cele operacyjne</w:t>
            </w:r>
          </w:p>
        </w:tc>
      </w:tr>
      <w:tr w:rsidR="007F60A9" w:rsidRPr="005B406F" w:rsidTr="005B406F">
        <w:trPr>
          <w:gridAfter w:val="1"/>
          <w:wAfter w:w="8" w:type="dxa"/>
        </w:trPr>
        <w:tc>
          <w:tcPr>
            <w:tcW w:w="2303" w:type="dxa"/>
            <w:shd w:val="clear" w:color="auto" w:fill="B8D5FB" w:themeFill="text2" w:themeFillTint="33"/>
            <w:vAlign w:val="center"/>
          </w:tcPr>
          <w:p w:rsidR="00C31A5F" w:rsidRPr="005B406F" w:rsidRDefault="006004BA" w:rsidP="00A13FA7">
            <w:pPr>
              <w:pStyle w:val="Akapitzlist"/>
              <w:numPr>
                <w:ilvl w:val="0"/>
                <w:numId w:val="20"/>
              </w:numPr>
              <w:spacing w:before="0"/>
              <w:ind w:left="0" w:firstLine="0"/>
              <w:jc w:val="center"/>
              <w:rPr>
                <w:rFonts w:cs="Calibri"/>
                <w:color w:val="000000"/>
                <w:sz w:val="18"/>
                <w:szCs w:val="18"/>
              </w:rPr>
            </w:pPr>
            <w:r w:rsidRPr="005B406F">
              <w:rPr>
                <w:rFonts w:cs="Calibri"/>
                <w:color w:val="000000"/>
                <w:sz w:val="18"/>
                <w:szCs w:val="18"/>
              </w:rPr>
              <w:t>Lepsza dostępność komunikacyjna obszaru HOF</w:t>
            </w:r>
          </w:p>
        </w:tc>
        <w:tc>
          <w:tcPr>
            <w:tcW w:w="2303" w:type="dxa"/>
            <w:shd w:val="clear" w:color="auto" w:fill="B8D5FB" w:themeFill="text2" w:themeFillTint="33"/>
            <w:vAlign w:val="center"/>
          </w:tcPr>
          <w:p w:rsidR="00C31A5F" w:rsidRPr="005B406F" w:rsidRDefault="005B406F" w:rsidP="00A13FA7">
            <w:pPr>
              <w:pStyle w:val="Akapitzlist"/>
              <w:numPr>
                <w:ilvl w:val="0"/>
                <w:numId w:val="21"/>
              </w:numPr>
              <w:spacing w:before="0"/>
              <w:ind w:left="107" w:firstLine="0"/>
              <w:jc w:val="center"/>
              <w:rPr>
                <w:rFonts w:cs="Calibri"/>
                <w:color w:val="000000"/>
                <w:sz w:val="18"/>
                <w:szCs w:val="18"/>
              </w:rPr>
            </w:pPr>
            <w:r>
              <w:rPr>
                <w:rFonts w:cs="Calibri"/>
                <w:color w:val="000000"/>
                <w:sz w:val="18"/>
                <w:szCs w:val="18"/>
              </w:rPr>
              <w:t xml:space="preserve"> </w:t>
            </w:r>
            <w:r w:rsidR="006004BA" w:rsidRPr="005B406F">
              <w:rPr>
                <w:rFonts w:cs="Calibri"/>
                <w:color w:val="000000"/>
                <w:sz w:val="18"/>
                <w:szCs w:val="18"/>
              </w:rPr>
              <w:t>Racjonalne gospodarowanie zasobami wodnymi</w:t>
            </w:r>
          </w:p>
        </w:tc>
        <w:tc>
          <w:tcPr>
            <w:tcW w:w="2303" w:type="dxa"/>
            <w:shd w:val="clear" w:color="auto" w:fill="B8D5FB" w:themeFill="text2" w:themeFillTint="33"/>
            <w:vAlign w:val="center"/>
          </w:tcPr>
          <w:p w:rsidR="00C31A5F" w:rsidRPr="005B406F" w:rsidRDefault="00EE1FCE" w:rsidP="00A13FA7">
            <w:pPr>
              <w:pStyle w:val="Akapitzlist"/>
              <w:numPr>
                <w:ilvl w:val="0"/>
                <w:numId w:val="22"/>
              </w:numPr>
              <w:spacing w:before="0"/>
              <w:ind w:left="72" w:firstLine="0"/>
              <w:jc w:val="center"/>
              <w:rPr>
                <w:rFonts w:cs="Calibri"/>
                <w:color w:val="000000"/>
                <w:sz w:val="18"/>
                <w:szCs w:val="18"/>
              </w:rPr>
            </w:pPr>
            <w:r w:rsidRPr="005B406F">
              <w:rPr>
                <w:rFonts w:cs="Calibri"/>
                <w:color w:val="000000"/>
                <w:sz w:val="18"/>
                <w:szCs w:val="18"/>
              </w:rPr>
              <w:t>Rozwój i </w:t>
            </w:r>
            <w:r w:rsidR="006004BA" w:rsidRPr="005B406F">
              <w:rPr>
                <w:rFonts w:cs="Calibri"/>
                <w:color w:val="000000"/>
                <w:sz w:val="18"/>
                <w:szCs w:val="18"/>
              </w:rPr>
              <w:t>wzmocnienie konkurencyjności istniejących przedsiębiorstw</w:t>
            </w:r>
          </w:p>
        </w:tc>
        <w:tc>
          <w:tcPr>
            <w:tcW w:w="2303" w:type="dxa"/>
            <w:shd w:val="clear" w:color="auto" w:fill="B8D5FB" w:themeFill="text2" w:themeFillTint="33"/>
            <w:vAlign w:val="center"/>
          </w:tcPr>
          <w:p w:rsidR="00C31A5F" w:rsidRPr="005B406F" w:rsidRDefault="006004BA" w:rsidP="00A13FA7">
            <w:pPr>
              <w:pStyle w:val="Akapitzlist"/>
              <w:numPr>
                <w:ilvl w:val="0"/>
                <w:numId w:val="23"/>
              </w:numPr>
              <w:spacing w:before="0"/>
              <w:ind w:left="37" w:firstLine="0"/>
              <w:jc w:val="center"/>
              <w:rPr>
                <w:rFonts w:cs="Calibri"/>
                <w:color w:val="000000"/>
                <w:sz w:val="18"/>
                <w:szCs w:val="18"/>
              </w:rPr>
            </w:pPr>
            <w:r w:rsidRPr="005B406F">
              <w:rPr>
                <w:rFonts w:cs="Calibri"/>
                <w:color w:val="000000"/>
                <w:sz w:val="18"/>
                <w:szCs w:val="18"/>
              </w:rPr>
              <w:t>Wzmacnianie zdolności instytucjonaln</w:t>
            </w:r>
            <w:r w:rsidR="00EE1FCE" w:rsidRPr="005B406F">
              <w:rPr>
                <w:rFonts w:cs="Calibri"/>
                <w:color w:val="000000"/>
                <w:sz w:val="18"/>
                <w:szCs w:val="18"/>
              </w:rPr>
              <w:t>ej administracji samorządowej w </w:t>
            </w:r>
            <w:r w:rsidRPr="005B406F">
              <w:rPr>
                <w:rFonts w:cs="Calibri"/>
                <w:color w:val="000000"/>
                <w:sz w:val="18"/>
                <w:szCs w:val="18"/>
              </w:rPr>
              <w:t>zakresie zintegrowanego zarządzania rozwojem HOF</w:t>
            </w:r>
          </w:p>
        </w:tc>
      </w:tr>
      <w:tr w:rsidR="007F60A9" w:rsidRPr="005B406F" w:rsidTr="005B406F">
        <w:trPr>
          <w:gridAfter w:val="1"/>
          <w:wAfter w:w="8" w:type="dxa"/>
        </w:trPr>
        <w:tc>
          <w:tcPr>
            <w:tcW w:w="2303" w:type="dxa"/>
            <w:shd w:val="clear" w:color="auto" w:fill="B8D5FB" w:themeFill="text2" w:themeFillTint="33"/>
            <w:vAlign w:val="center"/>
          </w:tcPr>
          <w:p w:rsidR="00C31A5F" w:rsidRPr="005B406F" w:rsidRDefault="006004BA" w:rsidP="00A13FA7">
            <w:pPr>
              <w:pStyle w:val="Akapitzlist"/>
              <w:numPr>
                <w:ilvl w:val="0"/>
                <w:numId w:val="20"/>
              </w:numPr>
              <w:spacing w:before="0"/>
              <w:ind w:left="0" w:firstLine="0"/>
              <w:jc w:val="center"/>
              <w:rPr>
                <w:rFonts w:cs="Calibri"/>
                <w:color w:val="000000"/>
                <w:sz w:val="18"/>
                <w:szCs w:val="18"/>
              </w:rPr>
            </w:pPr>
            <w:r w:rsidRPr="005B406F">
              <w:rPr>
                <w:rFonts w:cs="Calibri"/>
                <w:color w:val="000000"/>
                <w:sz w:val="18"/>
                <w:szCs w:val="18"/>
              </w:rPr>
              <w:t>Lepszy dostęp do mieszkań oraz ich wyższy standard</w:t>
            </w:r>
          </w:p>
        </w:tc>
        <w:tc>
          <w:tcPr>
            <w:tcW w:w="2303" w:type="dxa"/>
            <w:shd w:val="clear" w:color="auto" w:fill="B8D5FB" w:themeFill="text2" w:themeFillTint="33"/>
            <w:vAlign w:val="center"/>
          </w:tcPr>
          <w:p w:rsidR="00C31A5F" w:rsidRPr="005B406F" w:rsidRDefault="005B406F" w:rsidP="00A13FA7">
            <w:pPr>
              <w:pStyle w:val="Akapitzlist"/>
              <w:numPr>
                <w:ilvl w:val="0"/>
                <w:numId w:val="21"/>
              </w:numPr>
              <w:spacing w:before="0"/>
              <w:ind w:left="107" w:firstLine="0"/>
              <w:jc w:val="center"/>
              <w:rPr>
                <w:rFonts w:cs="Calibri"/>
                <w:color w:val="000000"/>
                <w:sz w:val="18"/>
                <w:szCs w:val="18"/>
              </w:rPr>
            </w:pPr>
            <w:r>
              <w:rPr>
                <w:rFonts w:cs="Calibri"/>
                <w:color w:val="000000"/>
                <w:sz w:val="18"/>
                <w:szCs w:val="18"/>
              </w:rPr>
              <w:t xml:space="preserve"> </w:t>
            </w:r>
            <w:r w:rsidR="006004BA" w:rsidRPr="005B406F">
              <w:rPr>
                <w:rFonts w:cs="Calibri"/>
                <w:color w:val="000000"/>
                <w:sz w:val="18"/>
                <w:szCs w:val="18"/>
              </w:rPr>
              <w:t>Transformacja gospodarki odpadami w kierunku obiegu zamkniętego</w:t>
            </w:r>
          </w:p>
        </w:tc>
        <w:tc>
          <w:tcPr>
            <w:tcW w:w="2303" w:type="dxa"/>
            <w:shd w:val="clear" w:color="auto" w:fill="B8D5FB" w:themeFill="text2" w:themeFillTint="33"/>
            <w:vAlign w:val="center"/>
          </w:tcPr>
          <w:p w:rsidR="00C31A5F" w:rsidRPr="005B406F" w:rsidRDefault="006004BA" w:rsidP="00A13FA7">
            <w:pPr>
              <w:pStyle w:val="Akapitzlist"/>
              <w:numPr>
                <w:ilvl w:val="0"/>
                <w:numId w:val="22"/>
              </w:numPr>
              <w:spacing w:before="0"/>
              <w:ind w:left="72" w:firstLine="0"/>
              <w:jc w:val="center"/>
              <w:rPr>
                <w:rFonts w:cs="Calibri"/>
                <w:color w:val="000000"/>
                <w:sz w:val="18"/>
                <w:szCs w:val="18"/>
              </w:rPr>
            </w:pPr>
            <w:r w:rsidRPr="005B406F">
              <w:rPr>
                <w:rFonts w:cs="Calibri"/>
                <w:color w:val="000000"/>
                <w:sz w:val="18"/>
                <w:szCs w:val="18"/>
              </w:rPr>
              <w:t>Kreowanie przyjaznych warunków do przyciągania inwestycji i rozwoju nowych firm</w:t>
            </w:r>
          </w:p>
        </w:tc>
        <w:tc>
          <w:tcPr>
            <w:tcW w:w="2303" w:type="dxa"/>
            <w:shd w:val="clear" w:color="auto" w:fill="B8D5FB" w:themeFill="text2" w:themeFillTint="33"/>
            <w:vAlign w:val="center"/>
          </w:tcPr>
          <w:p w:rsidR="00C31A5F" w:rsidRPr="005B406F" w:rsidRDefault="00EE1FCE" w:rsidP="00A13FA7">
            <w:pPr>
              <w:pStyle w:val="Akapitzlist"/>
              <w:numPr>
                <w:ilvl w:val="0"/>
                <w:numId w:val="23"/>
              </w:numPr>
              <w:spacing w:before="0"/>
              <w:ind w:left="37" w:firstLine="0"/>
              <w:jc w:val="center"/>
              <w:rPr>
                <w:rFonts w:cs="Calibri"/>
                <w:sz w:val="18"/>
                <w:szCs w:val="18"/>
              </w:rPr>
            </w:pPr>
            <w:r w:rsidRPr="005B406F">
              <w:rPr>
                <w:rFonts w:cs="Calibri"/>
                <w:color w:val="000000"/>
                <w:sz w:val="18"/>
                <w:szCs w:val="18"/>
              </w:rPr>
              <w:t>Cyfryzacja usług i </w:t>
            </w:r>
            <w:r w:rsidR="006004BA" w:rsidRPr="005B406F">
              <w:rPr>
                <w:rFonts w:cs="Calibri"/>
                <w:color w:val="000000"/>
                <w:sz w:val="18"/>
                <w:szCs w:val="18"/>
              </w:rPr>
              <w:t>zasobów administracji samorządowej</w:t>
            </w:r>
          </w:p>
        </w:tc>
      </w:tr>
      <w:tr w:rsidR="007F60A9" w:rsidRPr="005B406F" w:rsidTr="005B406F">
        <w:trPr>
          <w:gridAfter w:val="1"/>
          <w:wAfter w:w="8" w:type="dxa"/>
        </w:trPr>
        <w:tc>
          <w:tcPr>
            <w:tcW w:w="2303" w:type="dxa"/>
            <w:shd w:val="clear" w:color="auto" w:fill="B8D5FB" w:themeFill="text2" w:themeFillTint="33"/>
            <w:vAlign w:val="center"/>
          </w:tcPr>
          <w:p w:rsidR="00C31A5F" w:rsidRPr="005B406F" w:rsidRDefault="00EE1FCE" w:rsidP="00A13FA7">
            <w:pPr>
              <w:pStyle w:val="Akapitzlist"/>
              <w:numPr>
                <w:ilvl w:val="0"/>
                <w:numId w:val="20"/>
              </w:numPr>
              <w:spacing w:before="0"/>
              <w:ind w:left="0" w:firstLine="0"/>
              <w:jc w:val="center"/>
              <w:rPr>
                <w:rFonts w:cs="Calibri"/>
                <w:color w:val="000000"/>
                <w:sz w:val="18"/>
                <w:szCs w:val="18"/>
              </w:rPr>
            </w:pPr>
            <w:r w:rsidRPr="005B406F">
              <w:rPr>
                <w:rFonts w:cs="Calibri"/>
                <w:color w:val="000000"/>
                <w:sz w:val="18"/>
                <w:szCs w:val="18"/>
              </w:rPr>
              <w:t>Lepszy dostęp i </w:t>
            </w:r>
            <w:r w:rsidR="006004BA" w:rsidRPr="005B406F">
              <w:rPr>
                <w:rFonts w:cs="Calibri"/>
                <w:color w:val="000000"/>
                <w:sz w:val="18"/>
                <w:szCs w:val="18"/>
              </w:rPr>
              <w:t>jakość usług w zakresie opieki nad d</w:t>
            </w:r>
            <w:r w:rsidRPr="005B406F">
              <w:rPr>
                <w:rFonts w:cs="Calibri"/>
                <w:color w:val="000000"/>
                <w:sz w:val="18"/>
                <w:szCs w:val="18"/>
              </w:rPr>
              <w:t>zieckiem oraz edukacji dzieci i </w:t>
            </w:r>
            <w:r w:rsidR="006004BA" w:rsidRPr="005B406F">
              <w:rPr>
                <w:rFonts w:cs="Calibri"/>
                <w:color w:val="000000"/>
                <w:sz w:val="18"/>
                <w:szCs w:val="18"/>
              </w:rPr>
              <w:t>młodzieży</w:t>
            </w:r>
          </w:p>
        </w:tc>
        <w:tc>
          <w:tcPr>
            <w:tcW w:w="2303" w:type="dxa"/>
            <w:shd w:val="clear" w:color="auto" w:fill="B8D5FB" w:themeFill="text2" w:themeFillTint="33"/>
            <w:vAlign w:val="center"/>
          </w:tcPr>
          <w:p w:rsidR="00C31A5F" w:rsidRPr="005B406F" w:rsidRDefault="005B406F" w:rsidP="00A13FA7">
            <w:pPr>
              <w:pStyle w:val="Akapitzlist"/>
              <w:numPr>
                <w:ilvl w:val="0"/>
                <w:numId w:val="21"/>
              </w:numPr>
              <w:spacing w:before="0"/>
              <w:ind w:left="107" w:firstLine="0"/>
              <w:jc w:val="center"/>
              <w:rPr>
                <w:rFonts w:cs="Calibri"/>
                <w:color w:val="000000"/>
                <w:sz w:val="18"/>
                <w:szCs w:val="18"/>
              </w:rPr>
            </w:pPr>
            <w:r>
              <w:rPr>
                <w:rFonts w:cs="Calibri"/>
                <w:color w:val="000000"/>
                <w:sz w:val="18"/>
                <w:szCs w:val="18"/>
              </w:rPr>
              <w:t xml:space="preserve"> </w:t>
            </w:r>
            <w:r w:rsidR="006004BA" w:rsidRPr="005B406F">
              <w:rPr>
                <w:rFonts w:cs="Calibri"/>
                <w:color w:val="000000"/>
                <w:sz w:val="18"/>
                <w:szCs w:val="18"/>
              </w:rPr>
              <w:t>Transformacja energetyczna i czyste powietrze</w:t>
            </w:r>
          </w:p>
        </w:tc>
        <w:tc>
          <w:tcPr>
            <w:tcW w:w="2303" w:type="dxa"/>
            <w:shd w:val="clear" w:color="auto" w:fill="B8D5FB" w:themeFill="text2" w:themeFillTint="33"/>
            <w:vAlign w:val="center"/>
          </w:tcPr>
          <w:p w:rsidR="00C31A5F" w:rsidRPr="005B406F" w:rsidRDefault="006004BA" w:rsidP="00A13FA7">
            <w:pPr>
              <w:pStyle w:val="Akapitzlist"/>
              <w:numPr>
                <w:ilvl w:val="0"/>
                <w:numId w:val="22"/>
              </w:numPr>
              <w:spacing w:before="0"/>
              <w:ind w:left="72" w:firstLine="0"/>
              <w:jc w:val="center"/>
              <w:rPr>
                <w:rFonts w:cs="Calibri"/>
                <w:color w:val="000000"/>
                <w:sz w:val="18"/>
                <w:szCs w:val="18"/>
              </w:rPr>
            </w:pPr>
            <w:r w:rsidRPr="005B406F">
              <w:rPr>
                <w:rFonts w:cs="Calibri"/>
                <w:color w:val="000000"/>
                <w:sz w:val="18"/>
                <w:szCs w:val="18"/>
              </w:rPr>
              <w:t>Roz</w:t>
            </w:r>
            <w:r w:rsidR="00EE1FCE" w:rsidRPr="005B406F">
              <w:rPr>
                <w:rFonts w:cs="Calibri"/>
                <w:color w:val="000000"/>
                <w:sz w:val="18"/>
                <w:szCs w:val="18"/>
              </w:rPr>
              <w:t>wój sektora rolno-spożywczego z </w:t>
            </w:r>
            <w:r w:rsidRPr="005B406F">
              <w:rPr>
                <w:rFonts w:cs="Calibri"/>
                <w:color w:val="000000"/>
                <w:sz w:val="18"/>
                <w:szCs w:val="18"/>
              </w:rPr>
              <w:t>większą wartością dodaną</w:t>
            </w:r>
          </w:p>
        </w:tc>
        <w:tc>
          <w:tcPr>
            <w:tcW w:w="2303" w:type="dxa"/>
            <w:shd w:val="clear" w:color="auto" w:fill="B8D5FB" w:themeFill="text2" w:themeFillTint="33"/>
            <w:vAlign w:val="center"/>
          </w:tcPr>
          <w:p w:rsidR="00C31A5F" w:rsidRPr="005B406F" w:rsidRDefault="006004BA" w:rsidP="00A13FA7">
            <w:pPr>
              <w:pStyle w:val="Akapitzlist"/>
              <w:numPr>
                <w:ilvl w:val="0"/>
                <w:numId w:val="23"/>
              </w:numPr>
              <w:spacing w:before="0"/>
              <w:ind w:left="37" w:firstLine="0"/>
              <w:jc w:val="center"/>
              <w:rPr>
                <w:rFonts w:cs="Calibri"/>
                <w:color w:val="000000"/>
                <w:sz w:val="18"/>
                <w:szCs w:val="18"/>
              </w:rPr>
            </w:pPr>
            <w:r w:rsidRPr="005B406F">
              <w:rPr>
                <w:rFonts w:cs="Calibri"/>
                <w:color w:val="000000"/>
                <w:sz w:val="18"/>
                <w:szCs w:val="18"/>
              </w:rPr>
              <w:t>Aktywizacja obywatelska mieszkańców oraz budowanie kapitału społecznego</w:t>
            </w:r>
          </w:p>
        </w:tc>
      </w:tr>
      <w:tr w:rsidR="007F60A9" w:rsidRPr="005B406F" w:rsidTr="005B406F">
        <w:trPr>
          <w:gridAfter w:val="1"/>
          <w:wAfter w:w="8" w:type="dxa"/>
        </w:trPr>
        <w:tc>
          <w:tcPr>
            <w:tcW w:w="2303" w:type="dxa"/>
            <w:shd w:val="clear" w:color="auto" w:fill="B8D5FB" w:themeFill="text2" w:themeFillTint="33"/>
            <w:vAlign w:val="center"/>
          </w:tcPr>
          <w:p w:rsidR="00C31A5F" w:rsidRPr="005B406F" w:rsidRDefault="006004BA" w:rsidP="00A13FA7">
            <w:pPr>
              <w:pStyle w:val="Akapitzlist"/>
              <w:numPr>
                <w:ilvl w:val="0"/>
                <w:numId w:val="20"/>
              </w:numPr>
              <w:spacing w:before="0"/>
              <w:ind w:left="0" w:firstLine="0"/>
              <w:jc w:val="center"/>
              <w:rPr>
                <w:rFonts w:cs="Calibri"/>
                <w:color w:val="000000"/>
                <w:sz w:val="18"/>
                <w:szCs w:val="18"/>
              </w:rPr>
            </w:pPr>
            <w:r w:rsidRPr="005B406F">
              <w:rPr>
                <w:rFonts w:cs="Calibri"/>
                <w:color w:val="000000"/>
                <w:sz w:val="18"/>
                <w:szCs w:val="18"/>
              </w:rPr>
              <w:t>Poprawa dostępności mieszkańców do usług zdrowia i opieki społecznej</w:t>
            </w:r>
          </w:p>
        </w:tc>
        <w:tc>
          <w:tcPr>
            <w:tcW w:w="2303" w:type="dxa"/>
            <w:shd w:val="clear" w:color="auto" w:fill="B8D5FB" w:themeFill="text2" w:themeFillTint="33"/>
            <w:vAlign w:val="center"/>
          </w:tcPr>
          <w:p w:rsidR="00C31A5F" w:rsidRPr="005B406F" w:rsidRDefault="005B406F" w:rsidP="00A13FA7">
            <w:pPr>
              <w:pStyle w:val="Akapitzlist"/>
              <w:numPr>
                <w:ilvl w:val="0"/>
                <w:numId w:val="21"/>
              </w:numPr>
              <w:spacing w:before="0"/>
              <w:ind w:left="107" w:firstLine="0"/>
              <w:jc w:val="center"/>
              <w:rPr>
                <w:rFonts w:cs="Calibri"/>
                <w:color w:val="000000"/>
                <w:sz w:val="18"/>
                <w:szCs w:val="18"/>
              </w:rPr>
            </w:pPr>
            <w:r>
              <w:rPr>
                <w:rFonts w:cs="Calibri"/>
                <w:color w:val="000000"/>
                <w:sz w:val="18"/>
                <w:szCs w:val="18"/>
              </w:rPr>
              <w:t xml:space="preserve"> </w:t>
            </w:r>
            <w:r w:rsidR="006004BA" w:rsidRPr="005B406F">
              <w:rPr>
                <w:rFonts w:cs="Calibri"/>
                <w:color w:val="000000"/>
                <w:sz w:val="18"/>
                <w:szCs w:val="18"/>
              </w:rPr>
              <w:t>O</w:t>
            </w:r>
            <w:r w:rsidR="00EE1FCE" w:rsidRPr="005B406F">
              <w:rPr>
                <w:rFonts w:cs="Calibri"/>
                <w:color w:val="000000"/>
                <w:sz w:val="18"/>
                <w:szCs w:val="18"/>
              </w:rPr>
              <w:t>chrona walorów przyrodniczych i </w:t>
            </w:r>
            <w:r w:rsidR="006004BA" w:rsidRPr="005B406F">
              <w:rPr>
                <w:rFonts w:cs="Calibri"/>
                <w:color w:val="000000"/>
                <w:sz w:val="18"/>
                <w:szCs w:val="18"/>
              </w:rPr>
              <w:t>kulturowych obszaru HOF</w:t>
            </w:r>
          </w:p>
        </w:tc>
        <w:tc>
          <w:tcPr>
            <w:tcW w:w="2303" w:type="dxa"/>
            <w:tcBorders>
              <w:bottom w:val="single" w:sz="18" w:space="0" w:color="DA0000"/>
            </w:tcBorders>
            <w:shd w:val="clear" w:color="auto" w:fill="B8D5FB" w:themeFill="text2" w:themeFillTint="33"/>
            <w:vAlign w:val="center"/>
          </w:tcPr>
          <w:p w:rsidR="00C31A5F" w:rsidRPr="005B406F" w:rsidRDefault="00EE1FCE" w:rsidP="00A13FA7">
            <w:pPr>
              <w:pStyle w:val="Akapitzlist"/>
              <w:numPr>
                <w:ilvl w:val="0"/>
                <w:numId w:val="22"/>
              </w:numPr>
              <w:spacing w:before="0"/>
              <w:ind w:left="72" w:firstLine="0"/>
              <w:jc w:val="center"/>
              <w:rPr>
                <w:rFonts w:cs="Calibri"/>
                <w:color w:val="000000"/>
                <w:sz w:val="18"/>
                <w:szCs w:val="18"/>
              </w:rPr>
            </w:pPr>
            <w:r w:rsidRPr="005B406F">
              <w:rPr>
                <w:rFonts w:cs="Calibri"/>
                <w:color w:val="000000"/>
                <w:sz w:val="18"/>
                <w:szCs w:val="18"/>
              </w:rPr>
              <w:t>Rozwój i </w:t>
            </w:r>
            <w:r w:rsidR="006004BA" w:rsidRPr="005B406F">
              <w:rPr>
                <w:rFonts w:cs="Calibri"/>
                <w:color w:val="000000"/>
                <w:sz w:val="18"/>
                <w:szCs w:val="18"/>
              </w:rPr>
              <w:t>promocja zintegrowanego produktu turystycznego Ziemi Hrubieszowskiej</w:t>
            </w:r>
          </w:p>
        </w:tc>
        <w:tc>
          <w:tcPr>
            <w:tcW w:w="2303" w:type="dxa"/>
            <w:tcBorders>
              <w:bottom w:val="single" w:sz="18" w:space="0" w:color="DA0000"/>
            </w:tcBorders>
            <w:shd w:val="clear" w:color="auto" w:fill="B8D5FB" w:themeFill="text2" w:themeFillTint="33"/>
            <w:vAlign w:val="center"/>
          </w:tcPr>
          <w:p w:rsidR="00C31A5F" w:rsidRPr="005B406F" w:rsidRDefault="006004BA" w:rsidP="00A13FA7">
            <w:pPr>
              <w:pStyle w:val="Akapitzlist"/>
              <w:numPr>
                <w:ilvl w:val="0"/>
                <w:numId w:val="23"/>
              </w:numPr>
              <w:spacing w:before="0"/>
              <w:ind w:left="37" w:firstLine="0"/>
              <w:jc w:val="center"/>
              <w:rPr>
                <w:rFonts w:cs="Calibri"/>
                <w:color w:val="000000"/>
                <w:sz w:val="18"/>
                <w:szCs w:val="18"/>
              </w:rPr>
            </w:pPr>
            <w:r w:rsidRPr="005B406F">
              <w:rPr>
                <w:rFonts w:cs="Calibri"/>
                <w:color w:val="000000"/>
                <w:sz w:val="18"/>
                <w:szCs w:val="18"/>
              </w:rPr>
              <w:t>Skuteczny marketing oraz promocja obszaru HOF i jego potencjałów rozwoju</w:t>
            </w:r>
          </w:p>
        </w:tc>
      </w:tr>
      <w:tr w:rsidR="005B406F" w:rsidRPr="005B406F" w:rsidTr="005B406F">
        <w:tc>
          <w:tcPr>
            <w:tcW w:w="2303" w:type="dxa"/>
            <w:tcBorders>
              <w:top w:val="single" w:sz="4" w:space="0" w:color="auto"/>
            </w:tcBorders>
            <w:shd w:val="clear" w:color="auto" w:fill="B8D5FB" w:themeFill="text2" w:themeFillTint="33"/>
            <w:vAlign w:val="center"/>
          </w:tcPr>
          <w:p w:rsidR="00F84C11" w:rsidRPr="005B406F" w:rsidRDefault="00F84C11" w:rsidP="00A13FA7">
            <w:pPr>
              <w:pStyle w:val="Akapitzlist"/>
              <w:numPr>
                <w:ilvl w:val="0"/>
                <w:numId w:val="20"/>
              </w:numPr>
              <w:spacing w:before="0"/>
              <w:ind w:left="0" w:firstLine="0"/>
              <w:jc w:val="center"/>
              <w:rPr>
                <w:rFonts w:cs="Calibri"/>
                <w:color w:val="000000"/>
                <w:sz w:val="18"/>
                <w:szCs w:val="18"/>
              </w:rPr>
            </w:pPr>
            <w:r w:rsidRPr="005B406F">
              <w:rPr>
                <w:rFonts w:cs="Calibri"/>
                <w:color w:val="000000"/>
                <w:sz w:val="18"/>
                <w:szCs w:val="18"/>
              </w:rPr>
              <w:t>Lepsza oferta w zakresie kultury</w:t>
            </w:r>
            <w:r w:rsidR="009B2B5D" w:rsidRPr="005B406F">
              <w:rPr>
                <w:rFonts w:cs="Calibri"/>
                <w:color w:val="000000"/>
                <w:sz w:val="18"/>
                <w:szCs w:val="18"/>
              </w:rPr>
              <w:t xml:space="preserve">, </w:t>
            </w:r>
            <w:r w:rsidRPr="005B406F">
              <w:rPr>
                <w:rFonts w:cs="Calibri"/>
                <w:color w:val="000000"/>
                <w:sz w:val="18"/>
                <w:szCs w:val="18"/>
              </w:rPr>
              <w:t>rekreacji</w:t>
            </w:r>
            <w:r w:rsidR="009B2B5D" w:rsidRPr="005B406F">
              <w:rPr>
                <w:rFonts w:cs="Calibri"/>
                <w:color w:val="000000"/>
                <w:sz w:val="18"/>
                <w:szCs w:val="18"/>
              </w:rPr>
              <w:t xml:space="preserve"> i sportu</w:t>
            </w:r>
            <w:r w:rsidRPr="005B406F">
              <w:rPr>
                <w:rFonts w:cs="Calibri"/>
                <w:color w:val="000000"/>
                <w:sz w:val="18"/>
                <w:szCs w:val="18"/>
              </w:rPr>
              <w:t xml:space="preserve"> dla mieszkańców</w:t>
            </w:r>
          </w:p>
        </w:tc>
        <w:tc>
          <w:tcPr>
            <w:tcW w:w="2303" w:type="dxa"/>
            <w:tcBorders>
              <w:top w:val="single" w:sz="4" w:space="0" w:color="auto"/>
              <w:bottom w:val="single" w:sz="18" w:space="0" w:color="DA0000"/>
              <w:right w:val="single" w:sz="18" w:space="0" w:color="DA0000"/>
            </w:tcBorders>
            <w:shd w:val="clear" w:color="auto" w:fill="B8D5FB" w:themeFill="text2" w:themeFillTint="33"/>
            <w:vAlign w:val="center"/>
          </w:tcPr>
          <w:p w:rsidR="00F84C11" w:rsidRPr="005B406F" w:rsidRDefault="005B406F" w:rsidP="00A13FA7">
            <w:pPr>
              <w:pStyle w:val="Akapitzlist"/>
              <w:numPr>
                <w:ilvl w:val="0"/>
                <w:numId w:val="21"/>
              </w:numPr>
              <w:spacing w:before="0"/>
              <w:ind w:left="107" w:firstLine="0"/>
              <w:jc w:val="center"/>
              <w:rPr>
                <w:rFonts w:cs="Calibri"/>
                <w:color w:val="000000"/>
                <w:sz w:val="18"/>
                <w:szCs w:val="18"/>
              </w:rPr>
            </w:pPr>
            <w:r>
              <w:rPr>
                <w:rFonts w:cs="Calibri"/>
                <w:color w:val="000000"/>
                <w:sz w:val="18"/>
                <w:szCs w:val="18"/>
              </w:rPr>
              <w:t xml:space="preserve"> </w:t>
            </w:r>
            <w:r w:rsidR="00F84C11" w:rsidRPr="005B406F">
              <w:rPr>
                <w:rFonts w:cs="Calibri"/>
                <w:color w:val="000000"/>
                <w:sz w:val="18"/>
                <w:szCs w:val="18"/>
              </w:rPr>
              <w:t>Edukacja ekologiczna i kształtowanie postaw proekologicznych wśród mieszkańców</w:t>
            </w:r>
          </w:p>
        </w:tc>
        <w:tc>
          <w:tcPr>
            <w:tcW w:w="2303" w:type="dxa"/>
            <w:tcBorders>
              <w:top w:val="single" w:sz="18" w:space="0" w:color="DA0000"/>
              <w:left w:val="single" w:sz="18" w:space="0" w:color="DA0000"/>
              <w:bottom w:val="nil"/>
              <w:right w:val="single" w:sz="18" w:space="0" w:color="DA0000"/>
            </w:tcBorders>
            <w:shd w:val="clear" w:color="auto" w:fill="F3D1D3"/>
            <w:vAlign w:val="center"/>
          </w:tcPr>
          <w:p w:rsidR="005B406F" w:rsidRPr="005B406F" w:rsidRDefault="008F5043" w:rsidP="005B406F">
            <w:pPr>
              <w:spacing w:before="0"/>
              <w:ind w:firstLine="0"/>
              <w:jc w:val="center"/>
              <w:rPr>
                <w:sz w:val="18"/>
                <w:szCs w:val="18"/>
              </w:rPr>
            </w:pPr>
            <w:r>
              <w:rPr>
                <w:sz w:val="18"/>
                <w:szCs w:val="18"/>
              </w:rPr>
              <w:t>3.5 Wzmoc</w:t>
            </w:r>
            <w:r w:rsidRPr="005B406F">
              <w:rPr>
                <w:sz w:val="18"/>
                <w:szCs w:val="18"/>
                <w:shd w:val="clear" w:color="auto" w:fill="F3D1D3"/>
              </w:rPr>
              <w:t>n</w:t>
            </w:r>
            <w:r>
              <w:rPr>
                <w:sz w:val="18"/>
                <w:szCs w:val="18"/>
              </w:rPr>
              <w:t>ienie zintegrowanego potencjału gospodarczego HOF</w:t>
            </w:r>
          </w:p>
        </w:tc>
        <w:tc>
          <w:tcPr>
            <w:tcW w:w="2311" w:type="dxa"/>
            <w:gridSpan w:val="2"/>
            <w:tcBorders>
              <w:left w:val="single" w:sz="18" w:space="0" w:color="DA0000"/>
              <w:right w:val="single" w:sz="18" w:space="0" w:color="DA0000"/>
            </w:tcBorders>
            <w:shd w:val="clear" w:color="auto" w:fill="F3D1D3"/>
          </w:tcPr>
          <w:p w:rsidR="005B406F" w:rsidRPr="005B406F" w:rsidRDefault="005B406F" w:rsidP="005B406F">
            <w:pPr>
              <w:spacing w:before="0"/>
              <w:ind w:firstLine="0"/>
              <w:jc w:val="center"/>
              <w:rPr>
                <w:sz w:val="18"/>
                <w:szCs w:val="18"/>
              </w:rPr>
            </w:pPr>
            <w:r w:rsidRPr="005B406F">
              <w:rPr>
                <w:sz w:val="18"/>
                <w:szCs w:val="18"/>
              </w:rPr>
              <w:t>4.5 Zintegrowana cyfryzacja usług publicznych kierowana do mieszkańców HOF</w:t>
            </w:r>
          </w:p>
        </w:tc>
      </w:tr>
      <w:tr w:rsidR="005B406F" w:rsidRPr="005B406F" w:rsidTr="005B406F">
        <w:trPr>
          <w:gridAfter w:val="3"/>
          <w:wAfter w:w="4614" w:type="dxa"/>
        </w:trPr>
        <w:tc>
          <w:tcPr>
            <w:tcW w:w="2303" w:type="dxa"/>
            <w:tcBorders>
              <w:bottom w:val="single" w:sz="4" w:space="0" w:color="auto"/>
              <w:right w:val="single" w:sz="18" w:space="0" w:color="DA0000"/>
            </w:tcBorders>
            <w:shd w:val="clear" w:color="auto" w:fill="B8D5FB" w:themeFill="text2" w:themeFillTint="33"/>
            <w:vAlign w:val="center"/>
          </w:tcPr>
          <w:p w:rsidR="005B406F" w:rsidRPr="005B406F" w:rsidRDefault="005B406F" w:rsidP="00A13FA7">
            <w:pPr>
              <w:pStyle w:val="Akapitzlist"/>
              <w:numPr>
                <w:ilvl w:val="0"/>
                <w:numId w:val="20"/>
              </w:numPr>
              <w:spacing w:before="0"/>
              <w:ind w:left="0" w:firstLine="0"/>
              <w:jc w:val="center"/>
              <w:rPr>
                <w:rFonts w:cs="Calibri"/>
                <w:color w:val="000000"/>
                <w:sz w:val="18"/>
                <w:szCs w:val="18"/>
              </w:rPr>
            </w:pPr>
            <w:r w:rsidRPr="005B406F">
              <w:rPr>
                <w:rFonts w:cs="Calibri"/>
                <w:color w:val="000000"/>
                <w:sz w:val="18"/>
                <w:szCs w:val="18"/>
              </w:rPr>
              <w:t>Uporządkowana przestrzeń i bezpieczeństwo publiczne</w:t>
            </w:r>
          </w:p>
        </w:tc>
        <w:tc>
          <w:tcPr>
            <w:tcW w:w="2303" w:type="dxa"/>
            <w:tcBorders>
              <w:top w:val="single" w:sz="18" w:space="0" w:color="DA0000"/>
              <w:left w:val="single" w:sz="18" w:space="0" w:color="DA0000"/>
              <w:bottom w:val="single" w:sz="18" w:space="0" w:color="DA0000"/>
              <w:right w:val="single" w:sz="18" w:space="0" w:color="DA0000"/>
            </w:tcBorders>
            <w:shd w:val="clear" w:color="auto" w:fill="F3D1D3"/>
          </w:tcPr>
          <w:p w:rsidR="005B406F" w:rsidRPr="005B406F" w:rsidRDefault="005B406F" w:rsidP="005B406F">
            <w:pPr>
              <w:ind w:firstLine="0"/>
              <w:jc w:val="center"/>
              <w:rPr>
                <w:sz w:val="18"/>
                <w:szCs w:val="18"/>
              </w:rPr>
            </w:pPr>
            <w:r>
              <w:rPr>
                <w:noProof/>
                <w:sz w:val="18"/>
                <w:szCs w:val="18"/>
                <w:lang w:eastAsia="pl-PL"/>
              </w:rPr>
              <mc:AlternateContent>
                <mc:Choice Requires="wps">
                  <w:drawing>
                    <wp:anchor distT="0" distB="0" distL="114300" distR="114300" simplePos="0" relativeHeight="251770880" behindDoc="0" locked="0" layoutInCell="1" allowOverlap="1" wp14:anchorId="05157E58" wp14:editId="249CBB5B">
                      <wp:simplePos x="0" y="0"/>
                      <wp:positionH relativeFrom="column">
                        <wp:posOffset>1399309</wp:posOffset>
                      </wp:positionH>
                      <wp:positionV relativeFrom="paragraph">
                        <wp:posOffset>-21532</wp:posOffset>
                      </wp:positionV>
                      <wp:extent cx="2929371" cy="6350"/>
                      <wp:effectExtent l="19050" t="19050" r="4445" b="31750"/>
                      <wp:wrapNone/>
                      <wp:docPr id="508" name="Łącznik prostoliniowy 508"/>
                      <wp:cNvGraphicFramePr/>
                      <a:graphic xmlns:a="http://schemas.openxmlformats.org/drawingml/2006/main">
                        <a:graphicData uri="http://schemas.microsoft.com/office/word/2010/wordprocessingShape">
                          <wps:wsp>
                            <wps:cNvCnPr/>
                            <wps:spPr>
                              <a:xfrm flipV="1">
                                <a:off x="0" y="0"/>
                                <a:ext cx="2929371" cy="6350"/>
                              </a:xfrm>
                              <a:prstGeom prst="line">
                                <a:avLst/>
                              </a:prstGeom>
                              <a:ln w="28575">
                                <a:solidFill>
                                  <a:srgbClr val="DA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Łącznik prostoliniowy 508" o:spid="_x0000_s1026" style="position:absolute;flip:y;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0.2pt,-1.7pt" to="340.8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" strokecolor="#da0000" strokeweight="2.25pt"/>
                  </w:pict>
                </mc:Fallback>
              </mc:AlternateContent>
            </w:r>
            <w:r w:rsidRPr="005B406F">
              <w:rPr>
                <w:sz w:val="18"/>
                <w:szCs w:val="18"/>
              </w:rPr>
              <w:t>2.6 Partnerskie wspieranie efektywności energetycznej i energooszczędności na obszarze HOF</w:t>
            </w:r>
          </w:p>
        </w:tc>
      </w:tr>
      <w:tr w:rsidR="007F60A9" w:rsidRPr="005B406F" w:rsidTr="005B406F">
        <w:trPr>
          <w:gridAfter w:val="3"/>
          <w:wAfter w:w="4614" w:type="dxa"/>
        </w:trPr>
        <w:tc>
          <w:tcPr>
            <w:tcW w:w="2303" w:type="dxa"/>
            <w:tcBorders>
              <w:bottom w:val="single" w:sz="18" w:space="0" w:color="DA0000"/>
              <w:right w:val="single" w:sz="4" w:space="0" w:color="auto"/>
            </w:tcBorders>
            <w:shd w:val="clear" w:color="auto" w:fill="B8D5FB" w:themeFill="text2" w:themeFillTint="33"/>
            <w:vAlign w:val="center"/>
          </w:tcPr>
          <w:p w:rsidR="007F60A9" w:rsidRPr="005B406F" w:rsidRDefault="007F60A9" w:rsidP="00A13FA7">
            <w:pPr>
              <w:pStyle w:val="Akapitzlist"/>
              <w:numPr>
                <w:ilvl w:val="0"/>
                <w:numId w:val="20"/>
              </w:numPr>
              <w:spacing w:before="0"/>
              <w:ind w:left="0" w:firstLine="0"/>
              <w:jc w:val="center"/>
              <w:rPr>
                <w:rFonts w:cs="Calibri"/>
                <w:color w:val="000000"/>
                <w:sz w:val="18"/>
                <w:szCs w:val="18"/>
              </w:rPr>
            </w:pPr>
            <w:r w:rsidRPr="005B406F">
              <w:rPr>
                <w:rFonts w:cs="Calibri"/>
                <w:color w:val="000000"/>
                <w:sz w:val="18"/>
                <w:szCs w:val="18"/>
              </w:rPr>
              <w:t>Integracja społeczna i aktywna polityka senioralna</w:t>
            </w:r>
          </w:p>
        </w:tc>
        <w:tc>
          <w:tcPr>
            <w:tcW w:w="2303" w:type="dxa"/>
            <w:tcBorders>
              <w:top w:val="single" w:sz="18" w:space="0" w:color="DA0000"/>
              <w:left w:val="single" w:sz="4" w:space="0" w:color="auto"/>
              <w:bottom w:val="nil"/>
              <w:right w:val="nil"/>
            </w:tcBorders>
            <w:shd w:val="clear" w:color="auto" w:fill="auto"/>
          </w:tcPr>
          <w:p w:rsidR="007F60A9" w:rsidRPr="005B406F" w:rsidRDefault="007F60A9" w:rsidP="005B406F">
            <w:pPr>
              <w:spacing w:before="0"/>
              <w:rPr>
                <w:rFonts w:ascii="Calibri" w:hAnsi="Calibri" w:cs="Calibri"/>
                <w:color w:val="000000"/>
                <w:sz w:val="18"/>
                <w:szCs w:val="18"/>
              </w:rPr>
            </w:pPr>
          </w:p>
        </w:tc>
      </w:tr>
      <w:tr w:rsidR="005B406F" w:rsidRPr="005B406F" w:rsidTr="005B406F">
        <w:tblPrEx>
          <w:tblCellMar>
            <w:left w:w="70" w:type="dxa"/>
            <w:right w:w="70" w:type="dxa"/>
          </w:tblCellMar>
          <w:tblLook w:val="0000" w:firstRow="0" w:lastRow="0" w:firstColumn="0" w:lastColumn="0" w:noHBand="0" w:noVBand="0"/>
        </w:tblPrEx>
        <w:trPr>
          <w:gridAfter w:val="4"/>
          <w:wAfter w:w="6917" w:type="dxa"/>
          <w:trHeight w:val="861"/>
        </w:trPr>
        <w:tc>
          <w:tcPr>
            <w:tcW w:w="2303" w:type="dxa"/>
            <w:tcBorders>
              <w:top w:val="single" w:sz="18" w:space="0" w:color="DA0000"/>
              <w:left w:val="single" w:sz="18" w:space="0" w:color="DA0000"/>
              <w:bottom w:val="single" w:sz="18" w:space="0" w:color="DA0000"/>
              <w:right w:val="single" w:sz="18" w:space="0" w:color="DA0000"/>
            </w:tcBorders>
            <w:shd w:val="clear" w:color="auto" w:fill="F3D1D3"/>
            <w:vAlign w:val="center"/>
          </w:tcPr>
          <w:p w:rsidR="005B406F" w:rsidRPr="005B406F" w:rsidRDefault="005B406F" w:rsidP="00137730">
            <w:pPr>
              <w:spacing w:before="0"/>
              <w:ind w:firstLine="0"/>
              <w:jc w:val="center"/>
              <w:rPr>
                <w:sz w:val="18"/>
                <w:szCs w:val="18"/>
              </w:rPr>
            </w:pPr>
            <w:r w:rsidRPr="005B406F">
              <w:rPr>
                <w:sz w:val="18"/>
                <w:szCs w:val="18"/>
              </w:rPr>
              <w:t xml:space="preserve">1.8 Pogłębienie </w:t>
            </w:r>
            <w:r w:rsidR="00137730">
              <w:rPr>
                <w:sz w:val="18"/>
                <w:szCs w:val="18"/>
              </w:rPr>
              <w:t xml:space="preserve">współpracy </w:t>
            </w:r>
            <w:r w:rsidRPr="005B406F">
              <w:rPr>
                <w:sz w:val="18"/>
                <w:szCs w:val="18"/>
              </w:rPr>
              <w:t xml:space="preserve">obszaru HOF w zakresie </w:t>
            </w:r>
            <w:r>
              <w:rPr>
                <w:sz w:val="18"/>
                <w:szCs w:val="18"/>
              </w:rPr>
              <w:t xml:space="preserve">usług integracji </w:t>
            </w:r>
            <w:r w:rsidRPr="005B406F">
              <w:rPr>
                <w:sz w:val="18"/>
                <w:szCs w:val="18"/>
              </w:rPr>
              <w:t>społecznej</w:t>
            </w:r>
          </w:p>
        </w:tc>
      </w:tr>
      <w:tr w:rsidR="005B406F" w:rsidRPr="005B406F" w:rsidTr="005B406F">
        <w:tblPrEx>
          <w:tblCellMar>
            <w:left w:w="70" w:type="dxa"/>
            <w:right w:w="70" w:type="dxa"/>
          </w:tblCellMar>
          <w:tblLook w:val="0000" w:firstRow="0" w:lastRow="0" w:firstColumn="0" w:lastColumn="0" w:noHBand="0" w:noVBand="0"/>
        </w:tblPrEx>
        <w:trPr>
          <w:gridAfter w:val="4"/>
          <w:wAfter w:w="6917" w:type="dxa"/>
          <w:trHeight w:val="1025"/>
        </w:trPr>
        <w:tc>
          <w:tcPr>
            <w:tcW w:w="2303" w:type="dxa"/>
            <w:tcBorders>
              <w:top w:val="single" w:sz="18" w:space="0" w:color="DA0000"/>
              <w:left w:val="single" w:sz="18" w:space="0" w:color="DA0000"/>
              <w:bottom w:val="single" w:sz="18" w:space="0" w:color="DA0000"/>
              <w:right w:val="single" w:sz="18" w:space="0" w:color="DA0000"/>
            </w:tcBorders>
            <w:shd w:val="clear" w:color="auto" w:fill="F3D1D3"/>
            <w:vAlign w:val="center"/>
          </w:tcPr>
          <w:p w:rsidR="005B406F" w:rsidRPr="005B406F" w:rsidRDefault="005B406F" w:rsidP="005B406F">
            <w:pPr>
              <w:spacing w:before="0"/>
              <w:ind w:firstLine="0"/>
              <w:jc w:val="center"/>
              <w:rPr>
                <w:sz w:val="18"/>
                <w:szCs w:val="18"/>
              </w:rPr>
            </w:pPr>
            <w:r w:rsidRPr="005B406F">
              <w:rPr>
                <w:sz w:val="18"/>
                <w:szCs w:val="18"/>
              </w:rPr>
              <w:t>1.9 Zintegrowane wzmocnienie potencjału edukacyjnego i kulturowego HOF</w:t>
            </w:r>
          </w:p>
        </w:tc>
      </w:tr>
    </w:tbl>
    <w:p w:rsidR="005B406F" w:rsidRPr="002F0C59" w:rsidRDefault="005B406F" w:rsidP="00014D11">
      <w:pPr>
        <w:ind w:firstLine="491"/>
      </w:pPr>
      <w:r w:rsidRPr="002F0C59">
        <w:rPr>
          <w:noProof/>
          <w:lang w:eastAsia="pl-PL"/>
        </w:rPr>
        <mc:AlternateContent>
          <mc:Choice Requires="wps">
            <w:drawing>
              <wp:anchor distT="0" distB="0" distL="114300" distR="114300" simplePos="0" relativeHeight="251772928" behindDoc="0" locked="0" layoutInCell="1" allowOverlap="1" wp14:anchorId="2F23FC93" wp14:editId="129D68AD">
                <wp:simplePos x="0" y="0"/>
                <wp:positionH relativeFrom="column">
                  <wp:posOffset>-26670</wp:posOffset>
                </wp:positionH>
                <wp:positionV relativeFrom="paragraph">
                  <wp:posOffset>371475</wp:posOffset>
                </wp:positionV>
                <wp:extent cx="553720" cy="193675"/>
                <wp:effectExtent l="0" t="0" r="17780" b="15875"/>
                <wp:wrapNone/>
                <wp:docPr id="59" name="Prostokąt 59"/>
                <wp:cNvGraphicFramePr/>
                <a:graphic xmlns:a="http://schemas.openxmlformats.org/drawingml/2006/main">
                  <a:graphicData uri="http://schemas.microsoft.com/office/word/2010/wordprocessingShape">
                    <wps:wsp>
                      <wps:cNvSpPr/>
                      <wps:spPr>
                        <a:xfrm>
                          <a:off x="0" y="0"/>
                          <a:ext cx="553720" cy="193675"/>
                        </a:xfrm>
                        <a:prstGeom prst="rect">
                          <a:avLst/>
                        </a:prstGeom>
                        <a:solidFill>
                          <a:schemeClr val="tx2">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59" o:spid="_x0000_s1026" style="position:absolute;margin-left:-2.1pt;margin-top:29.25pt;width:43.6pt;height:15.2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" fillcolor="#b8d5fb [671]" strokecolor="black [3213]"/>
            </w:pict>
          </mc:Fallback>
        </mc:AlternateContent>
      </w:r>
      <w:r w:rsidRPr="002F0C59">
        <w:t>Legenda</w:t>
      </w:r>
    </w:p>
    <w:p w:rsidR="005B406F" w:rsidRPr="002F0C59" w:rsidRDefault="005B406F" w:rsidP="00014D11">
      <w:pPr>
        <w:ind w:firstLine="491"/>
      </w:pPr>
      <w:r w:rsidRPr="002F0C59">
        <w:rPr>
          <w:noProof/>
          <w:lang w:eastAsia="pl-PL"/>
        </w:rPr>
        <mc:AlternateContent>
          <mc:Choice Requires="wps">
            <w:drawing>
              <wp:anchor distT="0" distB="0" distL="114300" distR="114300" simplePos="0" relativeHeight="251769856" behindDoc="0" locked="0" layoutInCell="1" allowOverlap="1" wp14:anchorId="3BC55D16" wp14:editId="1D90DD3A">
                <wp:simplePos x="0" y="0"/>
                <wp:positionH relativeFrom="column">
                  <wp:posOffset>-26670</wp:posOffset>
                </wp:positionH>
                <wp:positionV relativeFrom="paragraph">
                  <wp:posOffset>291465</wp:posOffset>
                </wp:positionV>
                <wp:extent cx="553720" cy="193675"/>
                <wp:effectExtent l="0" t="0" r="17780" b="15875"/>
                <wp:wrapNone/>
                <wp:docPr id="505" name="Prostokąt 505"/>
                <wp:cNvGraphicFramePr/>
                <a:graphic xmlns:a="http://schemas.openxmlformats.org/drawingml/2006/main">
                  <a:graphicData uri="http://schemas.microsoft.com/office/word/2010/wordprocessingShape">
                    <wps:wsp>
                      <wps:cNvSpPr/>
                      <wps:spPr>
                        <a:xfrm>
                          <a:off x="0" y="0"/>
                          <a:ext cx="553720" cy="193675"/>
                        </a:xfrm>
                        <a:prstGeom prst="rect">
                          <a:avLst/>
                        </a:prstGeom>
                        <a:solidFill>
                          <a:srgbClr val="F3D1D3"/>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Prostokąt 505" o:spid="_x0000_s1026" style="position:absolute;margin-left:-2.1pt;margin-top:22.95pt;width:43.6pt;height:15.2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" fillcolor="#f3d1d3" strokecolor="#c00000" strokeweight="2pt"/>
            </w:pict>
          </mc:Fallback>
        </mc:AlternateContent>
      </w:r>
      <w:r w:rsidRPr="002F0C59">
        <w:tab/>
      </w:r>
      <w:r w:rsidRPr="002F0C59">
        <w:tab/>
      </w:r>
      <w:r w:rsidRPr="002F0C59">
        <w:tab/>
      </w:r>
      <w:r w:rsidRPr="002F0C59">
        <w:tab/>
        <w:t>Cele poza instrumentem terytorialnym</w:t>
      </w:r>
    </w:p>
    <w:p w:rsidR="005B406F" w:rsidRDefault="005B406F" w:rsidP="00014D11">
      <w:pPr>
        <w:ind w:firstLine="491"/>
      </w:pPr>
      <w:r w:rsidRPr="002F0C59">
        <w:tab/>
      </w:r>
      <w:r w:rsidRPr="002F0C59">
        <w:tab/>
      </w:r>
      <w:r w:rsidRPr="002F0C59">
        <w:tab/>
      </w:r>
      <w:r w:rsidRPr="002F0C59">
        <w:tab/>
        <w:t>Cele ZIT</w:t>
      </w:r>
    </w:p>
    <w:p w:rsidR="00014D11" w:rsidRDefault="00014D11" w:rsidP="00014D11">
      <w:pPr>
        <w:ind w:firstLine="491"/>
        <w:rPr>
          <w:noProof/>
          <w:lang w:eastAsia="pl-PL"/>
        </w:rPr>
      </w:pPr>
      <w:r w:rsidRPr="00056E70">
        <w:t>Zaprezentowane po</w:t>
      </w:r>
      <w:r>
        <w:t>wyżej</w:t>
      </w:r>
      <w:r w:rsidRPr="00056E70">
        <w:t xml:space="preserve"> cele strategiczne i operacyjne oparte są na wniosk</w:t>
      </w:r>
      <w:r>
        <w:t>ach z diagnozy i </w:t>
      </w:r>
      <w:r w:rsidRPr="00056E70">
        <w:t>doświadczeniach z realizacji poprzednich dokumentów strategicznych</w:t>
      </w:r>
      <w:r w:rsidR="004A7622" w:rsidRPr="00D56C69">
        <w:t xml:space="preserve">, </w:t>
      </w:r>
      <w:r w:rsidR="004A7622" w:rsidRPr="003E7C8A">
        <w:t xml:space="preserve">w tym również są spójne </w:t>
      </w:r>
      <w:r w:rsidR="004A7622" w:rsidRPr="003E7C8A">
        <w:lastRenderedPageBreak/>
        <w:t>z dokumentami: Program Rozwoju Lokalnego</w:t>
      </w:r>
      <w:r w:rsidR="00D56C69" w:rsidRPr="003E7C8A">
        <w:t xml:space="preserve"> Miasta Hrubieszów</w:t>
      </w:r>
      <w:r w:rsidR="004A7622" w:rsidRPr="003E7C8A">
        <w:t xml:space="preserve"> oraz Program Rozwoju Instytucjonalnego</w:t>
      </w:r>
      <w:r w:rsidR="00D56C69" w:rsidRPr="003E7C8A">
        <w:t xml:space="preserve"> Miasta Hrubieszów</w:t>
      </w:r>
      <w:r w:rsidR="004A7622" w:rsidRPr="003E7C8A">
        <w:t>.</w:t>
      </w:r>
      <w:r w:rsidRPr="00056E70">
        <w:t xml:space="preserve"> Cele </w:t>
      </w:r>
      <w:r>
        <w:t xml:space="preserve">HOF </w:t>
      </w:r>
      <w:r w:rsidRPr="00056E70">
        <w:t>są spójne wewnętrznie i skorelowane z celami strategii jednostek</w:t>
      </w:r>
      <w:r>
        <w:t xml:space="preserve"> tworzących Hrubieszowski Obszar Funkcjonalny. Tworzą one wzajemnie uzupełniający się system, w którym efekty jednych celów generują i wzma</w:t>
      </w:r>
      <w:r w:rsidR="00616846">
        <w:t>cniają efekty realizacji innych zapewniając efekt synergii.</w:t>
      </w:r>
      <w:r>
        <w:t xml:space="preserve"> Nadrzędną ideą jest wykorzystanie potencjałów rozwojowych, modernizacja gospodarki, innowacyjność oraz </w:t>
      </w:r>
      <w:proofErr w:type="gramStart"/>
      <w:r>
        <w:t>poprawa jakości</w:t>
      </w:r>
      <w:proofErr w:type="gramEnd"/>
      <w:r>
        <w:t xml:space="preserve"> życia mieszkańców.</w:t>
      </w:r>
    </w:p>
    <w:p w:rsidR="00014D11" w:rsidRDefault="00014D11" w:rsidP="00014D11">
      <w:pPr>
        <w:ind w:firstLine="491"/>
      </w:pPr>
      <w:r>
        <w:rPr>
          <w:noProof/>
          <w:lang w:eastAsia="pl-PL"/>
        </w:rPr>
        <w:t xml:space="preserve">Strategia wyznacza cztery cele strategiczne skupaiające 20 celów operacyjnych okaz kierunki działań, </w:t>
      </w:r>
      <w:r>
        <w:t>które stanowią punkt odniesienia dla wszystkich działań rozwojowych HOF. Wszystkie powinny przyczynić się do osiągnięcia przyjętej wizji rozwoju HOF. Wymagać to będzie zaangażowania wielu środowisk i podmiotów, które realizując własne cele i działania będą kierunkować się jednocześnie uzgodnionymi i przyjętymi dla całego regionu celami.</w:t>
      </w:r>
    </w:p>
    <w:p w:rsidR="00014D11" w:rsidRDefault="00014D11" w:rsidP="00014D11">
      <w:r>
        <w:t xml:space="preserve">Zaproponowane cele strategiczne to obszary w ramach, których będą podejmowane działania długofalowe służące rozwojowi Hrubieszowskiego Obszaru Funkcjonalnego. Wyzwania, przed którymi staje Hrubieszowski Obszar Funkcjonalny wynikają z konieczności ciągłego wzrostu atrakcyjności inwestycyjnej oraz turystycznej OF. W konsekwencji możliwy będzie napływ nowych inwestorów oraz poprawa atrakcyjności i konkurencyjności HOF zarówno w aspekcie gospodarczym jak i obszaru </w:t>
      </w:r>
      <w:r w:rsidRPr="00037A14">
        <w:t>do zamieszkania. Realizacja podjętych wyzwań ma szansę pozytywnie wpłynąć na ograniczenie depopulacji obszaru HOF jak również spowolnić trend starzenia się społeczeństwa.</w:t>
      </w:r>
    </w:p>
    <w:p w:rsidR="00014D11" w:rsidRDefault="00014D11" w:rsidP="00014D11">
      <w:r>
        <w:t xml:space="preserve">Niezwykle ważnym wyzwaniem jest </w:t>
      </w:r>
      <w:proofErr w:type="gramStart"/>
      <w:r>
        <w:t>poprawa jakości</w:t>
      </w:r>
      <w:proofErr w:type="gramEnd"/>
      <w:r>
        <w:t xml:space="preserve"> życia mieszkańców oraz ich integracja m.in. poprzez poprawę dostępności komunikacyjnej obszaru, poprzez rozwój organizacji pozarządowych, spółdzielni socjalnych oraz bliską współpracę z administracją, a także aktywne angażowanie mieszkańców w realizację wspólnych przedsięwzięć i projektów rozwojowych. Duże znaczenie ma również </w:t>
      </w:r>
      <w:proofErr w:type="gramStart"/>
      <w:r>
        <w:t>poprawa jakości</w:t>
      </w:r>
      <w:proofErr w:type="gramEnd"/>
      <w:r>
        <w:t xml:space="preserve"> i dostępności usług publicznych, oferowanych dla mieszkańców HOF, szczególnie w sferze edukacji, opieki medycznej i społecznej, kultury i rekreacji.</w:t>
      </w:r>
    </w:p>
    <w:p w:rsidR="00014D11" w:rsidRDefault="00014D11" w:rsidP="00014D11">
      <w:r>
        <w:t>Drugim wyzwaniem jest zadbanie o środowisko oraz podjęcie działań adaptacyjnych do towarzyszących nam zmian klimatu. Istotne jest prowadzenie i promowanie działań zmierzających do racjonalnego gospodarowania zasobami środowiska, głównie deficytowymi zasobami czystej wody. Należy kontynuować zadania zmierzające do utworzenia zamkniętego obiegu gospodarki odpadami. Niezwykle ważne wydaje się prowadzenie ciągłej edukacji ekologicznej wśród mieszkańców HOF, jak również kształtowanie postaw proekologicznych. Rozwój gospodarki niskoemisyjnej</w:t>
      </w:r>
      <w:r w:rsidR="00CB322F">
        <w:t>, jak również produkcja energii odnawialnej, czy też magazynów energii</w:t>
      </w:r>
      <w:r>
        <w:t xml:space="preserve"> wpłynie </w:t>
      </w:r>
      <w:proofErr w:type="gramStart"/>
      <w:r>
        <w:t>korzystnie na jakość</w:t>
      </w:r>
      <w:proofErr w:type="gramEnd"/>
      <w:r>
        <w:t xml:space="preserve"> życia mieszkańców </w:t>
      </w:r>
      <w:r w:rsidR="0057252E">
        <w:t>oraz</w:t>
      </w:r>
      <w:r>
        <w:t xml:space="preserve"> na promocję ekologiczną obszaru HOF. Tu należy zaznaczyć, że w granicach HOF miejsce ma </w:t>
      </w:r>
      <w:r w:rsidRPr="00472A03">
        <w:t>koncentracja terenów cennych przyrodniczo objętych różnymi formami ochrony przy</w:t>
      </w:r>
      <w:r>
        <w:t>rody.</w:t>
      </w:r>
    </w:p>
    <w:p w:rsidR="00014D11" w:rsidRDefault="00014D11" w:rsidP="00014D11">
      <w:r>
        <w:t xml:space="preserve">Trzecie wyzwanie skupia się na rozwoju gospodarki i lokalnego rynku pracy i ma za zadanie wzmocnienie silnych podstaw potencjału gospodarczego w ramach Obszaru Funkcjonalnego. Wśród kluczowych działań zwraca się tu uwagę na rozwój i wzmocnienie konkurencyjności istniejących przedsiębiorstw. Kluczową gałęzią rozwoju gospodarczego HOF będzie lokalna przedsiębiorczość. W tym celu konieczne jest kreowanie przyjaznych warunków do rozwoju nowych firm. Ze względu na rolniczy charakter obszaru oraz przynależność do Żywicielskiego Obszaru Strategicznej Interwencji ważne jest podejmowanie kroków zmierzających do wielokierunkowego wspierania rolnictwa </w:t>
      </w:r>
      <w:r>
        <w:lastRenderedPageBreak/>
        <w:t>i rozwoju sektora rolno-spożywczego. Ogromnym potencjałem HOF jest potencjał turystyczny, który daje możliwość rozwoju i promocji zintegrowanego produktu turystycznego Ziemi Hrubieszowskiej.</w:t>
      </w:r>
    </w:p>
    <w:p w:rsidR="003509D1" w:rsidRDefault="00090B78" w:rsidP="003509D1">
      <w:proofErr w:type="gramStart"/>
      <w:r>
        <w:t>Wzrost jakości</w:t>
      </w:r>
      <w:proofErr w:type="gramEnd"/>
      <w:r>
        <w:t xml:space="preserve"> życia mieszkańców HOF uzależniony jest nie tylko od wyżej wymienionych działań, ale również od wzrostu jakości świadczonych usług publicznych jak również aktywnej postawy członków społeczności lokalnej oraz ich zdolności do samoorganizacji i</w:t>
      </w:r>
      <w:r w:rsidR="00DC65E5">
        <w:t> </w:t>
      </w:r>
      <w:r w:rsidR="00D56C69">
        <w:t>zaangażowania w </w:t>
      </w:r>
      <w:r>
        <w:t>proces współdecydowania o losach miejsca, w którym mieszkają.</w:t>
      </w:r>
      <w:r w:rsidR="003509D1">
        <w:t xml:space="preserve"> </w:t>
      </w:r>
      <w:r w:rsidR="00DC65E5">
        <w:t>Ze względu na </w:t>
      </w:r>
      <w:r w:rsidR="00D56C69">
        <w:t>fakt, iż </w:t>
      </w:r>
      <w:r w:rsidR="003509D1">
        <w:t xml:space="preserve">Hrubieszowski Obszar Funkcjonalny budują dwie </w:t>
      </w:r>
      <w:r w:rsidR="00373A8F">
        <w:t xml:space="preserve">jednostki samorządu terytorialnego istotne jest prowadzenie zintensyfikowanych działań w zakresie zintegrowanego zarządzania rozwojem HOF. </w:t>
      </w:r>
      <w:r w:rsidR="00D56C69">
        <w:t>We </w:t>
      </w:r>
      <w:r w:rsidR="003509D1">
        <w:t xml:space="preserve">współczesnych czasach niezwykle ważne jest budowanie społeczeństwa informacyjnego, gdzie technologie informacyjno-komunikacyjne odgrywają ważną rolę rozwojową. Na ich bazie należy rozwijać ofertę e-usług skierowanych do mieszkańców HOF </w:t>
      </w:r>
      <w:r w:rsidR="00373A8F">
        <w:t>oraz potencjalnych inwestorów, jak również</w:t>
      </w:r>
      <w:r w:rsidR="003509D1">
        <w:t xml:space="preserve"> rozwijać cyfryzację zasobów administracji samorządowej.</w:t>
      </w:r>
      <w:r w:rsidR="00DC65E5">
        <w:t xml:space="preserve"> Wpływa to </w:t>
      </w:r>
      <w:r w:rsidR="003509D1">
        <w:t xml:space="preserve">pozytywnie na rozwój społeczeństwa obywatelskiego, co stanowi ważny czynnik integrujący społeczność lokalną, przyczyniający się do rozwoju kapitału </w:t>
      </w:r>
      <w:r w:rsidR="00DC65E5">
        <w:t>społecznego, stanowiący jeden z </w:t>
      </w:r>
      <w:r w:rsidR="003509D1">
        <w:t>elementów składowych dobrego rządzenia.</w:t>
      </w:r>
      <w:r w:rsidR="00373A8F">
        <w:t xml:space="preserve"> Duże znaczenie w dążeniu do wzrostu konkurencyjności HOF ma prowadzenie działań promocyjnych oraz skutecznego marketingu.</w:t>
      </w:r>
    </w:p>
    <w:p w:rsidR="00E320BC" w:rsidRPr="00E320BC" w:rsidRDefault="00E320BC" w:rsidP="00152441">
      <w:pPr>
        <w:keepNext/>
        <w:keepLines/>
        <w:numPr>
          <w:ilvl w:val="1"/>
          <w:numId w:val="2"/>
        </w:numPr>
        <w:spacing w:before="200"/>
        <w:ind w:left="851"/>
        <w:outlineLvl w:val="1"/>
        <w:rPr>
          <w:rFonts w:ascii="Candara" w:eastAsia="Times New Roman" w:hAnsi="Candara" w:cs="Times New Roman"/>
          <w:b/>
          <w:bCs/>
          <w:color w:val="31B6FD"/>
          <w:sz w:val="26"/>
          <w:szCs w:val="26"/>
        </w:rPr>
      </w:pPr>
      <w:bookmarkStart w:id="48" w:name="_Toc138068777"/>
      <w:r w:rsidRPr="00E320BC">
        <w:rPr>
          <w:rFonts w:ascii="Candara" w:eastAsia="Times New Roman" w:hAnsi="Candara" w:cs="Times New Roman"/>
          <w:b/>
          <w:bCs/>
          <w:color w:val="31B6FD"/>
          <w:sz w:val="26"/>
          <w:szCs w:val="26"/>
        </w:rPr>
        <w:t>Kierunki inwestycji (działań) Hrubieszowskiego Obszaru Funkcjonalnego wraz z harmonogramem planowanych przedsięwzięć</w:t>
      </w:r>
      <w:bookmarkEnd w:id="48"/>
    </w:p>
    <w:p w:rsidR="00056E70" w:rsidRDefault="00354FBA" w:rsidP="00D8684B">
      <w:r w:rsidRPr="00354FBA">
        <w:t>W</w:t>
      </w:r>
      <w:r w:rsidR="00056E70" w:rsidRPr="00354FBA">
        <w:t xml:space="preserve"> ramach </w:t>
      </w:r>
      <w:r w:rsidRPr="00354FBA">
        <w:t>czterech celów strategicznych</w:t>
      </w:r>
      <w:r w:rsidR="00056E70" w:rsidRPr="00354FBA">
        <w:t xml:space="preserve"> dokonano koncentracji </w:t>
      </w:r>
      <w:r>
        <w:t>celów operacyjnych i </w:t>
      </w:r>
      <w:r w:rsidR="00056E70" w:rsidRPr="00354FBA">
        <w:t>kierunków interwencji (działań)</w:t>
      </w:r>
      <w:r>
        <w:t xml:space="preserve">, które </w:t>
      </w:r>
      <w:r w:rsidRPr="00354FBA">
        <w:t>bezpośrednio służą realizacji założonych celów, a tym samym stanowią podstawę wdrażania strategii.</w:t>
      </w:r>
      <w:r w:rsidR="00481481">
        <w:t xml:space="preserve"> Zaprezentowane kierunki należy </w:t>
      </w:r>
      <w:proofErr w:type="gramStart"/>
      <w:r w:rsidR="00481481" w:rsidRPr="00481481">
        <w:t>traktować jako</w:t>
      </w:r>
      <w:proofErr w:type="gramEnd"/>
      <w:r w:rsidR="00481481" w:rsidRPr="00481481">
        <w:t xml:space="preserve"> pewną propozycję, otwartą listę przedsięwzięć w danym zakresie, określającą ogólne ramy koncentracji aktywności programowej, finansowej i organizacyjnej.</w:t>
      </w:r>
      <w:r w:rsidR="00D8684B">
        <w:t xml:space="preserve"> </w:t>
      </w:r>
      <w:r w:rsidR="00D8684B" w:rsidRPr="00D8684B">
        <w:rPr>
          <w:b/>
        </w:rPr>
        <w:t>Zbiór przedstawionych kierunków interwencji nie stanowi katalogu zamkniętego.</w:t>
      </w:r>
      <w:r w:rsidR="00481481" w:rsidRPr="00D8684B">
        <w:rPr>
          <w:b/>
        </w:rPr>
        <w:t xml:space="preserve"> </w:t>
      </w:r>
      <w:r w:rsidR="00481481">
        <w:t xml:space="preserve">Jest to </w:t>
      </w:r>
      <w:r w:rsidR="007F7205" w:rsidRPr="00481481">
        <w:t>zestaw działań podejmowanych przez Hrubieszowski Obszar Funkcjonalny oraz je</w:t>
      </w:r>
      <w:r w:rsidR="007F7205">
        <w:t>go</w:t>
      </w:r>
      <w:r w:rsidR="007F7205" w:rsidRPr="00481481">
        <w:t xml:space="preserve"> partnerów publicznych, społecznych i gospodarczych.</w:t>
      </w:r>
      <w:r w:rsidR="007F7205">
        <w:t xml:space="preserve"> </w:t>
      </w:r>
      <w:r w:rsidR="007F7205" w:rsidRPr="007F7205">
        <w:t xml:space="preserve">Kierunki interwencji odpowiadają na potrzeby rozwojowe </w:t>
      </w:r>
      <w:r w:rsidR="007F7205">
        <w:t>HOF</w:t>
      </w:r>
      <w:r w:rsidR="007F7205" w:rsidRPr="007F7205">
        <w:t xml:space="preserve"> i wskazują sposób rozwiązywania najważniejszych problemów, zmniejszania barier rozwojowych, wzmacniania potencjałów lokalnych, wykorzystywania zasobów własnych oraz szans pojawiających się w otoczeniu.</w:t>
      </w:r>
    </w:p>
    <w:p w:rsidR="00BD17B2" w:rsidRDefault="00354FBA" w:rsidP="00D8684B">
      <w:pPr>
        <w:rPr>
          <w:noProof/>
          <w:lang w:eastAsia="pl-PL"/>
        </w:rPr>
      </w:pPr>
      <w:r>
        <w:t xml:space="preserve">Kierunki inwestycji zaprezentowane zostały </w:t>
      </w:r>
      <w:r w:rsidRPr="00354FBA">
        <w:rPr>
          <w:b/>
        </w:rPr>
        <w:t>w dwustopniowym układzie.</w:t>
      </w:r>
      <w:r w:rsidR="00BD17B2" w:rsidRPr="00BD17B2">
        <w:rPr>
          <w:noProof/>
          <w:lang w:eastAsia="pl-PL"/>
        </w:rPr>
        <w:t xml:space="preserve"> </w:t>
      </w:r>
    </w:p>
    <w:p w:rsidR="00354FBA" w:rsidRPr="00354FBA" w:rsidRDefault="00BD17B2" w:rsidP="00BD17B2">
      <w:pPr>
        <w:tabs>
          <w:tab w:val="left" w:pos="4536"/>
        </w:tabs>
        <w:ind w:firstLine="0"/>
        <w:jc w:val="center"/>
      </w:pPr>
      <w:r>
        <w:rPr>
          <w:noProof/>
          <w:lang w:eastAsia="pl-PL"/>
        </w:rPr>
        <w:drawing>
          <wp:inline distT="0" distB="0" distL="0" distR="0" wp14:anchorId="03C90230" wp14:editId="5165994B">
            <wp:extent cx="4791075" cy="2228850"/>
            <wp:effectExtent l="0" t="0" r="0" b="19050"/>
            <wp:docPr id="62"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481481" w:rsidRDefault="00481481" w:rsidP="00D8684B">
      <w:r w:rsidRPr="00481481">
        <w:lastRenderedPageBreak/>
        <w:t xml:space="preserve">Do każdego celu strategicznego dołączony został </w:t>
      </w:r>
      <w:r w:rsidRPr="00481481">
        <w:rPr>
          <w:b/>
        </w:rPr>
        <w:t>indykatywny wykaz</w:t>
      </w:r>
      <w:r w:rsidRPr="00481481">
        <w:t xml:space="preserve"> wstępnie zidentyfikowanych projektów i przedsięwzięć inwestycyjnych wpisujący</w:t>
      </w:r>
      <w:r w:rsidR="00717F06">
        <w:t>ch</w:t>
      </w:r>
      <w:r w:rsidRPr="00481481">
        <w:t xml:space="preserve"> się w </w:t>
      </w:r>
      <w:r w:rsidR="00717F06">
        <w:t>cele strategiczne.</w:t>
      </w:r>
    </w:p>
    <w:p w:rsidR="007F7205" w:rsidRPr="00843AE8" w:rsidRDefault="00D8684B" w:rsidP="00843AE8">
      <w:pPr>
        <w:pStyle w:val="Nagwek12"/>
      </w:pPr>
      <w:bookmarkStart w:id="49" w:name="_Toc138068778"/>
      <w:r w:rsidRPr="00843AE8">
        <w:t xml:space="preserve">Cel strategiczny 1. </w:t>
      </w:r>
      <w:proofErr w:type="gramStart"/>
      <w:r w:rsidRPr="00843AE8">
        <w:t>LEPSZA JAKOŚĆ</w:t>
      </w:r>
      <w:proofErr w:type="gramEnd"/>
      <w:r w:rsidRPr="00843AE8">
        <w:t xml:space="preserve"> ŻYCIA I ZINTEGROWANA SPOŁECZNOŚĆ LOKALNA</w:t>
      </w:r>
      <w:bookmarkEnd w:id="49"/>
    </w:p>
    <w:p w:rsidR="00D8684B" w:rsidRDefault="00D8684B" w:rsidP="00D8684B">
      <w:r>
        <w:t>R</w:t>
      </w:r>
      <w:r w:rsidR="00717F06">
        <w:t>ealizacja działań ujętych w celach strategicznych</w:t>
      </w:r>
      <w:r>
        <w:t xml:space="preserve"> charakteryzuje </w:t>
      </w:r>
      <w:r w:rsidRPr="004364AE">
        <w:t>się dużą szasną</w:t>
      </w:r>
      <w:r>
        <w:t xml:space="preserve"> powodzenia. Obejmuje m. in. działania inwestycyjne, które realizowane będą sukcesywnie. Szybkość realizacji tych działań zależy </w:t>
      </w:r>
      <w:r w:rsidRPr="00170462">
        <w:t xml:space="preserve">od możliwości pozyskania wsparcia finansowego ze środków </w:t>
      </w:r>
      <w:r w:rsidR="00717F06">
        <w:t>zewnętrznych</w:t>
      </w:r>
      <w:r w:rsidRPr="00170462">
        <w:t xml:space="preserve"> lub krajowych. Działania są spójne z </w:t>
      </w:r>
      <w:r>
        <w:t>priorytetami Unii Europejskiej.</w:t>
      </w:r>
    </w:p>
    <w:p w:rsidR="00AC6AF1" w:rsidRDefault="00AC6AF1" w:rsidP="00D8684B">
      <w:r>
        <w:t xml:space="preserve">Jedną z metod zachęcenia mieszkańców do pozostania na terenie HOF oraz zainteresowania nowych potencjalnych mieszkańców wyborem </w:t>
      </w:r>
      <w:proofErr w:type="gramStart"/>
      <w:r>
        <w:t>HOF jako</w:t>
      </w:r>
      <w:proofErr w:type="gramEnd"/>
      <w:r>
        <w:t xml:space="preserve"> miejsca osiedlenia się na stałe jest zapewnienie lepszej jakości życia oraz prowadzenie działań integr</w:t>
      </w:r>
      <w:r w:rsidR="009B2B5D">
        <w:t>ujących społeczność lokalną. Na </w:t>
      </w:r>
      <w:r>
        <w:t>osiągnięcie takiego celu składa się szereg poszczególnych składowych.</w:t>
      </w:r>
    </w:p>
    <w:p w:rsidR="00AC6AF1" w:rsidRDefault="00AC6AF1" w:rsidP="00D8684B">
      <w:pPr>
        <w:rPr>
          <w:rFonts w:cstheme="minorHAnsi"/>
        </w:rPr>
      </w:pPr>
      <w:r>
        <w:t>Niezwykle ważną kwestią jest dostępność komunikacyj</w:t>
      </w:r>
      <w:r w:rsidR="009B2B5D">
        <w:t>na HOF zarówno zewnętrzna jak i </w:t>
      </w:r>
      <w:r>
        <w:t xml:space="preserve">wewnętrzna. Zgodnie z wynikami diagnozy </w:t>
      </w:r>
      <w:r w:rsidR="006705FD" w:rsidRPr="00A879AC">
        <w:t>teren HOF staje się obszarem wykluczonym komunikacyjnie.</w:t>
      </w:r>
      <w:r w:rsidR="006705FD">
        <w:t xml:space="preserve"> </w:t>
      </w:r>
      <w:r w:rsidR="006705FD">
        <w:rPr>
          <w:rFonts w:cs="Times New Roman"/>
        </w:rPr>
        <w:t xml:space="preserve">Do czynników zewnętrznych, na które gminy HOF mają niewielki wpływ, należy niewątpliwie zaliczyć kwestie związane z </w:t>
      </w:r>
      <w:r w:rsidR="006D689A">
        <w:rPr>
          <w:rFonts w:cs="Times New Roman"/>
        </w:rPr>
        <w:t>niską dostępnością</w:t>
      </w:r>
      <w:r w:rsidR="006705FD">
        <w:rPr>
          <w:rFonts w:cs="Times New Roman"/>
        </w:rPr>
        <w:t xml:space="preserve"> komunikacyjną HOF z zewnątrz. </w:t>
      </w:r>
      <w:r w:rsidR="006D689A">
        <w:rPr>
          <w:rFonts w:cs="Times New Roman"/>
        </w:rPr>
        <w:t>To, co</w:t>
      </w:r>
      <w:r w:rsidR="006705FD">
        <w:rPr>
          <w:rFonts w:cs="Times New Roman"/>
        </w:rPr>
        <w:t xml:space="preserve"> władze gminne mogą zrobić by ograniczyć niekorzystne uw</w:t>
      </w:r>
      <w:r w:rsidR="00004756">
        <w:rPr>
          <w:rFonts w:cs="Times New Roman"/>
        </w:rPr>
        <w:t>arunkowania w tym zakresie to </w:t>
      </w:r>
      <w:r w:rsidR="006705FD">
        <w:rPr>
          <w:rFonts w:cs="Times New Roman"/>
        </w:rPr>
        <w:t>prowadzenie skutecznego lobbingu na poziome regionu i kraju na rzecz budowy kluczowej infrastruktury transportowej w woj. lubelskim i szerzej w Polsce W</w:t>
      </w:r>
      <w:r w:rsidR="006D5A62">
        <w:rPr>
          <w:rFonts w:cs="Times New Roman"/>
        </w:rPr>
        <w:t>schodniej, a także wchodzenie w </w:t>
      </w:r>
      <w:r w:rsidR="006705FD">
        <w:rPr>
          <w:rFonts w:cs="Times New Roman"/>
        </w:rPr>
        <w:t xml:space="preserve">bliską współpracę z odpowiednimi instytucjami na poziomie regionu (np. Zarządem Dróg Wojewódzkich) i kraju (np. Krajową Dyrekcją Dróg i Autostrad) w zakresie uzgadniania przebiegu modernizowanej infrastruktury drogowej i zagospodarowywania terenów wokół tworzących się nowych układów komunikacyjnych. Podobnie należy prowadzić lobbing </w:t>
      </w:r>
      <w:r w:rsidR="009B2B5D">
        <w:rPr>
          <w:rFonts w:cstheme="minorHAnsi"/>
        </w:rPr>
        <w:t>na szczeblu centralnym w </w:t>
      </w:r>
      <w:r w:rsidR="006705FD" w:rsidRPr="006705FD">
        <w:rPr>
          <w:rFonts w:cstheme="minorHAnsi"/>
        </w:rPr>
        <w:t>kwestii podjęcia</w:t>
      </w:r>
      <w:r w:rsidR="006705FD">
        <w:rPr>
          <w:rFonts w:cstheme="minorHAnsi"/>
        </w:rPr>
        <w:t xml:space="preserve"> działa</w:t>
      </w:r>
      <w:r w:rsidR="006705FD" w:rsidRPr="006705FD">
        <w:rPr>
          <w:rFonts w:cstheme="minorHAnsi"/>
        </w:rPr>
        <w:t>ń na rzecz poprawy połączeń kolejowyc</w:t>
      </w:r>
      <w:r w:rsidR="006D5A62">
        <w:rPr>
          <w:rFonts w:cstheme="minorHAnsi"/>
        </w:rPr>
        <w:t>h z miastami tzw. szprychy nr </w:t>
      </w:r>
      <w:r w:rsidR="009B2B5D">
        <w:rPr>
          <w:rFonts w:cstheme="minorHAnsi"/>
        </w:rPr>
        <w:t>5 </w:t>
      </w:r>
      <w:r w:rsidR="006705FD" w:rsidRPr="006705FD">
        <w:rPr>
          <w:rFonts w:cstheme="minorHAnsi"/>
        </w:rPr>
        <w:t>(Zamość, Chełm).</w:t>
      </w:r>
      <w:r w:rsidR="00E66819">
        <w:rPr>
          <w:rFonts w:cstheme="minorHAnsi"/>
        </w:rPr>
        <w:t xml:space="preserve"> </w:t>
      </w:r>
    </w:p>
    <w:p w:rsidR="00E66819" w:rsidRDefault="00E66819" w:rsidP="00E66819">
      <w:pPr>
        <w:ind w:firstLine="708"/>
        <w:rPr>
          <w:rFonts w:cs="Times New Roman"/>
        </w:rPr>
      </w:pPr>
      <w:r>
        <w:rPr>
          <w:rFonts w:cs="Times New Roman"/>
        </w:rPr>
        <w:t xml:space="preserve">Władze HOF w ramach swoich ustawowych kompetencji i bieżącej działalności powinny podejmować działania zmierzające do systematycznego </w:t>
      </w:r>
      <w:proofErr w:type="gramStart"/>
      <w:r>
        <w:rPr>
          <w:rFonts w:cs="Times New Roman"/>
        </w:rPr>
        <w:t>podnoszenia jakości</w:t>
      </w:r>
      <w:proofErr w:type="gramEnd"/>
      <w:r>
        <w:rPr>
          <w:rFonts w:cs="Times New Roman"/>
        </w:rPr>
        <w:t xml:space="preserve"> życia mieszkańców, m.in. poprzez poprawę dostępu mieszkańców do podstawow</w:t>
      </w:r>
      <w:r w:rsidR="009B2B5D">
        <w:rPr>
          <w:rFonts w:cs="Times New Roman"/>
        </w:rPr>
        <w:t>ej infrastruktury technicznej i </w:t>
      </w:r>
      <w:r>
        <w:rPr>
          <w:rFonts w:cs="Times New Roman"/>
        </w:rPr>
        <w:t xml:space="preserve">społecznej, a także podnoszenie jakości oferowanych usług w zakresie edukacji, ochrony zdrowia, kultury oraz sportu i rekreacji. Wszelkie organizacyjne i inwestycyjne wysiłki w tym zakresie będą niewątpliwie korzystnie wpływać na poprawę wizerunku </w:t>
      </w:r>
      <w:proofErr w:type="gramStart"/>
      <w:r>
        <w:rPr>
          <w:rFonts w:cs="Times New Roman"/>
        </w:rPr>
        <w:t>HOF jako</w:t>
      </w:r>
      <w:proofErr w:type="gramEnd"/>
      <w:r>
        <w:rPr>
          <w:rFonts w:cs="Times New Roman"/>
        </w:rPr>
        <w:t xml:space="preserve"> miejsca atrakcyjnego dla potencjalnych inwestorów i turystów.  </w:t>
      </w:r>
      <w:r w:rsidR="003929B5">
        <w:rPr>
          <w:rFonts w:cs="Times New Roman"/>
        </w:rPr>
        <w:t xml:space="preserve">Dla inwestorów korzystanie z tego rodzaju infrastruktury jest równie ważne jak dostęp do infrastruktury służącej bezpośrednio biznesowi.  </w:t>
      </w:r>
    </w:p>
    <w:p w:rsidR="003929B5" w:rsidRDefault="00132386" w:rsidP="00E66819">
      <w:pPr>
        <w:ind w:firstLine="708"/>
        <w:rPr>
          <w:rFonts w:cs="Times New Roman"/>
        </w:rPr>
      </w:pPr>
      <w:r>
        <w:rPr>
          <w:rFonts w:cs="Times New Roman"/>
        </w:rPr>
        <w:t xml:space="preserve">Niezwykle istotne jest </w:t>
      </w:r>
      <w:r>
        <w:t>tworzenie więzi, poczucia przynależności, a także wspierania inicjatyw oddolnych, które stają się szalenie istotne we współczesnych społecznościach lokalnych, jako że mogą doprowadzić do obudzenia lokalnych potencjałów i wsparcia działań prorozwojowych</w:t>
      </w:r>
      <w:r w:rsidR="00930834">
        <w:t>. B</w:t>
      </w:r>
      <w:r>
        <w:t>ardzo istotnym elementem budowania wspólnot lokalnych jest angażowani</w:t>
      </w:r>
      <w:r w:rsidR="00004756">
        <w:t>e wszystkich osób, w tym osób z </w:t>
      </w:r>
      <w:r>
        <w:t>nie</w:t>
      </w:r>
      <w:r w:rsidR="00930834">
        <w:t>pełnosprawnościami i seniorów. J</w:t>
      </w:r>
      <w:r>
        <w:t xml:space="preserve">ednym z elementów działań w tym zakresie będzie wspieranie organizacji pozarządowych, a także podmiotów ekonomii społecznej. </w:t>
      </w:r>
      <w:r w:rsidR="003929B5">
        <w:rPr>
          <w:rFonts w:cs="Times New Roman"/>
        </w:rPr>
        <w:t>Ze względu na postępujący proces starzenia się społeczeństwa i</w:t>
      </w:r>
      <w:r w:rsidR="006D5A62">
        <w:rPr>
          <w:rFonts w:cs="Times New Roman"/>
        </w:rPr>
        <w:t xml:space="preserve"> przyrost udziału ludności w </w:t>
      </w:r>
      <w:r w:rsidR="003929B5">
        <w:rPr>
          <w:rFonts w:cs="Times New Roman"/>
        </w:rPr>
        <w:t xml:space="preserve">wieku poprodukcyjnym ważne jest </w:t>
      </w:r>
      <w:r w:rsidR="003929B5">
        <w:rPr>
          <w:rFonts w:cs="Times New Roman"/>
        </w:rPr>
        <w:lastRenderedPageBreak/>
        <w:t>prowadzenie aktywnej polityki senioralnej i wykorzystanie potencjału ludzkiego i intelektualnego licznej grupy społecznej, jaką są seniorzy (kondycja zdrowotna, nabyte doświadczenie i umiejętności, mądrość życiowa) jak również potencjał dochodowy tej</w:t>
      </w:r>
      <w:r w:rsidR="00004756">
        <w:rPr>
          <w:rFonts w:cs="Times New Roman"/>
        </w:rPr>
        <w:t xml:space="preserve"> grupy społecznej, wynikający z </w:t>
      </w:r>
      <w:r w:rsidR="003929B5">
        <w:rPr>
          <w:rFonts w:cs="Times New Roman"/>
        </w:rPr>
        <w:t>otrzymywanych emerytur i rent, wykonywanej pracy zarobkowej czy też prowadzonej działalności gospodarczej.</w:t>
      </w:r>
      <w:r w:rsidR="003929B5" w:rsidRPr="003929B5">
        <w:rPr>
          <w:rFonts w:cs="Times New Roman"/>
          <w:szCs w:val="24"/>
        </w:rPr>
        <w:t xml:space="preserve"> </w:t>
      </w:r>
      <w:r w:rsidR="003929B5">
        <w:rPr>
          <w:rFonts w:cs="Times New Roman"/>
          <w:szCs w:val="24"/>
        </w:rPr>
        <w:t>Mając na uwadze lepsze wykorzystanie potencjału seniorów należy z jednej strony dążyć do przedłużenia ich samodzielnego funkcjonowania w środo</w:t>
      </w:r>
      <w:r w:rsidR="00004756">
        <w:rPr>
          <w:rFonts w:cs="Times New Roman"/>
          <w:szCs w:val="24"/>
        </w:rPr>
        <w:t>wisku domowym i lokalnym, zaś z </w:t>
      </w:r>
      <w:r w:rsidR="003929B5">
        <w:rPr>
          <w:rFonts w:cs="Times New Roman"/>
          <w:szCs w:val="24"/>
        </w:rPr>
        <w:t xml:space="preserve">drugiej należy stwarzać im dodatkowe możliwości </w:t>
      </w:r>
      <w:r w:rsidR="006D5A62">
        <w:rPr>
          <w:rFonts w:cs="Times New Roman"/>
          <w:szCs w:val="24"/>
        </w:rPr>
        <w:t>integrowania się i </w:t>
      </w:r>
      <w:r w:rsidR="003929B5" w:rsidRPr="007E4F71">
        <w:rPr>
          <w:rFonts w:cs="Times New Roman"/>
          <w:szCs w:val="24"/>
        </w:rPr>
        <w:t xml:space="preserve">dzielenia się swoją wiedzą i doświadczeniem z innymi. </w:t>
      </w:r>
      <w:r w:rsidR="003929B5">
        <w:rPr>
          <w:rFonts w:cs="Times New Roman"/>
        </w:rPr>
        <w:t xml:space="preserve"> </w:t>
      </w:r>
      <w:r w:rsidR="000F5AFB">
        <w:rPr>
          <w:rFonts w:cs="Times New Roman"/>
        </w:rPr>
        <w:t>W</w:t>
      </w:r>
      <w:r w:rsidR="003929B5">
        <w:rPr>
          <w:rFonts w:cs="Times New Roman"/>
        </w:rPr>
        <w:t xml:space="preserve">arto wykorzystać nieocenione źródło, tzw. wiedzy </w:t>
      </w:r>
      <w:proofErr w:type="gramStart"/>
      <w:r w:rsidR="003929B5" w:rsidRPr="007E4F71">
        <w:rPr>
          <w:rFonts w:cs="Times New Roman"/>
        </w:rPr>
        <w:t>pragmatycznej czyli</w:t>
      </w:r>
      <w:proofErr w:type="gramEnd"/>
      <w:r w:rsidR="003929B5" w:rsidRPr="007E4F71">
        <w:rPr>
          <w:rFonts w:cs="Times New Roman"/>
        </w:rPr>
        <w:t xml:space="preserve"> wiedzy budowanej na podstawie długoletnich życiowych i zawodowych doświadczeń. To także umiejętności praktyczne, przydatne innym czy też czas, który osoby starsze mogą poświęcić na pracę w organizacji pozarządowej czy społeczności lokalnej.</w:t>
      </w:r>
      <w:r w:rsidR="003929B5">
        <w:rPr>
          <w:rFonts w:cs="Times New Roman"/>
        </w:rPr>
        <w:t xml:space="preserve"> </w:t>
      </w:r>
    </w:p>
    <w:p w:rsidR="00930834" w:rsidRDefault="00930834" w:rsidP="00D8684B">
      <w:pPr>
        <w:rPr>
          <w:noProof/>
          <w:lang w:eastAsia="pl-PL"/>
        </w:rPr>
      </w:pPr>
    </w:p>
    <w:p w:rsidR="003E1FF5" w:rsidRDefault="00930834" w:rsidP="00D8684B">
      <w:r>
        <w:rPr>
          <w:noProof/>
          <w:lang w:eastAsia="pl-PL"/>
        </w:rPr>
        <mc:AlternateContent>
          <mc:Choice Requires="wps">
            <w:drawing>
              <wp:anchor distT="0" distB="0" distL="114300" distR="114300" simplePos="0" relativeHeight="251718656" behindDoc="0" locked="0" layoutInCell="1" allowOverlap="1" wp14:anchorId="41B6B261" wp14:editId="18E60ECE">
                <wp:simplePos x="0" y="0"/>
                <wp:positionH relativeFrom="column">
                  <wp:posOffset>3322955</wp:posOffset>
                </wp:positionH>
                <wp:positionV relativeFrom="paragraph">
                  <wp:posOffset>384175</wp:posOffset>
                </wp:positionV>
                <wp:extent cx="1108075" cy="297815"/>
                <wp:effectExtent l="0" t="0" r="15875" b="15240"/>
                <wp:wrapNone/>
                <wp:docPr id="554" name="Prostokąt zaokrąglony 554"/>
                <wp:cNvGraphicFramePr/>
                <a:graphic xmlns:a="http://schemas.openxmlformats.org/drawingml/2006/main">
                  <a:graphicData uri="http://schemas.microsoft.com/office/word/2010/wordprocessingShape">
                    <wps:wsp>
                      <wps:cNvSpPr/>
                      <wps:spPr>
                        <a:xfrm>
                          <a:off x="0" y="0"/>
                          <a:ext cx="1108075" cy="2978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441D5" w:rsidRPr="004364AE" w:rsidRDefault="002441D5" w:rsidP="004364AE">
                            <w:pPr>
                              <w:spacing w:before="0" w:after="0" w:line="240" w:lineRule="auto"/>
                              <w:ind w:firstLine="0"/>
                              <w:jc w:val="left"/>
                              <w:rPr>
                                <w:color w:val="000000" w:themeColor="text1"/>
                                <w:sz w:val="18"/>
                                <w:szCs w:val="18"/>
                              </w:rPr>
                            </w:pPr>
                            <w:r w:rsidRPr="004364AE">
                              <w:rPr>
                                <w:color w:val="000000" w:themeColor="text1"/>
                                <w:sz w:val="18"/>
                                <w:szCs w:val="18"/>
                              </w:rPr>
                              <w:t>Cel strategiczny 1</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oundrect id="Prostokąt zaokrąglony 554" o:spid="_x0000_s1047" style="position:absolute;left:0;text-align:left;margin-left:261.65pt;margin-top:30.25pt;width:87.25pt;height:23.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" fillcolor="#31b6fd [3204]" strokecolor="#016194 [1604]" strokeweight="2pt">
                <v:textbox style="mso-fit-shape-to-text:t" inset=",0,,0">
                  <w:txbxContent>
                    <w:p w:rsidR="002441D5" w:rsidRPr="004364AE" w:rsidRDefault="002441D5" w:rsidP="004364AE">
                      <w:pPr>
                        <w:spacing w:before="0" w:after="0" w:line="240" w:lineRule="auto"/>
                        <w:ind w:firstLine="0"/>
                        <w:jc w:val="left"/>
                        <w:rPr>
                          <w:color w:val="000000" w:themeColor="text1"/>
                          <w:sz w:val="18"/>
                          <w:szCs w:val="18"/>
                        </w:rPr>
                      </w:pPr>
                      <w:r w:rsidRPr="004364AE">
                        <w:rPr>
                          <w:color w:val="000000" w:themeColor="text1"/>
                          <w:sz w:val="18"/>
                          <w:szCs w:val="18"/>
                        </w:rPr>
                        <w:t>Cel strategiczny 1</w:t>
                      </w:r>
                    </w:p>
                  </w:txbxContent>
                </v:textbox>
              </v:roundrect>
            </w:pict>
          </mc:Fallback>
        </mc:AlternateContent>
      </w:r>
      <w:r w:rsidR="004364AE">
        <w:rPr>
          <w:noProof/>
          <w:lang w:eastAsia="pl-PL"/>
        </w:rPr>
        <w:drawing>
          <wp:inline distT="0" distB="0" distL="0" distR="0" wp14:anchorId="4CD2A6F6" wp14:editId="485C1910">
            <wp:extent cx="5486400" cy="4625340"/>
            <wp:effectExtent l="0" t="0" r="0" b="60960"/>
            <wp:docPr id="553" name="Diagram 5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4364AE" w:rsidRDefault="004364AE" w:rsidP="00D8684B">
      <w:pPr>
        <w:sectPr w:rsidR="004364AE">
          <w:pgSz w:w="11906" w:h="16838"/>
          <w:pgMar w:top="1417" w:right="1417" w:bottom="1417" w:left="1417" w:header="708" w:footer="708" w:gutter="0"/>
          <w:cols w:space="708"/>
          <w:docGrid w:linePitch="360"/>
        </w:sectPr>
      </w:pPr>
    </w:p>
    <w:p w:rsidR="00D8684B" w:rsidRDefault="003E1FF5" w:rsidP="00D8684B">
      <w:r>
        <w:lastRenderedPageBreak/>
        <w:t xml:space="preserve">Poniżej </w:t>
      </w:r>
      <w:r w:rsidR="003929B5">
        <w:t xml:space="preserve">zaprezentowano </w:t>
      </w:r>
      <w:r>
        <w:t xml:space="preserve">zestawienie możliwych kierunków działań realizujących założenia celu strategicznego </w:t>
      </w:r>
      <w:r w:rsidR="004364AE">
        <w:t>1. </w:t>
      </w:r>
      <w:proofErr w:type="gramStart"/>
      <w:r w:rsidR="00FB6F25">
        <w:t>LEPSZA JAKOŚĆ</w:t>
      </w:r>
      <w:proofErr w:type="gramEnd"/>
      <w:r w:rsidR="00FB6F25">
        <w:t xml:space="preserve"> ŻYCIA I </w:t>
      </w:r>
      <w:r w:rsidRPr="003E1FF5">
        <w:t>ZINTEGROWANA SPOŁECZNOŚĆ LOKALNA</w:t>
      </w:r>
      <w:r>
        <w:t xml:space="preserve">. </w:t>
      </w:r>
      <w:r w:rsidRPr="003E1FF5">
        <w:t>Zbiór przedstawionych kierunków interwencji nie stanowi katalogu zamkniętego.</w:t>
      </w:r>
    </w:p>
    <w:p w:rsidR="000731E7" w:rsidRDefault="000731E7" w:rsidP="000731E7">
      <w:pPr>
        <w:rPr>
          <w:rFonts w:ascii="Calibri" w:hAnsi="Calibri" w:cs="Calibri"/>
          <w:b/>
          <w:color w:val="000000"/>
        </w:rPr>
      </w:pPr>
      <w:r w:rsidRPr="004364AE">
        <w:rPr>
          <w:b/>
        </w:rPr>
        <w:t xml:space="preserve">Cel operacyjny 1.1. </w:t>
      </w:r>
      <w:r w:rsidRPr="004364AE">
        <w:rPr>
          <w:rFonts w:ascii="Calibri" w:hAnsi="Calibri" w:cs="Calibri"/>
          <w:b/>
          <w:color w:val="000000"/>
        </w:rPr>
        <w:t>Lepsza dostępność komunikacyjna obszaru HOF</w:t>
      </w:r>
    </w:p>
    <w:tbl>
      <w:tblPr>
        <w:tblStyle w:val="Jasnasiatkaakcent21"/>
        <w:tblW w:w="0" w:type="auto"/>
        <w:tblLook w:val="04A0" w:firstRow="1" w:lastRow="0" w:firstColumn="1" w:lastColumn="0" w:noHBand="0" w:noVBand="1"/>
      </w:tblPr>
      <w:tblGrid>
        <w:gridCol w:w="2802"/>
        <w:gridCol w:w="4536"/>
        <w:gridCol w:w="2835"/>
        <w:gridCol w:w="2409"/>
        <w:gridCol w:w="1418"/>
      </w:tblGrid>
      <w:tr w:rsidR="000731E7" w:rsidTr="000731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0731E7" w:rsidRPr="003F543C" w:rsidRDefault="000731E7" w:rsidP="0098324A">
            <w:pPr>
              <w:spacing w:before="0"/>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0731E7" w:rsidRPr="003F543C" w:rsidRDefault="000731E7" w:rsidP="0098324A">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0731E7" w:rsidRPr="00716E17" w:rsidRDefault="00712E71" w:rsidP="0098324A">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716E17">
              <w:rPr>
                <w:rFonts w:asciiTheme="minorHAnsi" w:hAnsiTheme="minorHAnsi" w:cstheme="minorHAnsi"/>
                <w:sz w:val="20"/>
                <w:szCs w:val="20"/>
              </w:rPr>
              <w:t>Potencjalne podmioty odpowiedzialne za realizację</w:t>
            </w:r>
          </w:p>
        </w:tc>
        <w:tc>
          <w:tcPr>
            <w:tcW w:w="2409" w:type="dxa"/>
          </w:tcPr>
          <w:p w:rsidR="000731E7" w:rsidRPr="00716E17" w:rsidRDefault="00712E71" w:rsidP="0098324A">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716E17">
              <w:rPr>
                <w:rFonts w:asciiTheme="minorHAnsi" w:hAnsiTheme="minorHAnsi" w:cstheme="minorHAnsi"/>
                <w:color w:val="000000"/>
                <w:sz w:val="20"/>
                <w:szCs w:val="20"/>
              </w:rPr>
              <w:t>Potencjalne p</w:t>
            </w:r>
            <w:r w:rsidR="000731E7" w:rsidRPr="00716E17">
              <w:rPr>
                <w:rFonts w:asciiTheme="minorHAnsi" w:hAnsiTheme="minorHAnsi" w:cstheme="minorHAnsi"/>
                <w:color w:val="000000"/>
                <w:sz w:val="20"/>
                <w:szCs w:val="20"/>
              </w:rPr>
              <w:t>odmioty biorące udział w realizacji (partnerzy merytoryczni, organizacyjni i finansowi)</w:t>
            </w:r>
          </w:p>
        </w:tc>
        <w:tc>
          <w:tcPr>
            <w:tcW w:w="1418" w:type="dxa"/>
          </w:tcPr>
          <w:p w:rsidR="000731E7" w:rsidRPr="003F543C" w:rsidRDefault="000731E7" w:rsidP="0098324A">
            <w:pPr>
              <w:spacing w:before="0"/>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0731E7" w:rsidTr="000731E7">
        <w:trPr>
          <w:cnfStyle w:val="000000100000" w:firstRow="0" w:lastRow="0" w:firstColumn="0" w:lastColumn="0" w:oddVBand="0" w:evenVBand="0" w:oddHBand="1" w:evenHBand="0" w:firstRowFirstColumn="0" w:firstRowLastColumn="0" w:lastRowFirstColumn="0" w:lastRowLastColumn="0"/>
          <w:trHeight w:val="1173"/>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F77956" w:rsidRDefault="000731E7" w:rsidP="0098324A">
            <w:pPr>
              <w:spacing w:before="0"/>
              <w:ind w:firstLine="0"/>
              <w:jc w:val="left"/>
              <w:rPr>
                <w:rFonts w:ascii="Calibri" w:hAnsi="Calibri" w:cs="Calibri"/>
                <w:b w:val="0"/>
                <w:bCs w:val="0"/>
                <w:color w:val="000000"/>
                <w:sz w:val="20"/>
                <w:szCs w:val="20"/>
              </w:rPr>
            </w:pPr>
            <w:r w:rsidRPr="003F543C">
              <w:rPr>
                <w:rFonts w:ascii="Calibri" w:hAnsi="Calibri" w:cs="Calibri"/>
                <w:b w:val="0"/>
                <w:bCs w:val="0"/>
                <w:color w:val="000000"/>
                <w:sz w:val="20"/>
                <w:szCs w:val="20"/>
              </w:rPr>
              <w:t>Współpraca i lobbing władz lokalnych w zakresie modernizacji/rozbudowy inf</w:t>
            </w:r>
            <w:r>
              <w:rPr>
                <w:rFonts w:ascii="Calibri" w:hAnsi="Calibri" w:cs="Calibri"/>
                <w:b w:val="0"/>
                <w:bCs w:val="0"/>
                <w:color w:val="000000"/>
                <w:sz w:val="20"/>
                <w:szCs w:val="20"/>
              </w:rPr>
              <w:t>rastruktury dróg ponadlokalnych</w:t>
            </w:r>
          </w:p>
        </w:tc>
        <w:tc>
          <w:tcPr>
            <w:tcW w:w="4536" w:type="dxa"/>
            <w:vAlign w:val="center"/>
          </w:tcPr>
          <w:p w:rsidR="000731E7" w:rsidRPr="003F543C"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3F543C">
              <w:rPr>
                <w:rFonts w:ascii="Calibri" w:hAnsi="Calibri" w:cs="Calibri"/>
                <w:color w:val="000000"/>
                <w:sz w:val="20"/>
                <w:szCs w:val="20"/>
              </w:rPr>
              <w:t>Proj</w:t>
            </w:r>
            <w:r>
              <w:rPr>
                <w:rFonts w:ascii="Calibri" w:hAnsi="Calibri" w:cs="Calibri"/>
                <w:color w:val="000000"/>
                <w:sz w:val="20"/>
                <w:szCs w:val="20"/>
              </w:rPr>
              <w:t>ekty w zakresie przygotowania i </w:t>
            </w:r>
            <w:r w:rsidR="00293D2A">
              <w:rPr>
                <w:rFonts w:eastAsia="Calibri" w:cs="Calibri"/>
                <w:sz w:val="20"/>
                <w:szCs w:val="20"/>
              </w:rPr>
              <w:t>modernizacji</w:t>
            </w:r>
            <w:r w:rsidR="00FB6F25">
              <w:rPr>
                <w:rFonts w:ascii="Calibri" w:hAnsi="Calibri" w:cs="Calibri"/>
                <w:color w:val="000000"/>
                <w:sz w:val="20"/>
                <w:szCs w:val="20"/>
              </w:rPr>
              <w:t>/remontów /przebudowy</w:t>
            </w:r>
            <w:r w:rsidR="00293D2A">
              <w:rPr>
                <w:rFonts w:eastAsia="Calibri" w:cs="Calibri"/>
                <w:sz w:val="20"/>
                <w:szCs w:val="20"/>
              </w:rPr>
              <w:t xml:space="preserve"> </w:t>
            </w:r>
            <w:r w:rsidRPr="003F543C">
              <w:rPr>
                <w:rFonts w:ascii="Calibri" w:hAnsi="Calibri" w:cs="Calibri"/>
                <w:color w:val="000000"/>
                <w:sz w:val="20"/>
                <w:szCs w:val="20"/>
              </w:rPr>
              <w:t>drogi krajowej (74)</w:t>
            </w:r>
          </w:p>
        </w:tc>
        <w:tc>
          <w:tcPr>
            <w:tcW w:w="2835" w:type="dxa"/>
          </w:tcPr>
          <w:p w:rsidR="000731E7" w:rsidRPr="00794592" w:rsidRDefault="000731E7" w:rsidP="000731E7">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94592">
              <w:rPr>
                <w:rFonts w:ascii="Calibri" w:hAnsi="Calibri" w:cs="Calibri"/>
                <w:color w:val="000000"/>
                <w:sz w:val="20"/>
                <w:szCs w:val="20"/>
              </w:rPr>
              <w:t>GDDKiA</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 oraz sąsiednie JST</w:t>
            </w:r>
          </w:p>
        </w:tc>
        <w:tc>
          <w:tcPr>
            <w:tcW w:w="1418" w:type="dxa"/>
            <w:vAlign w:val="center"/>
          </w:tcPr>
          <w:p w:rsidR="000731E7" w:rsidRPr="00932C0C"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2021 - 2030</w:t>
            </w:r>
          </w:p>
        </w:tc>
      </w:tr>
      <w:tr w:rsidR="000731E7" w:rsidTr="000731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3F543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3F543C"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3F543C">
              <w:rPr>
                <w:rFonts w:ascii="Calibri" w:hAnsi="Calibri" w:cs="Calibri"/>
                <w:color w:val="000000"/>
                <w:sz w:val="20"/>
                <w:szCs w:val="20"/>
              </w:rPr>
              <w:t>Proj</w:t>
            </w:r>
            <w:r>
              <w:rPr>
                <w:rFonts w:ascii="Calibri" w:hAnsi="Calibri" w:cs="Calibri"/>
                <w:color w:val="000000"/>
                <w:sz w:val="20"/>
                <w:szCs w:val="20"/>
              </w:rPr>
              <w:t>ekty w zakresie przygotowania i </w:t>
            </w:r>
            <w:r w:rsidRPr="003F543C">
              <w:rPr>
                <w:rFonts w:ascii="Calibri" w:hAnsi="Calibri" w:cs="Calibri"/>
                <w:color w:val="000000"/>
                <w:sz w:val="20"/>
                <w:szCs w:val="20"/>
              </w:rPr>
              <w:t>modernizacji dróg wojewódzk</w:t>
            </w:r>
            <w:r>
              <w:rPr>
                <w:rFonts w:ascii="Calibri" w:hAnsi="Calibri" w:cs="Calibri"/>
                <w:color w:val="000000"/>
                <w:sz w:val="20"/>
                <w:szCs w:val="20"/>
              </w:rPr>
              <w:t>ich (w </w:t>
            </w:r>
            <w:r w:rsidRPr="003F543C">
              <w:rPr>
                <w:rFonts w:ascii="Calibri" w:hAnsi="Calibri" w:cs="Calibri"/>
                <w:color w:val="000000"/>
                <w:sz w:val="20"/>
                <w:szCs w:val="20"/>
              </w:rPr>
              <w:t>tym nr 844, nr 846)</w:t>
            </w:r>
            <w:r w:rsidR="0031407B">
              <w:rPr>
                <w:rFonts w:ascii="Calibri" w:hAnsi="Calibri" w:cs="Calibri"/>
                <w:color w:val="000000"/>
                <w:sz w:val="20"/>
                <w:szCs w:val="20"/>
              </w:rPr>
              <w:t xml:space="preserve"> </w:t>
            </w:r>
            <w:r w:rsidR="0031407B" w:rsidRPr="003F543C">
              <w:rPr>
                <w:rFonts w:ascii="Calibri" w:hAnsi="Calibri" w:cs="Calibri"/>
                <w:color w:val="000000"/>
                <w:sz w:val="20"/>
                <w:szCs w:val="20"/>
              </w:rPr>
              <w:t>oraz ścieżek rowerowych</w:t>
            </w:r>
          </w:p>
        </w:tc>
        <w:tc>
          <w:tcPr>
            <w:tcW w:w="2835"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94592">
              <w:rPr>
                <w:rFonts w:ascii="Calibri" w:hAnsi="Calibri" w:cs="Calibri"/>
                <w:color w:val="000000"/>
                <w:sz w:val="20"/>
                <w:szCs w:val="20"/>
              </w:rPr>
              <w:t xml:space="preserve">Zarząd </w:t>
            </w:r>
            <w:r>
              <w:rPr>
                <w:rFonts w:ascii="Calibri" w:hAnsi="Calibri" w:cs="Calibri"/>
                <w:color w:val="000000"/>
                <w:sz w:val="20"/>
                <w:szCs w:val="20"/>
              </w:rPr>
              <w:t xml:space="preserve">Dróg </w:t>
            </w:r>
            <w:r w:rsidRPr="00794592">
              <w:rPr>
                <w:rFonts w:ascii="Calibri" w:hAnsi="Calibri" w:cs="Calibri"/>
                <w:color w:val="000000"/>
                <w:sz w:val="20"/>
                <w:szCs w:val="20"/>
              </w:rPr>
              <w:t>Wojewódz</w:t>
            </w:r>
            <w:r>
              <w:rPr>
                <w:rFonts w:ascii="Calibri" w:hAnsi="Calibri" w:cs="Calibri"/>
                <w:color w:val="000000"/>
                <w:sz w:val="20"/>
                <w:szCs w:val="20"/>
              </w:rPr>
              <w:t>kich</w:t>
            </w:r>
            <w:r w:rsidRPr="00794592">
              <w:rPr>
                <w:rFonts w:ascii="Calibri" w:hAnsi="Calibri" w:cs="Calibri"/>
                <w:color w:val="000000"/>
                <w:sz w:val="20"/>
                <w:szCs w:val="20"/>
              </w:rPr>
              <w:t xml:space="preserve"> podlegający </w:t>
            </w:r>
            <w:r>
              <w:rPr>
                <w:rFonts w:ascii="Calibri" w:hAnsi="Calibri" w:cs="Calibri"/>
                <w:color w:val="000000"/>
                <w:sz w:val="20"/>
                <w:szCs w:val="20"/>
              </w:rPr>
              <w:t xml:space="preserve">Samorządowi </w:t>
            </w:r>
            <w:r w:rsidRPr="00794592">
              <w:rPr>
                <w:rFonts w:ascii="Calibri" w:hAnsi="Calibri" w:cs="Calibri"/>
                <w:color w:val="000000"/>
                <w:sz w:val="20"/>
                <w:szCs w:val="20"/>
              </w:rPr>
              <w:t>Województwa Lubelskiego</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 oraz sąsiednie JST</w:t>
            </w:r>
          </w:p>
        </w:tc>
        <w:tc>
          <w:tcPr>
            <w:tcW w:w="1418" w:type="dxa"/>
            <w:vAlign w:val="center"/>
          </w:tcPr>
          <w:p w:rsidR="000731E7" w:rsidRPr="00932C0C"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932C0C">
              <w:rPr>
                <w:rFonts w:ascii="Calibri" w:hAnsi="Calibri" w:cs="Calibri"/>
                <w:color w:val="000000"/>
                <w:sz w:val="20"/>
                <w:szCs w:val="20"/>
              </w:rPr>
              <w:t>2021 - 2030</w:t>
            </w:r>
          </w:p>
        </w:tc>
      </w:tr>
      <w:tr w:rsidR="000731E7" w:rsidTr="0007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FFFFF" w:themeFill="background1"/>
            <w:vAlign w:val="center"/>
          </w:tcPr>
          <w:p w:rsidR="000731E7" w:rsidRPr="003F543C" w:rsidRDefault="000731E7" w:rsidP="0098324A">
            <w:pPr>
              <w:spacing w:before="0"/>
              <w:ind w:firstLine="0"/>
              <w:jc w:val="left"/>
              <w:rPr>
                <w:rFonts w:ascii="Calibri" w:hAnsi="Calibri" w:cs="Calibri"/>
                <w:b w:val="0"/>
                <w:color w:val="000000"/>
                <w:sz w:val="20"/>
                <w:szCs w:val="20"/>
              </w:rPr>
            </w:pPr>
            <w:r w:rsidRPr="003F543C">
              <w:rPr>
                <w:rFonts w:ascii="Calibri" w:hAnsi="Calibri" w:cs="Calibri"/>
                <w:b w:val="0"/>
                <w:color w:val="000000"/>
                <w:sz w:val="20"/>
                <w:szCs w:val="20"/>
              </w:rPr>
              <w:t>Współpraca i wsparcie w zakresie modernizacji /rozbudowy infrastruktury dróg powiatowych</w:t>
            </w:r>
          </w:p>
        </w:tc>
        <w:tc>
          <w:tcPr>
            <w:tcW w:w="4536" w:type="dxa"/>
            <w:vAlign w:val="center"/>
          </w:tcPr>
          <w:p w:rsidR="000731E7" w:rsidRPr="003F543C" w:rsidRDefault="000731E7" w:rsidP="00FB6F25">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3F543C">
              <w:rPr>
                <w:rFonts w:ascii="Calibri" w:hAnsi="Calibri" w:cs="Calibri"/>
                <w:color w:val="000000"/>
                <w:sz w:val="20"/>
                <w:szCs w:val="20"/>
              </w:rPr>
              <w:t>Współpraca w zakresie przygotowania dokumentacji technicznej modernizacji</w:t>
            </w:r>
            <w:r w:rsidR="00293D2A">
              <w:rPr>
                <w:rFonts w:ascii="Calibri" w:hAnsi="Calibri" w:cs="Calibri"/>
                <w:color w:val="000000"/>
                <w:sz w:val="20"/>
                <w:szCs w:val="20"/>
              </w:rPr>
              <w:t>/remontów</w:t>
            </w:r>
            <w:r w:rsidR="0094694C">
              <w:rPr>
                <w:rFonts w:ascii="Calibri" w:hAnsi="Calibri" w:cs="Calibri"/>
                <w:color w:val="000000"/>
                <w:sz w:val="20"/>
                <w:szCs w:val="20"/>
              </w:rPr>
              <w:t xml:space="preserve"> </w:t>
            </w:r>
            <w:r w:rsidR="00293D2A">
              <w:rPr>
                <w:rFonts w:ascii="Calibri" w:hAnsi="Calibri" w:cs="Calibri"/>
                <w:color w:val="000000"/>
                <w:sz w:val="20"/>
                <w:szCs w:val="20"/>
              </w:rPr>
              <w:t>/przebud</w:t>
            </w:r>
            <w:r w:rsidR="00FB6F25">
              <w:rPr>
                <w:rFonts w:ascii="Calibri" w:hAnsi="Calibri" w:cs="Calibri"/>
                <w:color w:val="000000"/>
                <w:sz w:val="20"/>
                <w:szCs w:val="20"/>
              </w:rPr>
              <w:t>owy</w:t>
            </w:r>
            <w:r w:rsidR="00CB322F">
              <w:rPr>
                <w:rFonts w:ascii="Calibri" w:hAnsi="Calibri" w:cs="Calibri"/>
                <w:color w:val="000000"/>
                <w:sz w:val="20"/>
                <w:szCs w:val="20"/>
              </w:rPr>
              <w:t xml:space="preserve"> /budowy</w:t>
            </w:r>
            <w:r w:rsidRPr="003F543C">
              <w:rPr>
                <w:rFonts w:ascii="Calibri" w:hAnsi="Calibri" w:cs="Calibri"/>
                <w:color w:val="000000"/>
                <w:sz w:val="20"/>
                <w:szCs w:val="20"/>
              </w:rPr>
              <w:t xml:space="preserve"> wybranych dróg powiatowych</w:t>
            </w:r>
            <w:r w:rsidR="0031407B">
              <w:rPr>
                <w:rFonts w:ascii="Calibri" w:hAnsi="Calibri" w:cs="Calibri"/>
                <w:color w:val="000000"/>
                <w:sz w:val="20"/>
                <w:szCs w:val="20"/>
              </w:rPr>
              <w:t xml:space="preserve"> </w:t>
            </w:r>
            <w:r w:rsidR="0031407B" w:rsidRPr="003F543C">
              <w:rPr>
                <w:rFonts w:ascii="Calibri" w:hAnsi="Calibri" w:cs="Calibri"/>
                <w:color w:val="000000"/>
                <w:sz w:val="20"/>
                <w:szCs w:val="20"/>
              </w:rPr>
              <w:t>oraz ścieżek rowerowych</w:t>
            </w:r>
          </w:p>
        </w:tc>
        <w:tc>
          <w:tcPr>
            <w:tcW w:w="2835"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 xml:space="preserve">Powiatowy Zarząd Dróg podlegający pod </w:t>
            </w:r>
            <w:r w:rsidRPr="00794592">
              <w:rPr>
                <w:rFonts w:ascii="Calibri" w:hAnsi="Calibri" w:cs="Calibri"/>
                <w:color w:val="000000"/>
                <w:sz w:val="20"/>
                <w:szCs w:val="20"/>
              </w:rPr>
              <w:t xml:space="preserve">Zarząd Powiatu Hrubieszowskiego </w:t>
            </w:r>
          </w:p>
        </w:tc>
        <w:tc>
          <w:tcPr>
            <w:tcW w:w="2409" w:type="dxa"/>
            <w:vAlign w:val="center"/>
          </w:tcPr>
          <w:p w:rsidR="000731E7" w:rsidRPr="00794592" w:rsidRDefault="000731E7" w:rsidP="000731E7">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94592">
              <w:rPr>
                <w:sz w:val="20"/>
                <w:szCs w:val="20"/>
              </w:rPr>
              <w:t>Gmina Miejska Hrubieszów, Gmina Hrubieszów oraz sąsiednie JST</w:t>
            </w:r>
          </w:p>
        </w:tc>
        <w:tc>
          <w:tcPr>
            <w:tcW w:w="1418" w:type="dxa"/>
            <w:vAlign w:val="center"/>
          </w:tcPr>
          <w:p w:rsidR="000731E7" w:rsidRPr="00932C0C"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932C0C">
              <w:rPr>
                <w:rFonts w:ascii="Calibri" w:hAnsi="Calibri" w:cs="Calibri"/>
                <w:color w:val="000000"/>
                <w:sz w:val="20"/>
                <w:szCs w:val="20"/>
              </w:rPr>
              <w:t>2021 - 2030</w:t>
            </w:r>
          </w:p>
        </w:tc>
      </w:tr>
      <w:tr w:rsidR="000731E7" w:rsidTr="000731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vAlign w:val="center"/>
          </w:tcPr>
          <w:p w:rsidR="000731E7" w:rsidRPr="003F543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3F543C"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3F543C">
              <w:rPr>
                <w:rFonts w:ascii="Calibri" w:hAnsi="Calibri" w:cs="Calibri"/>
                <w:color w:val="000000"/>
                <w:sz w:val="20"/>
                <w:szCs w:val="20"/>
              </w:rPr>
              <w:t>Wsparcie finansowej w zakresie modernizacji/rozbudowy</w:t>
            </w:r>
            <w:r w:rsidR="00FB6F25">
              <w:rPr>
                <w:rFonts w:ascii="Calibri" w:hAnsi="Calibri" w:cs="Calibri"/>
                <w:color w:val="000000"/>
                <w:sz w:val="20"/>
                <w:szCs w:val="20"/>
              </w:rPr>
              <w:t xml:space="preserve"> /remontów /przebudowy /budowy</w:t>
            </w:r>
            <w:r w:rsidRPr="003F543C">
              <w:rPr>
                <w:rFonts w:ascii="Calibri" w:hAnsi="Calibri" w:cs="Calibri"/>
                <w:color w:val="000000"/>
                <w:sz w:val="20"/>
                <w:szCs w:val="20"/>
              </w:rPr>
              <w:t xml:space="preserve"> uzgodnionych odcinków dróg powiatowych</w:t>
            </w:r>
            <w:r w:rsidR="0031407B">
              <w:rPr>
                <w:rFonts w:ascii="Calibri" w:hAnsi="Calibri" w:cs="Calibri"/>
                <w:color w:val="000000"/>
                <w:sz w:val="20"/>
                <w:szCs w:val="20"/>
              </w:rPr>
              <w:t xml:space="preserve"> </w:t>
            </w:r>
            <w:r w:rsidR="0031407B" w:rsidRPr="003F543C">
              <w:rPr>
                <w:rFonts w:ascii="Calibri" w:hAnsi="Calibri" w:cs="Calibri"/>
                <w:color w:val="000000"/>
                <w:sz w:val="20"/>
                <w:szCs w:val="20"/>
              </w:rPr>
              <w:t>oraz ścieżek rowerowych</w:t>
            </w:r>
          </w:p>
        </w:tc>
        <w:tc>
          <w:tcPr>
            <w:tcW w:w="2835"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137E71">
              <w:rPr>
                <w:rFonts w:ascii="Calibri" w:hAnsi="Calibri" w:cs="Calibri"/>
                <w:color w:val="000000"/>
                <w:sz w:val="20"/>
                <w:szCs w:val="20"/>
              </w:rPr>
              <w:t>Powiatowy Zarząd Dróg podlegający pod Zarząd Powiatu Hrubieszowskiego</w:t>
            </w:r>
          </w:p>
        </w:tc>
        <w:tc>
          <w:tcPr>
            <w:tcW w:w="2409" w:type="dxa"/>
            <w:vAlign w:val="center"/>
          </w:tcPr>
          <w:p w:rsidR="000731E7" w:rsidRPr="00794592" w:rsidRDefault="000731E7" w:rsidP="0098324A">
            <w:pPr>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94592">
              <w:rPr>
                <w:sz w:val="20"/>
                <w:szCs w:val="20"/>
              </w:rPr>
              <w:t>Gmina Miejska Hrubieszów, Gmina Hrubieszów oraz sąsiednie JST</w:t>
            </w:r>
          </w:p>
        </w:tc>
        <w:tc>
          <w:tcPr>
            <w:tcW w:w="1418" w:type="dxa"/>
            <w:vAlign w:val="center"/>
          </w:tcPr>
          <w:p w:rsidR="000731E7" w:rsidRPr="00932C0C"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932C0C">
              <w:rPr>
                <w:rFonts w:ascii="Calibri" w:hAnsi="Calibri" w:cs="Calibri"/>
                <w:color w:val="000000"/>
                <w:sz w:val="20"/>
                <w:szCs w:val="20"/>
              </w:rPr>
              <w:t>2021 - 2030</w:t>
            </w:r>
          </w:p>
        </w:tc>
      </w:tr>
      <w:tr w:rsidR="000731E7" w:rsidTr="0007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3F543C" w:rsidRDefault="000731E7" w:rsidP="0098324A">
            <w:pPr>
              <w:spacing w:before="0"/>
              <w:ind w:firstLine="0"/>
              <w:jc w:val="left"/>
              <w:rPr>
                <w:rFonts w:ascii="Calibri" w:hAnsi="Calibri" w:cs="Calibri"/>
                <w:b w:val="0"/>
                <w:color w:val="000000"/>
                <w:sz w:val="20"/>
                <w:szCs w:val="20"/>
              </w:rPr>
            </w:pPr>
            <w:r w:rsidRPr="003F543C">
              <w:rPr>
                <w:rFonts w:ascii="Calibri" w:hAnsi="Calibri" w:cs="Calibri"/>
                <w:b w:val="0"/>
                <w:color w:val="000000"/>
                <w:sz w:val="20"/>
                <w:szCs w:val="20"/>
              </w:rPr>
              <w:t>Rozbudowa lokalnej infrastruktury komunikacyjnej usprawniającej ruch komunikacyjny wewnątrz obszaru HOF</w:t>
            </w:r>
          </w:p>
        </w:tc>
        <w:tc>
          <w:tcPr>
            <w:tcW w:w="4536" w:type="dxa"/>
            <w:vAlign w:val="center"/>
          </w:tcPr>
          <w:p w:rsidR="000731E7" w:rsidRPr="003F543C"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3F543C">
              <w:rPr>
                <w:rFonts w:ascii="Calibri" w:hAnsi="Calibri" w:cs="Calibri"/>
                <w:color w:val="000000"/>
                <w:sz w:val="20"/>
                <w:szCs w:val="20"/>
              </w:rPr>
              <w:t>Opracowanie i realizacja wspólnego programu modernizacji/przebudowy</w:t>
            </w:r>
            <w:r w:rsidR="00FB6F25">
              <w:rPr>
                <w:rFonts w:ascii="Calibri" w:hAnsi="Calibri" w:cs="Calibri"/>
                <w:color w:val="000000"/>
                <w:sz w:val="20"/>
                <w:szCs w:val="20"/>
              </w:rPr>
              <w:t xml:space="preserve"> /remontów /przebudowy / budowy</w:t>
            </w:r>
            <w:r w:rsidRPr="003F543C">
              <w:rPr>
                <w:rFonts w:ascii="Calibri" w:hAnsi="Calibri" w:cs="Calibri"/>
                <w:color w:val="000000"/>
                <w:sz w:val="20"/>
                <w:szCs w:val="20"/>
              </w:rPr>
              <w:t xml:space="preserve"> dróg gminnych i wewnętrznych na terenie HOF </w:t>
            </w:r>
          </w:p>
        </w:tc>
        <w:tc>
          <w:tcPr>
            <w:tcW w:w="2835"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94592">
              <w:rPr>
                <w:rFonts w:ascii="Calibri" w:hAnsi="Calibri" w:cs="Calibri"/>
                <w:color w:val="000000"/>
                <w:sz w:val="20"/>
                <w:szCs w:val="20"/>
              </w:rPr>
              <w:t>Sąsiednie JST</w:t>
            </w:r>
            <w:r>
              <w:rPr>
                <w:rFonts w:ascii="Calibri" w:hAnsi="Calibri" w:cs="Calibri"/>
                <w:color w:val="000000"/>
                <w:sz w:val="20"/>
                <w:szCs w:val="20"/>
              </w:rPr>
              <w:t xml:space="preserve">, </w:t>
            </w:r>
            <w:r w:rsidRPr="00137E71">
              <w:rPr>
                <w:rFonts w:ascii="Calibri" w:hAnsi="Calibri" w:cs="Calibri"/>
                <w:color w:val="000000"/>
                <w:sz w:val="20"/>
                <w:szCs w:val="20"/>
              </w:rPr>
              <w:t>Powiatowy Zarząd Dróg</w:t>
            </w:r>
            <w:r>
              <w:rPr>
                <w:rFonts w:ascii="Calibri" w:hAnsi="Calibri" w:cs="Calibri"/>
                <w:color w:val="000000"/>
                <w:sz w:val="20"/>
                <w:szCs w:val="20"/>
              </w:rPr>
              <w:t xml:space="preserve">, </w:t>
            </w:r>
            <w:r w:rsidRPr="00794592">
              <w:rPr>
                <w:rFonts w:ascii="Calibri" w:hAnsi="Calibri" w:cs="Calibri"/>
                <w:color w:val="000000"/>
                <w:sz w:val="20"/>
                <w:szCs w:val="20"/>
              </w:rPr>
              <w:t xml:space="preserve">Zarząd </w:t>
            </w:r>
            <w:r>
              <w:rPr>
                <w:rFonts w:ascii="Calibri" w:hAnsi="Calibri" w:cs="Calibri"/>
                <w:color w:val="000000"/>
                <w:sz w:val="20"/>
                <w:szCs w:val="20"/>
              </w:rPr>
              <w:t xml:space="preserve">Dróg </w:t>
            </w:r>
            <w:r w:rsidRPr="00794592">
              <w:rPr>
                <w:rFonts w:ascii="Calibri" w:hAnsi="Calibri" w:cs="Calibri"/>
                <w:color w:val="000000"/>
                <w:sz w:val="20"/>
                <w:szCs w:val="20"/>
              </w:rPr>
              <w:t>Wojewódz</w:t>
            </w:r>
            <w:r>
              <w:rPr>
                <w:rFonts w:ascii="Calibri" w:hAnsi="Calibri" w:cs="Calibri"/>
                <w:color w:val="000000"/>
                <w:sz w:val="20"/>
                <w:szCs w:val="20"/>
              </w:rPr>
              <w:t>kich</w:t>
            </w:r>
          </w:p>
        </w:tc>
        <w:tc>
          <w:tcPr>
            <w:tcW w:w="1418" w:type="dxa"/>
            <w:vAlign w:val="center"/>
          </w:tcPr>
          <w:p w:rsidR="000731E7" w:rsidRPr="00932C0C"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932C0C">
              <w:rPr>
                <w:rFonts w:ascii="Calibri" w:hAnsi="Calibri" w:cs="Calibri"/>
                <w:color w:val="000000"/>
                <w:sz w:val="20"/>
                <w:szCs w:val="20"/>
              </w:rPr>
              <w:t>2021 - 2030</w:t>
            </w:r>
          </w:p>
        </w:tc>
      </w:tr>
      <w:tr w:rsidR="000731E7" w:rsidTr="000731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3F543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3F543C"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3F543C">
              <w:rPr>
                <w:rFonts w:ascii="Calibri" w:hAnsi="Calibri" w:cs="Calibri"/>
                <w:color w:val="000000"/>
                <w:sz w:val="20"/>
                <w:szCs w:val="20"/>
              </w:rPr>
              <w:t>Projekty w zakresie realizacji konkretnych przedsięwzięć inwestycyjnych w zakresie rozbudowy</w:t>
            </w:r>
            <w:r>
              <w:rPr>
                <w:rFonts w:ascii="Calibri" w:hAnsi="Calibri" w:cs="Calibri"/>
                <w:color w:val="000000"/>
                <w:sz w:val="20"/>
                <w:szCs w:val="20"/>
              </w:rPr>
              <w:t xml:space="preserve"> infrastruktury dróg gminnych i </w:t>
            </w:r>
            <w:r w:rsidRPr="003F543C">
              <w:rPr>
                <w:rFonts w:ascii="Calibri" w:hAnsi="Calibri" w:cs="Calibri"/>
                <w:color w:val="000000"/>
                <w:sz w:val="20"/>
                <w:szCs w:val="20"/>
              </w:rPr>
              <w:t>wewnętrznych oraz ścieżek rowerowych</w:t>
            </w:r>
          </w:p>
        </w:tc>
        <w:tc>
          <w:tcPr>
            <w:tcW w:w="2835"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p>
        </w:tc>
        <w:tc>
          <w:tcPr>
            <w:tcW w:w="2409"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rFonts w:ascii="Calibri" w:hAnsi="Calibri" w:cs="Calibri"/>
                <w:color w:val="000000"/>
                <w:sz w:val="20"/>
                <w:szCs w:val="20"/>
              </w:rPr>
              <w:t>Sąsiednie JST, Powiatowy Zarząd Dróg, Zarząd Dróg Wojewódzkich,</w:t>
            </w:r>
            <w:r w:rsidRPr="00716E17">
              <w:rPr>
                <w:sz w:val="20"/>
                <w:szCs w:val="20"/>
              </w:rPr>
              <w:t xml:space="preserve"> organizacje pozarządowe</w:t>
            </w:r>
            <w:r w:rsidR="0031407B" w:rsidRPr="00716E17">
              <w:rPr>
                <w:sz w:val="20"/>
                <w:szCs w:val="20"/>
              </w:rPr>
              <w:t>, zarządcy dróg</w:t>
            </w:r>
          </w:p>
        </w:tc>
        <w:tc>
          <w:tcPr>
            <w:tcW w:w="1418"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rFonts w:ascii="Calibri" w:hAnsi="Calibri" w:cs="Calibri"/>
                <w:color w:val="000000"/>
                <w:sz w:val="20"/>
                <w:szCs w:val="20"/>
              </w:rPr>
              <w:t>2021 - 2030</w:t>
            </w:r>
          </w:p>
        </w:tc>
      </w:tr>
      <w:tr w:rsidR="000731E7" w:rsidTr="0007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3F543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3F543C"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3F543C">
              <w:rPr>
                <w:rFonts w:ascii="Calibri" w:hAnsi="Calibri" w:cs="Calibri"/>
                <w:color w:val="000000"/>
                <w:sz w:val="20"/>
                <w:szCs w:val="20"/>
              </w:rPr>
              <w:t>Projekty w zakresie budowy parki</w:t>
            </w:r>
            <w:r>
              <w:rPr>
                <w:rFonts w:ascii="Calibri" w:hAnsi="Calibri" w:cs="Calibri"/>
                <w:color w:val="000000"/>
                <w:sz w:val="20"/>
                <w:szCs w:val="20"/>
              </w:rPr>
              <w:t>ngów i miejsc przesiadkowych, w </w:t>
            </w:r>
            <w:r w:rsidRPr="003F543C">
              <w:rPr>
                <w:rFonts w:ascii="Calibri" w:hAnsi="Calibri" w:cs="Calibri"/>
                <w:color w:val="000000"/>
                <w:sz w:val="20"/>
                <w:szCs w:val="20"/>
              </w:rPr>
              <w:t>szczególności przy budynkach użyteczności publicznej oraz atrakcjach turystycznych</w:t>
            </w:r>
          </w:p>
        </w:tc>
        <w:tc>
          <w:tcPr>
            <w:tcW w:w="2835"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p>
        </w:tc>
        <w:tc>
          <w:tcPr>
            <w:tcW w:w="2409"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roofErr w:type="gramStart"/>
            <w:r w:rsidRPr="00716E17">
              <w:rPr>
                <w:rFonts w:ascii="Calibri" w:hAnsi="Calibri" w:cs="Calibri"/>
                <w:color w:val="000000"/>
                <w:sz w:val="20"/>
                <w:szCs w:val="20"/>
              </w:rPr>
              <w:t xml:space="preserve">GDDKiA , </w:t>
            </w:r>
            <w:proofErr w:type="gramEnd"/>
            <w:r w:rsidRPr="00716E17">
              <w:rPr>
                <w:rFonts w:ascii="Calibri" w:hAnsi="Calibri" w:cs="Calibri"/>
                <w:color w:val="000000"/>
                <w:sz w:val="20"/>
                <w:szCs w:val="20"/>
              </w:rPr>
              <w:t>Powiatowy Zarząd Dróg, Zarząd Dróg Wojewódzkich</w:t>
            </w:r>
            <w:r w:rsidR="0031407B" w:rsidRPr="00716E17">
              <w:rPr>
                <w:rFonts w:ascii="Calibri" w:hAnsi="Calibri" w:cs="Calibri"/>
                <w:color w:val="000000"/>
                <w:sz w:val="20"/>
                <w:szCs w:val="20"/>
              </w:rPr>
              <w:t>,</w:t>
            </w:r>
            <w:r w:rsidRPr="00716E17">
              <w:rPr>
                <w:rFonts w:ascii="Calibri" w:hAnsi="Calibri" w:cs="Calibri"/>
                <w:color w:val="000000"/>
                <w:sz w:val="20"/>
                <w:szCs w:val="20"/>
              </w:rPr>
              <w:t xml:space="preserve"> Sąsiednie JST</w:t>
            </w:r>
            <w:r w:rsidR="0031407B" w:rsidRPr="00716E17">
              <w:rPr>
                <w:rFonts w:ascii="Calibri" w:hAnsi="Calibri" w:cs="Calibri"/>
                <w:color w:val="000000"/>
                <w:sz w:val="20"/>
                <w:szCs w:val="20"/>
              </w:rPr>
              <w:t>, zarządcy nieruchomości, Konserwator Zabytków</w:t>
            </w:r>
            <w:r w:rsidRPr="00716E17">
              <w:rPr>
                <w:rFonts w:ascii="Calibri" w:hAnsi="Calibri" w:cs="Calibri"/>
                <w:color w:val="000000"/>
                <w:sz w:val="20"/>
                <w:szCs w:val="20"/>
              </w:rPr>
              <w:t xml:space="preserve">  </w:t>
            </w:r>
          </w:p>
        </w:tc>
        <w:tc>
          <w:tcPr>
            <w:tcW w:w="1418"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16E17">
              <w:rPr>
                <w:rFonts w:ascii="Calibri" w:hAnsi="Calibri" w:cs="Calibri"/>
                <w:color w:val="000000"/>
                <w:sz w:val="20"/>
                <w:szCs w:val="20"/>
              </w:rPr>
              <w:t>2021 - 2030</w:t>
            </w:r>
          </w:p>
        </w:tc>
      </w:tr>
      <w:tr w:rsidR="000731E7" w:rsidTr="000731E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3F01F7" w:rsidRDefault="000731E7" w:rsidP="0098324A">
            <w:pPr>
              <w:spacing w:before="0"/>
              <w:ind w:firstLine="0"/>
              <w:jc w:val="left"/>
              <w:rPr>
                <w:rFonts w:ascii="Calibri" w:hAnsi="Calibri" w:cs="Calibri"/>
                <w:b w:val="0"/>
                <w:bCs w:val="0"/>
                <w:color w:val="000000"/>
                <w:sz w:val="20"/>
                <w:szCs w:val="20"/>
              </w:rPr>
            </w:pPr>
            <w:r w:rsidRPr="003F543C">
              <w:rPr>
                <w:rFonts w:ascii="Calibri" w:hAnsi="Calibri" w:cs="Calibri"/>
                <w:b w:val="0"/>
                <w:bCs w:val="0"/>
                <w:color w:val="000000"/>
                <w:sz w:val="20"/>
                <w:szCs w:val="20"/>
              </w:rPr>
              <w:t>Współpraca i lobbing władz lokalnych w zakresie modernizacji/rozbudowy infrastr</w:t>
            </w:r>
            <w:r>
              <w:rPr>
                <w:rFonts w:ascii="Calibri" w:hAnsi="Calibri" w:cs="Calibri"/>
                <w:b w:val="0"/>
                <w:bCs w:val="0"/>
                <w:color w:val="000000"/>
                <w:sz w:val="20"/>
                <w:szCs w:val="20"/>
              </w:rPr>
              <w:t>uktury kolejowej na terenie HOF</w:t>
            </w:r>
          </w:p>
        </w:tc>
        <w:tc>
          <w:tcPr>
            <w:tcW w:w="4536" w:type="dxa"/>
            <w:vAlign w:val="center"/>
          </w:tcPr>
          <w:p w:rsidR="000731E7" w:rsidRPr="00716E17"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Projekty inwestycyjne w zakresie modernizacji infrastruktury kolejowej do transportu pasażerów</w:t>
            </w:r>
            <w:r w:rsidR="00654883" w:rsidRPr="00716E17">
              <w:rPr>
                <w:rFonts w:ascii="Calibri" w:hAnsi="Calibri" w:cs="Calibri"/>
                <w:color w:val="000000"/>
                <w:sz w:val="20"/>
                <w:szCs w:val="20"/>
              </w:rPr>
              <w:t xml:space="preserve"> oraz budowy/ rozbudowy infrastruktury odpraw celnych</w:t>
            </w:r>
          </w:p>
        </w:tc>
        <w:tc>
          <w:tcPr>
            <w:tcW w:w="2835"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Polskie Koleje Państwowe S.A</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94592">
              <w:rPr>
                <w:sz w:val="20"/>
                <w:szCs w:val="20"/>
              </w:rPr>
              <w:t>Gmina Miejska Hrubieszów, Gmina Hrubieszów</w:t>
            </w:r>
          </w:p>
        </w:tc>
        <w:tc>
          <w:tcPr>
            <w:tcW w:w="1418" w:type="dxa"/>
            <w:vAlign w:val="center"/>
          </w:tcPr>
          <w:p w:rsidR="000731E7" w:rsidRPr="00932C0C"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932C0C">
              <w:rPr>
                <w:rFonts w:ascii="Calibri" w:hAnsi="Calibri" w:cs="Calibri"/>
                <w:color w:val="000000"/>
                <w:sz w:val="20"/>
                <w:szCs w:val="20"/>
              </w:rPr>
              <w:t>2021 - 2030</w:t>
            </w:r>
          </w:p>
        </w:tc>
      </w:tr>
      <w:tr w:rsidR="000731E7" w:rsidTr="000731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3F543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716E17"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Projekty inwestycyjne w zakresie modernizacji infrastruktury kolejowej do przewozu towarów (w tym linii LHS)</w:t>
            </w:r>
            <w:r w:rsidR="00654883" w:rsidRPr="00716E17">
              <w:rPr>
                <w:rFonts w:ascii="Calibri" w:hAnsi="Calibri" w:cs="Calibri"/>
                <w:color w:val="000000"/>
                <w:sz w:val="20"/>
                <w:szCs w:val="20"/>
              </w:rPr>
              <w:t xml:space="preserve"> oraz budowy/ rozbudowy infrastruktury odpraw celnych</w:t>
            </w:r>
          </w:p>
        </w:tc>
        <w:tc>
          <w:tcPr>
            <w:tcW w:w="2835"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Polskie Koleje Państwowe S.A</w:t>
            </w:r>
            <w:r w:rsidR="0031407B" w:rsidRPr="00716E17">
              <w:rPr>
                <w:rFonts w:ascii="Calibri" w:hAnsi="Calibri" w:cs="Calibri"/>
                <w:color w:val="000000"/>
                <w:sz w:val="20"/>
                <w:szCs w:val="20"/>
              </w:rPr>
              <w:t>,</w:t>
            </w:r>
          </w:p>
          <w:p w:rsidR="0031407B" w:rsidRPr="00716E17" w:rsidRDefault="0031407B"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PKP LHS Sp. z o.</w:t>
            </w:r>
            <w:proofErr w:type="gramStart"/>
            <w:r w:rsidRPr="00716E17">
              <w:rPr>
                <w:rFonts w:ascii="Calibri" w:hAnsi="Calibri" w:cs="Calibri"/>
                <w:color w:val="000000"/>
                <w:sz w:val="20"/>
                <w:szCs w:val="20"/>
              </w:rPr>
              <w:t>o</w:t>
            </w:r>
            <w:proofErr w:type="gramEnd"/>
            <w:r w:rsidRPr="00716E17">
              <w:rPr>
                <w:rFonts w:ascii="Calibri" w:hAnsi="Calibri" w:cs="Calibri"/>
                <w:color w:val="000000"/>
                <w:sz w:val="20"/>
                <w:szCs w:val="20"/>
              </w:rPr>
              <w:t>.</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r w:rsidR="0031407B">
              <w:rPr>
                <w:sz w:val="20"/>
                <w:szCs w:val="20"/>
              </w:rPr>
              <w:t>, Lubelski Urząd Celno-Skarbowy, przedsiębiorcy</w:t>
            </w:r>
          </w:p>
        </w:tc>
        <w:tc>
          <w:tcPr>
            <w:tcW w:w="1418" w:type="dxa"/>
            <w:vAlign w:val="center"/>
          </w:tcPr>
          <w:p w:rsidR="000731E7" w:rsidRPr="00932C0C"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932C0C">
              <w:rPr>
                <w:rFonts w:ascii="Calibri" w:hAnsi="Calibri" w:cs="Calibri"/>
                <w:color w:val="000000"/>
                <w:sz w:val="20"/>
                <w:szCs w:val="20"/>
              </w:rPr>
              <w:t>2021 - 2030</w:t>
            </w:r>
          </w:p>
        </w:tc>
      </w:tr>
      <w:tr w:rsidR="00CF30EA" w:rsidTr="007F2303">
        <w:trPr>
          <w:cnfStyle w:val="000000010000" w:firstRow="0" w:lastRow="0" w:firstColumn="0" w:lastColumn="0" w:oddVBand="0" w:evenVBand="0" w:oddHBand="0" w:evenHBand="1" w:firstRowFirstColumn="0" w:firstRowLastColumn="0" w:lastRowFirstColumn="0" w:lastRowLastColumn="0"/>
          <w:trHeight w:val="1221"/>
        </w:trPr>
        <w:tc>
          <w:tcPr>
            <w:cnfStyle w:val="001000000000" w:firstRow="0" w:lastRow="0" w:firstColumn="1" w:lastColumn="0" w:oddVBand="0" w:evenVBand="0" w:oddHBand="0" w:evenHBand="0" w:firstRowFirstColumn="0" w:firstRowLastColumn="0" w:lastRowFirstColumn="0" w:lastRowLastColumn="0"/>
            <w:tcW w:w="2802" w:type="dxa"/>
            <w:shd w:val="clear" w:color="auto" w:fill="D9E6F6" w:themeFill="accent2" w:themeFillTint="33"/>
            <w:vAlign w:val="center"/>
          </w:tcPr>
          <w:p w:rsidR="00CF30EA" w:rsidRPr="003F543C" w:rsidRDefault="00CF30EA" w:rsidP="0098324A">
            <w:pPr>
              <w:spacing w:before="0"/>
              <w:ind w:firstLine="0"/>
              <w:jc w:val="left"/>
              <w:rPr>
                <w:rFonts w:ascii="Calibri" w:hAnsi="Calibri" w:cs="Calibri"/>
                <w:b w:val="0"/>
                <w:color w:val="000000"/>
                <w:sz w:val="20"/>
                <w:szCs w:val="20"/>
              </w:rPr>
            </w:pPr>
            <w:r w:rsidRPr="003F543C">
              <w:rPr>
                <w:rFonts w:ascii="Calibri" w:hAnsi="Calibri" w:cs="Calibri"/>
                <w:b w:val="0"/>
                <w:color w:val="000000"/>
                <w:sz w:val="20"/>
                <w:szCs w:val="20"/>
              </w:rPr>
              <w:t>Rozwój infrastruktury szybkiego internetu na obszarze HOF</w:t>
            </w:r>
          </w:p>
        </w:tc>
        <w:tc>
          <w:tcPr>
            <w:tcW w:w="4536" w:type="dxa"/>
            <w:vAlign w:val="center"/>
          </w:tcPr>
          <w:p w:rsidR="00CF30EA" w:rsidRPr="003F543C" w:rsidRDefault="00CF30E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3F543C">
              <w:rPr>
                <w:rFonts w:ascii="Calibri" w:hAnsi="Calibri" w:cs="Calibri"/>
                <w:color w:val="000000"/>
                <w:sz w:val="20"/>
                <w:szCs w:val="20"/>
              </w:rPr>
              <w:t>Projekty w zakresie uzupełnienia istniejące</w:t>
            </w:r>
            <w:r>
              <w:rPr>
                <w:rFonts w:ascii="Calibri" w:hAnsi="Calibri" w:cs="Calibri"/>
                <w:color w:val="000000"/>
                <w:sz w:val="20"/>
                <w:szCs w:val="20"/>
              </w:rPr>
              <w:t>j infrastruktury szkieletowej i </w:t>
            </w:r>
            <w:r w:rsidRPr="003F543C">
              <w:rPr>
                <w:rFonts w:ascii="Calibri" w:hAnsi="Calibri" w:cs="Calibri"/>
                <w:color w:val="000000"/>
                <w:sz w:val="20"/>
                <w:szCs w:val="20"/>
              </w:rPr>
              <w:t>węzłowej</w:t>
            </w:r>
          </w:p>
        </w:tc>
        <w:tc>
          <w:tcPr>
            <w:tcW w:w="2835" w:type="dxa"/>
            <w:vAlign w:val="center"/>
          </w:tcPr>
          <w:p w:rsidR="00CF30EA" w:rsidRPr="00794592" w:rsidRDefault="00CF30E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Przedsiębiorcy</w:t>
            </w:r>
          </w:p>
        </w:tc>
        <w:tc>
          <w:tcPr>
            <w:tcW w:w="2409" w:type="dxa"/>
            <w:vAlign w:val="center"/>
          </w:tcPr>
          <w:p w:rsidR="00CF30EA" w:rsidRPr="00CF30EA" w:rsidRDefault="00CF30E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CF30EA">
              <w:rPr>
                <w:sz w:val="20"/>
                <w:szCs w:val="20"/>
              </w:rPr>
              <w:t>Gmina Miejska Hrubieszów, Gmina Hrubieszów, Centrum Projektów Polska Cyfrowa (CPPC)</w:t>
            </w:r>
          </w:p>
        </w:tc>
        <w:tc>
          <w:tcPr>
            <w:tcW w:w="1418" w:type="dxa"/>
            <w:vAlign w:val="center"/>
          </w:tcPr>
          <w:p w:rsidR="00CF30EA" w:rsidRPr="00932C0C" w:rsidRDefault="00CF30E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932C0C">
              <w:rPr>
                <w:rFonts w:ascii="Calibri" w:hAnsi="Calibri" w:cs="Calibri"/>
                <w:color w:val="000000"/>
                <w:sz w:val="20"/>
                <w:szCs w:val="20"/>
              </w:rPr>
              <w:t>2021 - 2030</w:t>
            </w:r>
          </w:p>
        </w:tc>
      </w:tr>
    </w:tbl>
    <w:p w:rsidR="000731E7" w:rsidRDefault="000731E7" w:rsidP="000731E7">
      <w:pPr>
        <w:rPr>
          <w:b/>
        </w:rPr>
      </w:pPr>
      <w:r w:rsidRPr="004364AE">
        <w:rPr>
          <w:b/>
        </w:rPr>
        <w:t>Cel operacyjny</w:t>
      </w:r>
      <w:r>
        <w:rPr>
          <w:b/>
        </w:rPr>
        <w:t xml:space="preserve"> 1.2 </w:t>
      </w:r>
      <w:r w:rsidRPr="00B4757F">
        <w:rPr>
          <w:b/>
        </w:rPr>
        <w:t>Lepszy dostęp do mieszkań oraz ich wyższy standard</w:t>
      </w:r>
    </w:p>
    <w:tbl>
      <w:tblPr>
        <w:tblStyle w:val="Jasnasiatkaakcent21"/>
        <w:tblW w:w="0" w:type="auto"/>
        <w:tblLook w:val="04A0" w:firstRow="1" w:lastRow="0" w:firstColumn="1" w:lastColumn="0" w:noHBand="0" w:noVBand="1"/>
      </w:tblPr>
      <w:tblGrid>
        <w:gridCol w:w="2802"/>
        <w:gridCol w:w="4536"/>
        <w:gridCol w:w="2835"/>
        <w:gridCol w:w="2409"/>
        <w:gridCol w:w="1418"/>
      </w:tblGrid>
      <w:tr w:rsidR="00712E71" w:rsidTr="00983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spacing w:before="0"/>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98324A">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8" w:type="dxa"/>
          </w:tcPr>
          <w:p w:rsidR="00712E71" w:rsidRPr="003F543C" w:rsidRDefault="00712E71" w:rsidP="0098324A">
            <w:pPr>
              <w:spacing w:before="0"/>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932C0C" w:rsidRDefault="000731E7" w:rsidP="0098324A">
            <w:pPr>
              <w:ind w:firstLine="0"/>
              <w:jc w:val="left"/>
              <w:rPr>
                <w:rFonts w:ascii="Calibri" w:hAnsi="Calibri" w:cs="Calibri"/>
                <w:b w:val="0"/>
                <w:color w:val="000000"/>
                <w:sz w:val="20"/>
                <w:szCs w:val="20"/>
              </w:rPr>
            </w:pPr>
            <w:r w:rsidRPr="00932C0C">
              <w:rPr>
                <w:rFonts w:ascii="Calibri" w:hAnsi="Calibri" w:cs="Calibri"/>
                <w:b w:val="0"/>
                <w:color w:val="000000"/>
                <w:sz w:val="20"/>
                <w:szCs w:val="20"/>
              </w:rPr>
              <w:t>Kreowanie racjonalnej polityki przestrzennej w zakresie zapewnienia odpowiednich terenów pod bu</w:t>
            </w:r>
            <w:r>
              <w:rPr>
                <w:rFonts w:ascii="Calibri" w:hAnsi="Calibri" w:cs="Calibri"/>
                <w:b w:val="0"/>
                <w:color w:val="000000"/>
                <w:sz w:val="20"/>
                <w:szCs w:val="20"/>
              </w:rPr>
              <w:t>downictwo mieszkaniowe (jedno i </w:t>
            </w:r>
            <w:r w:rsidRPr="00932C0C">
              <w:rPr>
                <w:rFonts w:ascii="Calibri" w:hAnsi="Calibri" w:cs="Calibri"/>
                <w:b w:val="0"/>
                <w:color w:val="000000"/>
                <w:sz w:val="20"/>
                <w:szCs w:val="20"/>
              </w:rPr>
              <w:t>wielorodzinne)</w:t>
            </w:r>
          </w:p>
        </w:tc>
        <w:tc>
          <w:tcPr>
            <w:tcW w:w="4536" w:type="dxa"/>
            <w:vAlign w:val="center"/>
          </w:tcPr>
          <w:p w:rsidR="000731E7" w:rsidRPr="00A43AA1"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t>Opracowanie bilansu terenu obej</w:t>
            </w:r>
            <w:r>
              <w:rPr>
                <w:rFonts w:ascii="Calibri" w:hAnsi="Calibri" w:cs="Calibri"/>
                <w:color w:val="000000"/>
                <w:sz w:val="20"/>
                <w:szCs w:val="20"/>
              </w:rPr>
              <w:t>mującego cały obszar HOF wraz z </w:t>
            </w:r>
            <w:r w:rsidRPr="00A43AA1">
              <w:rPr>
                <w:rFonts w:ascii="Calibri" w:hAnsi="Calibri" w:cs="Calibri"/>
                <w:color w:val="000000"/>
                <w:sz w:val="20"/>
                <w:szCs w:val="20"/>
              </w:rPr>
              <w:t>oceną zapotrzebowania na nowe tereny pod zabudowę mieszkaniową</w:t>
            </w:r>
          </w:p>
        </w:tc>
        <w:tc>
          <w:tcPr>
            <w:tcW w:w="2835"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rPr>
            </w:pPr>
            <w:r w:rsidRPr="00794592">
              <w:rPr>
                <w:sz w:val="20"/>
                <w:szCs w:val="20"/>
              </w:rPr>
              <w:t>Gmina Miejska Hrubieszów, Gmina Hrubieszów</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rPr>
            </w:pPr>
            <w:r w:rsidRPr="00794592">
              <w:rPr>
                <w:rFonts w:ascii="Calibri" w:hAnsi="Calibri" w:cs="Calibri"/>
                <w:b/>
                <w:color w:val="000000"/>
                <w:sz w:val="20"/>
              </w:rPr>
              <w:t>-</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932C0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A43AA1"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t xml:space="preserve">Lepsze wykorzystanie dostępnych terenów (w tym typu </w:t>
            </w:r>
            <w:proofErr w:type="spellStart"/>
            <w:r w:rsidRPr="00A43AA1">
              <w:rPr>
                <w:rFonts w:ascii="Calibri" w:hAnsi="Calibri" w:cs="Calibri"/>
                <w:color w:val="000000"/>
                <w:sz w:val="20"/>
                <w:szCs w:val="20"/>
              </w:rPr>
              <w:t>brown</w:t>
            </w:r>
            <w:proofErr w:type="spellEnd"/>
            <w:r w:rsidRPr="00A43AA1">
              <w:rPr>
                <w:rFonts w:ascii="Calibri" w:hAnsi="Calibri" w:cs="Calibri"/>
                <w:color w:val="000000"/>
                <w:sz w:val="20"/>
                <w:szCs w:val="20"/>
              </w:rPr>
              <w:t xml:space="preserve"> field) pod zabudowę mieszkaniową</w:t>
            </w:r>
          </w:p>
        </w:tc>
        <w:tc>
          <w:tcPr>
            <w:tcW w:w="2835"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rPr>
            </w:pPr>
            <w:r w:rsidRPr="00794592">
              <w:rPr>
                <w:sz w:val="20"/>
                <w:szCs w:val="20"/>
              </w:rPr>
              <w:t>Gmina Miejska Hrubieszów, Gmina Hrubieszów</w:t>
            </w:r>
            <w:r>
              <w:rPr>
                <w:sz w:val="20"/>
                <w:szCs w:val="20"/>
              </w:rPr>
              <w:t xml:space="preserve">, </w:t>
            </w:r>
            <w:r w:rsidRPr="002D1E9C">
              <w:rPr>
                <w:sz w:val="20"/>
                <w:szCs w:val="20"/>
              </w:rPr>
              <w:t>przedsiębiorcy</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rPr>
            </w:pPr>
            <w:r w:rsidRPr="00794592">
              <w:rPr>
                <w:sz w:val="20"/>
                <w:szCs w:val="18"/>
              </w:rPr>
              <w:t xml:space="preserve">Organizacje pozarządowe, </w:t>
            </w:r>
            <w:r w:rsidRPr="00794592">
              <w:rPr>
                <w:bCs/>
                <w:sz w:val="20"/>
                <w:szCs w:val="18"/>
              </w:rPr>
              <w:t>mieszkańcy – osoby fizyczne, przedsiębiorcy</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FFFFF" w:themeFill="background1"/>
            <w:vAlign w:val="center"/>
          </w:tcPr>
          <w:p w:rsidR="000731E7" w:rsidRPr="00932C0C" w:rsidRDefault="000731E7" w:rsidP="0098324A">
            <w:pPr>
              <w:ind w:firstLine="0"/>
              <w:jc w:val="left"/>
              <w:rPr>
                <w:rFonts w:ascii="Calibri" w:hAnsi="Calibri" w:cs="Calibri"/>
                <w:b w:val="0"/>
                <w:color w:val="000000"/>
                <w:sz w:val="20"/>
                <w:szCs w:val="20"/>
              </w:rPr>
            </w:pPr>
            <w:r w:rsidRPr="00932C0C">
              <w:rPr>
                <w:rFonts w:ascii="Calibri" w:hAnsi="Calibri" w:cs="Calibri"/>
                <w:b w:val="0"/>
                <w:color w:val="000000"/>
                <w:sz w:val="20"/>
                <w:szCs w:val="20"/>
              </w:rPr>
              <w:t xml:space="preserve">Prowadzenie efektywnej </w:t>
            </w:r>
            <w:r w:rsidRPr="00932C0C">
              <w:rPr>
                <w:rFonts w:ascii="Calibri" w:hAnsi="Calibri" w:cs="Calibri"/>
                <w:b w:val="0"/>
                <w:color w:val="000000"/>
                <w:sz w:val="20"/>
                <w:szCs w:val="20"/>
              </w:rPr>
              <w:lastRenderedPageBreak/>
              <w:t>polityki w zakresie zarządzania istniejącymi zasobami m</w:t>
            </w:r>
            <w:r w:rsidR="00CB322F">
              <w:rPr>
                <w:rFonts w:ascii="Calibri" w:hAnsi="Calibri" w:cs="Calibri"/>
                <w:b w:val="0"/>
                <w:color w:val="000000"/>
                <w:sz w:val="20"/>
                <w:szCs w:val="20"/>
              </w:rPr>
              <w:t xml:space="preserve">ieszkaniowymi oraz budowy nowych mieszkań </w:t>
            </w:r>
            <w:r w:rsidRPr="00932C0C">
              <w:rPr>
                <w:rFonts w:ascii="Calibri" w:hAnsi="Calibri" w:cs="Calibri"/>
                <w:b w:val="0"/>
                <w:color w:val="000000"/>
                <w:sz w:val="20"/>
                <w:szCs w:val="20"/>
              </w:rPr>
              <w:t>w mieście</w:t>
            </w:r>
          </w:p>
        </w:tc>
        <w:tc>
          <w:tcPr>
            <w:tcW w:w="4536" w:type="dxa"/>
            <w:vAlign w:val="center"/>
          </w:tcPr>
          <w:p w:rsidR="000731E7" w:rsidRPr="00A43AA1"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lastRenderedPageBreak/>
              <w:t xml:space="preserve">Dokonanie inwentaryzacji istniejących zasobów mieszkaniowych (w tym socjalnych/komunalnych) w </w:t>
            </w:r>
            <w:r w:rsidRPr="00A43AA1">
              <w:rPr>
                <w:rFonts w:ascii="Calibri" w:hAnsi="Calibri" w:cs="Calibri"/>
                <w:color w:val="000000"/>
                <w:sz w:val="20"/>
                <w:szCs w:val="20"/>
              </w:rPr>
              <w:lastRenderedPageBreak/>
              <w:t>celu określenia realnej podaży i popytu na mieszkania o określonym standardzie</w:t>
            </w:r>
          </w:p>
        </w:tc>
        <w:tc>
          <w:tcPr>
            <w:tcW w:w="2835"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rPr>
            </w:pPr>
            <w:r w:rsidRPr="00794592">
              <w:rPr>
                <w:sz w:val="20"/>
                <w:szCs w:val="20"/>
              </w:rPr>
              <w:lastRenderedPageBreak/>
              <w:t>Gmina Miejska Hrubieszów, Gmina Hrubieszów</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18"/>
              </w:rPr>
            </w:pPr>
            <w:r w:rsidRPr="00794592">
              <w:rPr>
                <w:rFonts w:ascii="Calibri" w:hAnsi="Calibri" w:cs="Calibri"/>
                <w:color w:val="000000"/>
                <w:sz w:val="20"/>
                <w:szCs w:val="18"/>
              </w:rPr>
              <w:t>GOPS</w:t>
            </w:r>
            <w:r>
              <w:rPr>
                <w:rFonts w:ascii="Calibri" w:hAnsi="Calibri" w:cs="Calibri"/>
                <w:color w:val="000000"/>
                <w:sz w:val="20"/>
                <w:szCs w:val="18"/>
              </w:rPr>
              <w:t>/</w:t>
            </w:r>
            <w:r>
              <w:rPr>
                <w:sz w:val="20"/>
                <w:szCs w:val="20"/>
              </w:rPr>
              <w:t>MOPS</w:t>
            </w:r>
            <w:r w:rsidRPr="00794592">
              <w:rPr>
                <w:rFonts w:ascii="Calibri" w:hAnsi="Calibri" w:cs="Calibri"/>
                <w:color w:val="000000"/>
                <w:sz w:val="20"/>
                <w:szCs w:val="18"/>
              </w:rPr>
              <w:t xml:space="preserve">, organizacje pozarządowe, </w:t>
            </w:r>
            <w:r w:rsidRPr="00794592">
              <w:rPr>
                <w:sz w:val="20"/>
                <w:szCs w:val="18"/>
              </w:rPr>
              <w:lastRenderedPageBreak/>
              <w:t>Przedsięb</w:t>
            </w:r>
            <w:r>
              <w:rPr>
                <w:sz w:val="20"/>
                <w:szCs w:val="18"/>
              </w:rPr>
              <w:t>iorstwo Gospodarki Komunalnej i </w:t>
            </w:r>
            <w:r w:rsidRPr="00794592">
              <w:rPr>
                <w:sz w:val="20"/>
                <w:szCs w:val="18"/>
              </w:rPr>
              <w:t>Mieszkaniowej</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vAlign w:val="center"/>
          </w:tcPr>
          <w:p w:rsidR="000731E7" w:rsidRPr="00932C0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A43AA1"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t>Projekty w zakresi</w:t>
            </w:r>
            <w:r>
              <w:rPr>
                <w:rFonts w:ascii="Calibri" w:hAnsi="Calibri" w:cs="Calibri"/>
                <w:color w:val="000000"/>
                <w:sz w:val="20"/>
                <w:szCs w:val="20"/>
              </w:rPr>
              <w:t>e budowy/przebudowy budynków na </w:t>
            </w:r>
            <w:r w:rsidR="00293D2A">
              <w:rPr>
                <w:rFonts w:eastAsia="Calibri" w:cs="Calibri"/>
                <w:color w:val="000000"/>
                <w:sz w:val="20"/>
                <w:szCs w:val="20"/>
              </w:rPr>
              <w:t xml:space="preserve">mieszkania </w:t>
            </w:r>
            <w:r w:rsidR="00D3786C">
              <w:rPr>
                <w:rFonts w:eastAsia="Calibri" w:cs="Calibri"/>
                <w:color w:val="000000"/>
                <w:sz w:val="20"/>
                <w:szCs w:val="20"/>
              </w:rPr>
              <w:t>socjalne</w:t>
            </w:r>
          </w:p>
        </w:tc>
        <w:tc>
          <w:tcPr>
            <w:tcW w:w="2835"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rPr>
            </w:pPr>
            <w:r w:rsidRPr="00794592">
              <w:rPr>
                <w:sz w:val="20"/>
                <w:szCs w:val="20"/>
              </w:rPr>
              <w:t>Gmina Miejska Hrubieszów, Gmina Hrubieszów</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rPr>
            </w:pPr>
            <w:r w:rsidRPr="00794592">
              <w:rPr>
                <w:rFonts w:ascii="Calibri" w:hAnsi="Calibri" w:cs="Calibri"/>
                <w:color w:val="000000"/>
                <w:sz w:val="20"/>
                <w:szCs w:val="18"/>
              </w:rPr>
              <w:t>GOPS</w:t>
            </w:r>
            <w:r>
              <w:rPr>
                <w:sz w:val="20"/>
                <w:szCs w:val="20"/>
              </w:rPr>
              <w:t>/MOPS</w:t>
            </w:r>
            <w:r w:rsidRPr="00794592">
              <w:rPr>
                <w:rFonts w:ascii="Calibri" w:hAnsi="Calibri" w:cs="Calibri"/>
                <w:color w:val="000000"/>
                <w:sz w:val="20"/>
                <w:szCs w:val="18"/>
              </w:rPr>
              <w:t xml:space="preserve">, organizacje pozarządowe, </w:t>
            </w:r>
            <w:r w:rsidRPr="00794592">
              <w:rPr>
                <w:sz w:val="20"/>
                <w:szCs w:val="18"/>
              </w:rPr>
              <w:t>Przedsięb</w:t>
            </w:r>
            <w:r>
              <w:rPr>
                <w:sz w:val="20"/>
                <w:szCs w:val="18"/>
              </w:rPr>
              <w:t>iorstwo Gospodarki Komunalnej i </w:t>
            </w:r>
            <w:r w:rsidRPr="00794592">
              <w:rPr>
                <w:sz w:val="20"/>
                <w:szCs w:val="18"/>
              </w:rPr>
              <w:t>Mieszkaniowej</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vAlign w:val="center"/>
          </w:tcPr>
          <w:p w:rsidR="000731E7" w:rsidRPr="00932C0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A43AA1"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t>Współpraca z partnerami komercyjnymi (spółdzielnie, deweloperzy, TBS-y, kooperatywy, biura nieruchomości) w zakresie kreowania przyjaznej polityki rozwoju rynku mieszkaniowego na obszarze HOF</w:t>
            </w:r>
          </w:p>
        </w:tc>
        <w:tc>
          <w:tcPr>
            <w:tcW w:w="2835"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rPr>
            </w:pPr>
            <w:r w:rsidRPr="00794592">
              <w:rPr>
                <w:sz w:val="20"/>
                <w:szCs w:val="20"/>
              </w:rPr>
              <w:t>Gmina Miejska Hrubieszów, Gmina Hrubieszów</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18"/>
              </w:rPr>
            </w:pPr>
            <w:r w:rsidRPr="00794592">
              <w:rPr>
                <w:rFonts w:ascii="Calibri" w:hAnsi="Calibri" w:cs="Calibri"/>
                <w:color w:val="000000"/>
                <w:sz w:val="20"/>
                <w:szCs w:val="18"/>
              </w:rPr>
              <w:t xml:space="preserve">Przedsiębiorcy, organizacje pozarządowe, </w:t>
            </w:r>
            <w:r w:rsidRPr="00794592">
              <w:rPr>
                <w:sz w:val="20"/>
                <w:szCs w:val="18"/>
              </w:rPr>
              <w:t>Przedsięb</w:t>
            </w:r>
            <w:r>
              <w:rPr>
                <w:sz w:val="20"/>
                <w:szCs w:val="18"/>
              </w:rPr>
              <w:t>iorstwo Gospodarki Komunalnej i </w:t>
            </w:r>
            <w:r w:rsidRPr="00794592">
              <w:rPr>
                <w:sz w:val="20"/>
                <w:szCs w:val="18"/>
              </w:rPr>
              <w:t>Mieszkaniowej</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2021 - 2030</w:t>
            </w:r>
          </w:p>
        </w:tc>
      </w:tr>
      <w:tr w:rsidR="000731E7"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D9E6F6" w:themeFill="accent2" w:themeFillTint="33"/>
            <w:vAlign w:val="center"/>
          </w:tcPr>
          <w:p w:rsidR="000731E7" w:rsidRPr="00932C0C" w:rsidRDefault="000731E7" w:rsidP="0098324A">
            <w:pPr>
              <w:ind w:firstLine="0"/>
              <w:jc w:val="left"/>
              <w:rPr>
                <w:rFonts w:ascii="Calibri" w:hAnsi="Calibri" w:cs="Calibri"/>
                <w:b w:val="0"/>
                <w:color w:val="000000"/>
                <w:sz w:val="20"/>
                <w:szCs w:val="20"/>
              </w:rPr>
            </w:pPr>
            <w:r w:rsidRPr="00932C0C">
              <w:rPr>
                <w:rFonts w:ascii="Calibri" w:hAnsi="Calibri" w:cs="Calibri"/>
                <w:b w:val="0"/>
                <w:color w:val="000000"/>
                <w:sz w:val="20"/>
                <w:szCs w:val="20"/>
              </w:rPr>
              <w:t xml:space="preserve">Rozbudowa niezbędnej infrastruktury technicznej zapewniającej lepszy standardy i wyposażenie mieszkań na terenie HOF </w:t>
            </w:r>
          </w:p>
        </w:tc>
        <w:tc>
          <w:tcPr>
            <w:tcW w:w="4536" w:type="dxa"/>
            <w:vAlign w:val="center"/>
          </w:tcPr>
          <w:p w:rsidR="000731E7" w:rsidRPr="00A43AA1" w:rsidRDefault="000731E7" w:rsidP="00AF186D">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t>Projekty w zakresie infr</w:t>
            </w:r>
            <w:r w:rsidR="00AF186D">
              <w:rPr>
                <w:rFonts w:ascii="Calibri" w:hAnsi="Calibri" w:cs="Calibri"/>
                <w:color w:val="000000"/>
                <w:sz w:val="20"/>
                <w:szCs w:val="20"/>
              </w:rPr>
              <w:t>astruktury wodno-kanalizacyjnej</w:t>
            </w:r>
          </w:p>
        </w:tc>
        <w:tc>
          <w:tcPr>
            <w:tcW w:w="2835"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18"/>
              </w:rPr>
            </w:pPr>
            <w:r w:rsidRPr="00794592">
              <w:rPr>
                <w:sz w:val="20"/>
                <w:szCs w:val="18"/>
              </w:rPr>
              <w:t>Przedsiębiorstwo Gospodarki Komunalnej i Mieszkaniowej, Gminny Zakład Usług Komunalnych</w:t>
            </w:r>
            <w:r w:rsidR="00654883">
              <w:rPr>
                <w:sz w:val="20"/>
                <w:szCs w:val="18"/>
              </w:rPr>
              <w:t>,</w:t>
            </w:r>
            <w:r w:rsidR="00654883" w:rsidRPr="00794592">
              <w:rPr>
                <w:sz w:val="20"/>
                <w:szCs w:val="18"/>
              </w:rPr>
              <w:t xml:space="preserve"> Gmina Miejs</w:t>
            </w:r>
            <w:r w:rsidR="00654883">
              <w:rPr>
                <w:sz w:val="20"/>
                <w:szCs w:val="18"/>
              </w:rPr>
              <w:t>ka Hrubieszów, Gmina Hrubieszów</w:t>
            </w:r>
          </w:p>
        </w:tc>
        <w:tc>
          <w:tcPr>
            <w:tcW w:w="2409" w:type="dxa"/>
            <w:vAlign w:val="center"/>
          </w:tcPr>
          <w:p w:rsidR="000731E7" w:rsidRPr="00654883" w:rsidRDefault="00654883"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color w:val="000000"/>
                <w:sz w:val="20"/>
                <w:szCs w:val="18"/>
              </w:rPr>
            </w:pPr>
            <w:r w:rsidRPr="00654883">
              <w:rPr>
                <w:rFonts w:cstheme="minorHAnsi"/>
                <w:color w:val="000000"/>
                <w:sz w:val="20"/>
                <w:szCs w:val="18"/>
              </w:rPr>
              <w:t>Właściciele nieruchomości</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vAlign w:val="center"/>
          </w:tcPr>
          <w:p w:rsidR="000731E7" w:rsidRPr="00932C0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A43AA1"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t>Pr</w:t>
            </w:r>
            <w:r>
              <w:rPr>
                <w:rFonts w:ascii="Calibri" w:hAnsi="Calibri" w:cs="Calibri"/>
                <w:color w:val="000000"/>
                <w:sz w:val="20"/>
                <w:szCs w:val="20"/>
              </w:rPr>
              <w:t>ojekty w zakresie gazyfikacji i </w:t>
            </w:r>
            <w:r w:rsidRPr="00A43AA1">
              <w:rPr>
                <w:rFonts w:ascii="Calibri" w:hAnsi="Calibri" w:cs="Calibri"/>
                <w:color w:val="000000"/>
                <w:sz w:val="20"/>
                <w:szCs w:val="20"/>
              </w:rPr>
              <w:t>podłączenia do sieci gazowej nowych nieruchomości</w:t>
            </w:r>
          </w:p>
        </w:tc>
        <w:tc>
          <w:tcPr>
            <w:tcW w:w="2835"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18"/>
              </w:rPr>
            </w:pPr>
            <w:r w:rsidRPr="00794592">
              <w:rPr>
                <w:sz w:val="20"/>
                <w:szCs w:val="18"/>
              </w:rPr>
              <w:t>Polska Spółka Gazownictwa</w:t>
            </w:r>
          </w:p>
        </w:tc>
        <w:tc>
          <w:tcPr>
            <w:tcW w:w="2409"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18"/>
              </w:rPr>
            </w:pPr>
            <w:r w:rsidRPr="00794592">
              <w:rPr>
                <w:sz w:val="20"/>
                <w:szCs w:val="18"/>
              </w:rPr>
              <w:t>Gmina Miejska Hrubieszów, Gmina Hrubieszów, Gminny Zakład Usług Komunalnych</w:t>
            </w:r>
            <w:r>
              <w:rPr>
                <w:sz w:val="20"/>
                <w:szCs w:val="18"/>
              </w:rPr>
              <w:t xml:space="preserve">, </w:t>
            </w:r>
          </w:p>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18"/>
              </w:rPr>
            </w:pPr>
            <w:proofErr w:type="gramStart"/>
            <w:r>
              <w:rPr>
                <w:sz w:val="20"/>
                <w:szCs w:val="18"/>
              </w:rPr>
              <w:t>mieszkańcy</w:t>
            </w:r>
            <w:proofErr w:type="gramEnd"/>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vAlign w:val="center"/>
          </w:tcPr>
          <w:p w:rsidR="000731E7" w:rsidRPr="00932C0C" w:rsidRDefault="000731E7" w:rsidP="0098324A">
            <w:pPr>
              <w:spacing w:before="0"/>
              <w:ind w:firstLine="0"/>
              <w:jc w:val="left"/>
              <w:rPr>
                <w:rFonts w:ascii="Calibri" w:hAnsi="Calibri" w:cs="Calibri"/>
                <w:b w:val="0"/>
                <w:color w:val="000000"/>
                <w:sz w:val="20"/>
                <w:szCs w:val="20"/>
              </w:rPr>
            </w:pPr>
          </w:p>
        </w:tc>
        <w:tc>
          <w:tcPr>
            <w:tcW w:w="4536" w:type="dxa"/>
            <w:vAlign w:val="center"/>
          </w:tcPr>
          <w:p w:rsidR="000731E7" w:rsidRPr="00A43AA1"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t xml:space="preserve">Projekty w zakresie rozbudowy ostatniej mili szybkiego internetu  </w:t>
            </w:r>
          </w:p>
        </w:tc>
        <w:tc>
          <w:tcPr>
            <w:tcW w:w="2835"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18"/>
              </w:rPr>
            </w:pPr>
            <w:r w:rsidRPr="00794592">
              <w:rPr>
                <w:sz w:val="20"/>
                <w:szCs w:val="18"/>
              </w:rPr>
              <w:t>Przedsiębiorcy</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18"/>
              </w:rPr>
            </w:pPr>
            <w:r w:rsidRPr="00794592">
              <w:rPr>
                <w:sz w:val="20"/>
                <w:szCs w:val="18"/>
              </w:rPr>
              <w:t>Gmina Miejska Hrubieszów, Gmina Hrubieszów</w:t>
            </w:r>
            <w:r>
              <w:rPr>
                <w:sz w:val="20"/>
                <w:szCs w:val="18"/>
              </w:rPr>
              <w:t>, mieszkańcy</w:t>
            </w:r>
            <w:r w:rsidR="00CF30EA">
              <w:rPr>
                <w:sz w:val="20"/>
                <w:szCs w:val="18"/>
              </w:rPr>
              <w:t xml:space="preserve">, </w:t>
            </w:r>
            <w:r w:rsidR="00CF30EA" w:rsidRPr="00CF30EA">
              <w:rPr>
                <w:sz w:val="20"/>
                <w:szCs w:val="20"/>
              </w:rPr>
              <w:t>Centrum Projektów Polska Cyfrowa (CPPC)</w:t>
            </w:r>
            <w:r>
              <w:rPr>
                <w:sz w:val="20"/>
                <w:szCs w:val="18"/>
              </w:rPr>
              <w:t xml:space="preserve"> </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1E312E"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FFFFF" w:themeFill="background1"/>
            <w:vAlign w:val="center"/>
          </w:tcPr>
          <w:p w:rsidR="001E312E" w:rsidRPr="00932C0C" w:rsidRDefault="001E312E" w:rsidP="0098324A">
            <w:pPr>
              <w:ind w:firstLine="0"/>
              <w:jc w:val="left"/>
              <w:rPr>
                <w:rFonts w:ascii="Calibri" w:hAnsi="Calibri" w:cs="Calibri"/>
                <w:b w:val="0"/>
                <w:color w:val="000000"/>
                <w:sz w:val="20"/>
                <w:szCs w:val="20"/>
              </w:rPr>
            </w:pPr>
            <w:r w:rsidRPr="00932C0C">
              <w:rPr>
                <w:rFonts w:ascii="Calibri" w:hAnsi="Calibri" w:cs="Calibri"/>
                <w:b w:val="0"/>
                <w:color w:val="000000"/>
                <w:sz w:val="20"/>
                <w:szCs w:val="20"/>
              </w:rPr>
              <w:t>Prowadzenie aktywnej polityki mieszkaniowej ukierunkowanej na przyciąganie nowych mieszkańców na teren HOF</w:t>
            </w:r>
          </w:p>
        </w:tc>
        <w:tc>
          <w:tcPr>
            <w:tcW w:w="4536" w:type="dxa"/>
            <w:vAlign w:val="center"/>
          </w:tcPr>
          <w:p w:rsidR="001E312E" w:rsidRPr="00A43AA1" w:rsidRDefault="001E312E"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t>Opracowanie i wdrożenie programu ulg i ułatwień dla młodych ludzi w zakresie budowy/kupna/wynajmu własnego mieszkania</w:t>
            </w:r>
          </w:p>
        </w:tc>
        <w:tc>
          <w:tcPr>
            <w:tcW w:w="2835" w:type="dxa"/>
            <w:vAlign w:val="center"/>
          </w:tcPr>
          <w:p w:rsidR="001E312E" w:rsidRPr="00794592" w:rsidRDefault="001E312E"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18"/>
              </w:rPr>
            </w:pPr>
            <w:r w:rsidRPr="00794592">
              <w:rPr>
                <w:sz w:val="20"/>
                <w:szCs w:val="18"/>
              </w:rPr>
              <w:t>Gmina Miejska Hrubieszów, Gmina Hrubieszów</w:t>
            </w:r>
          </w:p>
        </w:tc>
        <w:tc>
          <w:tcPr>
            <w:tcW w:w="2409" w:type="dxa"/>
            <w:vAlign w:val="center"/>
          </w:tcPr>
          <w:p w:rsidR="001E312E" w:rsidRPr="00794592" w:rsidRDefault="001E312E"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18"/>
              </w:rPr>
            </w:pPr>
            <w:r>
              <w:rPr>
                <w:rFonts w:ascii="Calibri" w:hAnsi="Calibri" w:cs="Calibri"/>
                <w:color w:val="000000"/>
                <w:sz w:val="20"/>
                <w:szCs w:val="18"/>
              </w:rPr>
              <w:t>Przedsiębiorcy, organizacje pozarządowe, mieszkańcy</w:t>
            </w:r>
          </w:p>
        </w:tc>
        <w:tc>
          <w:tcPr>
            <w:tcW w:w="1418" w:type="dxa"/>
            <w:vAlign w:val="center"/>
          </w:tcPr>
          <w:p w:rsidR="001E312E" w:rsidRDefault="001E312E"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1E312E"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1E312E" w:rsidRDefault="001E312E" w:rsidP="0098324A">
            <w:pPr>
              <w:spacing w:before="0"/>
              <w:ind w:firstLine="0"/>
              <w:rPr>
                <w:rFonts w:ascii="Calibri" w:hAnsi="Calibri" w:cs="Calibri"/>
                <w:b w:val="0"/>
                <w:color w:val="000000"/>
              </w:rPr>
            </w:pPr>
          </w:p>
        </w:tc>
        <w:tc>
          <w:tcPr>
            <w:tcW w:w="4536" w:type="dxa"/>
            <w:vAlign w:val="center"/>
          </w:tcPr>
          <w:p w:rsidR="001E312E" w:rsidRPr="00A43AA1" w:rsidRDefault="001E312E"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43AA1">
              <w:rPr>
                <w:rFonts w:ascii="Calibri" w:hAnsi="Calibri" w:cs="Calibri"/>
                <w:color w:val="000000"/>
                <w:sz w:val="20"/>
                <w:szCs w:val="20"/>
              </w:rPr>
              <w:t>Bliska współpraca z instytucjami służb mundurowych (wojsko, straż graniczna, służba celna, więziennictwo) w zakres</w:t>
            </w:r>
            <w:r>
              <w:rPr>
                <w:rFonts w:ascii="Calibri" w:hAnsi="Calibri" w:cs="Calibri"/>
                <w:color w:val="000000"/>
                <w:sz w:val="20"/>
                <w:szCs w:val="20"/>
              </w:rPr>
              <w:t xml:space="preserve">ie zapewnienia dla pracowników </w:t>
            </w:r>
            <w:r w:rsidRPr="00A43AA1">
              <w:rPr>
                <w:rFonts w:ascii="Calibri" w:hAnsi="Calibri" w:cs="Calibri"/>
                <w:color w:val="000000"/>
                <w:sz w:val="20"/>
                <w:szCs w:val="20"/>
              </w:rPr>
              <w:t>tych instytucji</w:t>
            </w:r>
            <w:r>
              <w:rPr>
                <w:rFonts w:ascii="Calibri" w:hAnsi="Calibri" w:cs="Calibri"/>
                <w:color w:val="000000"/>
                <w:sz w:val="20"/>
                <w:szCs w:val="20"/>
              </w:rPr>
              <w:t xml:space="preserve"> odpowiedniej liczby </w:t>
            </w:r>
            <w:r>
              <w:rPr>
                <w:rFonts w:ascii="Calibri" w:hAnsi="Calibri" w:cs="Calibri"/>
                <w:color w:val="000000"/>
                <w:sz w:val="20"/>
                <w:szCs w:val="20"/>
              </w:rPr>
              <w:lastRenderedPageBreak/>
              <w:t>mieszkań o </w:t>
            </w:r>
            <w:r w:rsidRPr="00A43AA1">
              <w:rPr>
                <w:rFonts w:ascii="Calibri" w:hAnsi="Calibri" w:cs="Calibri"/>
                <w:color w:val="000000"/>
                <w:sz w:val="20"/>
                <w:szCs w:val="20"/>
              </w:rPr>
              <w:t>określonym standardzie</w:t>
            </w:r>
          </w:p>
        </w:tc>
        <w:tc>
          <w:tcPr>
            <w:tcW w:w="2835" w:type="dxa"/>
            <w:vAlign w:val="center"/>
          </w:tcPr>
          <w:p w:rsidR="001E312E" w:rsidRPr="00794592" w:rsidRDefault="001E312E"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18"/>
              </w:rPr>
            </w:pPr>
            <w:r w:rsidRPr="00794592">
              <w:rPr>
                <w:sz w:val="20"/>
                <w:szCs w:val="18"/>
              </w:rPr>
              <w:lastRenderedPageBreak/>
              <w:t>Gmina Miejska Hrubieszów, Gmina Hrubieszów</w:t>
            </w:r>
          </w:p>
        </w:tc>
        <w:tc>
          <w:tcPr>
            <w:tcW w:w="2409" w:type="dxa"/>
            <w:vAlign w:val="center"/>
          </w:tcPr>
          <w:p w:rsidR="001E312E" w:rsidRPr="00794592" w:rsidRDefault="001E312E"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18"/>
              </w:rPr>
            </w:pPr>
            <w:r w:rsidRPr="00794592">
              <w:rPr>
                <w:rFonts w:ascii="Calibri" w:hAnsi="Calibri" w:cs="Calibri"/>
                <w:color w:val="000000"/>
                <w:sz w:val="20"/>
                <w:szCs w:val="18"/>
              </w:rPr>
              <w:t>Instytucje Służb Mundurowych, przedsiębiorcy</w:t>
            </w:r>
          </w:p>
        </w:tc>
        <w:tc>
          <w:tcPr>
            <w:tcW w:w="1418" w:type="dxa"/>
            <w:vAlign w:val="center"/>
          </w:tcPr>
          <w:p w:rsidR="001E312E" w:rsidRDefault="001E312E"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1E312E"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1E312E" w:rsidRDefault="001E312E" w:rsidP="0098324A">
            <w:pPr>
              <w:spacing w:before="0"/>
              <w:ind w:firstLine="0"/>
              <w:rPr>
                <w:rFonts w:ascii="Calibri" w:hAnsi="Calibri" w:cs="Calibri"/>
                <w:b w:val="0"/>
                <w:color w:val="000000"/>
              </w:rPr>
            </w:pPr>
          </w:p>
        </w:tc>
        <w:tc>
          <w:tcPr>
            <w:tcW w:w="4536" w:type="dxa"/>
            <w:vAlign w:val="center"/>
          </w:tcPr>
          <w:p w:rsidR="001E312E" w:rsidRPr="00A43AA1" w:rsidRDefault="001E312E" w:rsidP="001E312E">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Opracowanie i realizacja długofalowego pr</w:t>
            </w:r>
            <w:r>
              <w:rPr>
                <w:rFonts w:ascii="Calibri" w:hAnsi="Calibri" w:cs="Calibri"/>
                <w:color w:val="000000"/>
                <w:sz w:val="20"/>
                <w:szCs w:val="20"/>
              </w:rPr>
              <w:t>ogramu „Mieszkania dla rozwoju” np.</w:t>
            </w:r>
            <w:r w:rsidRPr="00932C0C">
              <w:rPr>
                <w:rFonts w:ascii="Calibri" w:hAnsi="Calibri" w:cs="Calibri"/>
                <w:color w:val="000000"/>
                <w:sz w:val="20"/>
                <w:szCs w:val="20"/>
              </w:rPr>
              <w:t xml:space="preserve"> w ramach partnerstwa publiczno-prywatnego</w:t>
            </w:r>
          </w:p>
        </w:tc>
        <w:tc>
          <w:tcPr>
            <w:tcW w:w="2835" w:type="dxa"/>
            <w:vAlign w:val="center"/>
          </w:tcPr>
          <w:p w:rsidR="001E312E" w:rsidRPr="00794592" w:rsidRDefault="001E312E"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18"/>
              </w:rPr>
            </w:pPr>
            <w:r w:rsidRPr="00794592">
              <w:rPr>
                <w:sz w:val="20"/>
                <w:szCs w:val="18"/>
              </w:rPr>
              <w:t>Gmina Miejska Hrubieszów, Gmina Hrubieszów</w:t>
            </w:r>
          </w:p>
        </w:tc>
        <w:tc>
          <w:tcPr>
            <w:tcW w:w="2409" w:type="dxa"/>
            <w:vAlign w:val="center"/>
          </w:tcPr>
          <w:p w:rsidR="001E312E" w:rsidRPr="00794592" w:rsidRDefault="001E312E"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18"/>
              </w:rPr>
            </w:pPr>
            <w:r w:rsidRPr="00794592">
              <w:rPr>
                <w:rFonts w:ascii="Calibri" w:hAnsi="Calibri" w:cs="Calibri"/>
                <w:color w:val="000000"/>
                <w:sz w:val="20"/>
                <w:szCs w:val="18"/>
              </w:rPr>
              <w:t>Organizacje pozarządowe, przedsiębiorcy</w:t>
            </w:r>
            <w:r>
              <w:rPr>
                <w:rFonts w:ascii="Calibri" w:hAnsi="Calibri" w:cs="Calibri"/>
                <w:color w:val="000000"/>
                <w:sz w:val="20"/>
                <w:szCs w:val="18"/>
              </w:rPr>
              <w:t>, Spółka JST</w:t>
            </w:r>
          </w:p>
        </w:tc>
        <w:tc>
          <w:tcPr>
            <w:tcW w:w="1418" w:type="dxa"/>
            <w:vAlign w:val="center"/>
          </w:tcPr>
          <w:p w:rsidR="001E312E" w:rsidRDefault="001E312E"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1E312E"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1E312E" w:rsidRDefault="001E312E" w:rsidP="0098324A">
            <w:pPr>
              <w:spacing w:before="0"/>
              <w:ind w:firstLine="0"/>
              <w:rPr>
                <w:rFonts w:ascii="Calibri" w:hAnsi="Calibri" w:cs="Calibri"/>
                <w:b w:val="0"/>
                <w:color w:val="000000"/>
              </w:rPr>
            </w:pPr>
          </w:p>
        </w:tc>
        <w:tc>
          <w:tcPr>
            <w:tcW w:w="4536" w:type="dxa"/>
            <w:vAlign w:val="center"/>
          </w:tcPr>
          <w:p w:rsidR="001E312E" w:rsidRPr="00D14E86" w:rsidRDefault="001E312E" w:rsidP="001E312E">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D14E86">
              <w:rPr>
                <w:rFonts w:ascii="Calibri" w:hAnsi="Calibri" w:cs="Calibri"/>
                <w:color w:val="000000"/>
                <w:sz w:val="20"/>
                <w:szCs w:val="20"/>
              </w:rPr>
              <w:t xml:space="preserve">Prowadzenie Społecznej Inicjatywy Mieszkaniowej – budowy mieszkań </w:t>
            </w:r>
            <w:proofErr w:type="spellStart"/>
            <w:r w:rsidRPr="00D14E86">
              <w:rPr>
                <w:rFonts w:ascii="Calibri" w:hAnsi="Calibri" w:cs="Calibri"/>
                <w:color w:val="000000"/>
                <w:sz w:val="20"/>
                <w:szCs w:val="20"/>
              </w:rPr>
              <w:t>niskoczynszowych</w:t>
            </w:r>
            <w:proofErr w:type="spellEnd"/>
          </w:p>
        </w:tc>
        <w:tc>
          <w:tcPr>
            <w:tcW w:w="2835" w:type="dxa"/>
            <w:vAlign w:val="center"/>
          </w:tcPr>
          <w:p w:rsidR="001E312E" w:rsidRPr="00D14E86" w:rsidRDefault="001E312E"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18"/>
              </w:rPr>
            </w:pPr>
            <w:r w:rsidRPr="00D14E86">
              <w:rPr>
                <w:sz w:val="20"/>
                <w:szCs w:val="18"/>
              </w:rPr>
              <w:t>Gmina Miejska Hrubieszów</w:t>
            </w:r>
          </w:p>
        </w:tc>
        <w:tc>
          <w:tcPr>
            <w:tcW w:w="2409" w:type="dxa"/>
            <w:vAlign w:val="center"/>
          </w:tcPr>
          <w:p w:rsidR="001E312E" w:rsidRPr="00D14E86" w:rsidRDefault="001E312E" w:rsidP="00E91B99">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18"/>
              </w:rPr>
            </w:pPr>
            <w:r w:rsidRPr="00D14E86">
              <w:rPr>
                <w:rFonts w:ascii="Calibri" w:hAnsi="Calibri" w:cs="Calibri"/>
                <w:color w:val="000000"/>
                <w:sz w:val="20"/>
                <w:szCs w:val="18"/>
              </w:rPr>
              <w:t>Krajowy Zasób Nieruchomości, Bank Gospodarstwa Krajowego</w:t>
            </w:r>
            <w:r w:rsidR="00700C47" w:rsidRPr="00D14E86">
              <w:rPr>
                <w:rFonts w:ascii="Calibri" w:hAnsi="Calibri" w:cs="Calibri"/>
                <w:color w:val="000000"/>
                <w:sz w:val="20"/>
                <w:szCs w:val="18"/>
              </w:rPr>
              <w:t>, Gminy z województwa lubelskiego</w:t>
            </w:r>
          </w:p>
        </w:tc>
        <w:tc>
          <w:tcPr>
            <w:tcW w:w="1418" w:type="dxa"/>
            <w:vAlign w:val="center"/>
          </w:tcPr>
          <w:p w:rsidR="001E312E" w:rsidRPr="00D14E86" w:rsidRDefault="001E312E"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D14E86">
              <w:rPr>
                <w:rFonts w:ascii="Calibri" w:hAnsi="Calibri" w:cs="Calibri"/>
                <w:color w:val="000000"/>
                <w:sz w:val="20"/>
                <w:szCs w:val="20"/>
              </w:rPr>
              <w:t>2021 – 2030</w:t>
            </w:r>
          </w:p>
        </w:tc>
      </w:tr>
    </w:tbl>
    <w:p w:rsidR="000731E7" w:rsidRDefault="000731E7" w:rsidP="000731E7">
      <w:pPr>
        <w:rPr>
          <w:rFonts w:ascii="Calibri" w:hAnsi="Calibri" w:cs="Calibri"/>
          <w:b/>
          <w:color w:val="000000"/>
        </w:rPr>
      </w:pPr>
      <w:r>
        <w:rPr>
          <w:rFonts w:ascii="Calibri" w:hAnsi="Calibri" w:cs="Calibri"/>
          <w:b/>
          <w:color w:val="000000"/>
        </w:rPr>
        <w:t xml:space="preserve">Cel operacyjny 1.3 </w:t>
      </w:r>
      <w:r w:rsidRPr="00B4757F">
        <w:rPr>
          <w:rFonts w:ascii="Calibri" w:hAnsi="Calibri" w:cs="Calibri"/>
          <w:b/>
          <w:color w:val="000000"/>
        </w:rPr>
        <w:t>Lepszy dostęp i jakość usług w zakresie opieki nad dzieckiem oraz edukacji dzieci i młodzieży</w:t>
      </w:r>
    </w:p>
    <w:tbl>
      <w:tblPr>
        <w:tblStyle w:val="Jasnasiatkaakcent21"/>
        <w:tblW w:w="0" w:type="auto"/>
        <w:tblLook w:val="04A0" w:firstRow="1" w:lastRow="0" w:firstColumn="1" w:lastColumn="0" w:noHBand="0" w:noVBand="1"/>
      </w:tblPr>
      <w:tblGrid>
        <w:gridCol w:w="2802"/>
        <w:gridCol w:w="4394"/>
        <w:gridCol w:w="2977"/>
        <w:gridCol w:w="2409"/>
        <w:gridCol w:w="1418"/>
      </w:tblGrid>
      <w:tr w:rsidR="00712E71" w:rsidTr="00983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394"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977"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8"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9562AF" w:rsidRDefault="000731E7" w:rsidP="0098324A">
            <w:pPr>
              <w:spacing w:before="0"/>
              <w:ind w:firstLine="0"/>
              <w:jc w:val="left"/>
              <w:rPr>
                <w:rFonts w:ascii="Calibri" w:hAnsi="Calibri" w:cs="Calibri"/>
                <w:b w:val="0"/>
                <w:color w:val="000000"/>
                <w:sz w:val="20"/>
                <w:szCs w:val="20"/>
              </w:rPr>
            </w:pPr>
            <w:r w:rsidRPr="009562AF">
              <w:rPr>
                <w:rFonts w:ascii="Calibri" w:hAnsi="Calibri" w:cs="Calibri"/>
                <w:b w:val="0"/>
                <w:color w:val="000000"/>
                <w:sz w:val="20"/>
                <w:szCs w:val="20"/>
              </w:rPr>
              <w:t>Poprawa dostępności do usług opieki nad dziećmi w wieku do lat 3 i przedszkolnym</w:t>
            </w:r>
          </w:p>
        </w:tc>
        <w:tc>
          <w:tcPr>
            <w:tcW w:w="4394" w:type="dxa"/>
            <w:vAlign w:val="center"/>
          </w:tcPr>
          <w:p w:rsidR="000731E7" w:rsidRPr="009562AF"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Projekty w zakresie rozwoju infrastruktury żłobków oraz innych form opieki nad dziećmi do lat 3</w:t>
            </w:r>
          </w:p>
        </w:tc>
        <w:tc>
          <w:tcPr>
            <w:tcW w:w="2977"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 xml:space="preserve">Gmina Miejska Hrubieszów, Gmina Hrubieszów, </w:t>
            </w:r>
            <w:r w:rsidR="00327D56">
              <w:rPr>
                <w:sz w:val="20"/>
                <w:szCs w:val="20"/>
              </w:rPr>
              <w:t>Przedsiębiorcy</w:t>
            </w:r>
            <w:r w:rsidR="00327D56" w:rsidRPr="00716E17">
              <w:rPr>
                <w:sz w:val="20"/>
                <w:szCs w:val="20"/>
              </w:rPr>
              <w:t>, organizacje pozarządowe</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Organizacje pozarządowe, przedsiębiorcy, organ właściwy do spraw rodziny i polityki społecznej</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9562AF"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9562AF"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Projekty w zakresie tworzenia oraz rozwoju infrastruktury i usług wychowania przedszkolnego</w:t>
            </w:r>
          </w:p>
        </w:tc>
        <w:tc>
          <w:tcPr>
            <w:tcW w:w="2977"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94592">
              <w:rPr>
                <w:sz w:val="20"/>
                <w:szCs w:val="20"/>
              </w:rPr>
              <w:t>Gmina Miejska Hrub</w:t>
            </w:r>
            <w:r>
              <w:rPr>
                <w:sz w:val="20"/>
                <w:szCs w:val="20"/>
              </w:rPr>
              <w:t xml:space="preserve">ieszów, Gmina Hrubieszów, </w:t>
            </w:r>
          </w:p>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503D51">
              <w:rPr>
                <w:sz w:val="20"/>
                <w:szCs w:val="20"/>
              </w:rPr>
              <w:t>Organizacje pozarządowe, przedsiębiorcy</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Szkoły, organizacje pozarządowe, kuratorium oświaty, przedsiębiorcy</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FFFFF" w:themeFill="background1"/>
            <w:vAlign w:val="center"/>
          </w:tcPr>
          <w:p w:rsidR="000731E7" w:rsidRPr="009562AF" w:rsidRDefault="000731E7" w:rsidP="0098324A">
            <w:pPr>
              <w:spacing w:before="0"/>
              <w:ind w:firstLine="0"/>
              <w:jc w:val="left"/>
              <w:rPr>
                <w:rFonts w:ascii="Calibri" w:hAnsi="Calibri" w:cs="Calibri"/>
                <w:b w:val="0"/>
                <w:color w:val="000000"/>
                <w:sz w:val="20"/>
                <w:szCs w:val="20"/>
              </w:rPr>
            </w:pPr>
            <w:proofErr w:type="gramStart"/>
            <w:r w:rsidRPr="009562AF">
              <w:rPr>
                <w:rFonts w:ascii="Calibri" w:hAnsi="Calibri" w:cs="Calibri"/>
                <w:b w:val="0"/>
                <w:color w:val="000000"/>
                <w:sz w:val="20"/>
                <w:szCs w:val="20"/>
              </w:rPr>
              <w:t>Poprawa jakości</w:t>
            </w:r>
            <w:proofErr w:type="gramEnd"/>
            <w:r w:rsidRPr="009562AF">
              <w:rPr>
                <w:rFonts w:ascii="Calibri" w:hAnsi="Calibri" w:cs="Calibri"/>
                <w:b w:val="0"/>
                <w:color w:val="000000"/>
                <w:sz w:val="20"/>
                <w:szCs w:val="20"/>
              </w:rPr>
              <w:t xml:space="preserve"> kształcenia młodzieży na poziomie podstawowym</w:t>
            </w:r>
          </w:p>
        </w:tc>
        <w:tc>
          <w:tcPr>
            <w:tcW w:w="4394" w:type="dxa"/>
            <w:vAlign w:val="center"/>
          </w:tcPr>
          <w:p w:rsidR="000731E7" w:rsidRPr="009562AF"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 xml:space="preserve">Projekty w zakresie </w:t>
            </w:r>
            <w:r w:rsidR="00103FA3" w:rsidRPr="009562AF">
              <w:rPr>
                <w:rFonts w:ascii="Calibri" w:hAnsi="Calibri" w:cs="Calibri"/>
                <w:color w:val="000000"/>
                <w:sz w:val="20"/>
                <w:szCs w:val="20"/>
              </w:rPr>
              <w:t xml:space="preserve">tworzenia oraz rozwoju infrastruktury i usług </w:t>
            </w:r>
            <w:r w:rsidR="00103FA3">
              <w:rPr>
                <w:rFonts w:ascii="Calibri" w:hAnsi="Calibri" w:cs="Calibri"/>
                <w:color w:val="000000"/>
                <w:sz w:val="20"/>
                <w:szCs w:val="20"/>
              </w:rPr>
              <w:t xml:space="preserve">oraz </w:t>
            </w:r>
            <w:r w:rsidRPr="009562AF">
              <w:rPr>
                <w:rFonts w:ascii="Calibri" w:hAnsi="Calibri" w:cs="Calibri"/>
                <w:color w:val="000000"/>
                <w:sz w:val="20"/>
                <w:szCs w:val="20"/>
              </w:rPr>
              <w:t>racjonalizacji i modernizacji kształcenia na poziomie podstawowym</w:t>
            </w:r>
          </w:p>
        </w:tc>
        <w:tc>
          <w:tcPr>
            <w:tcW w:w="2977"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94592">
              <w:rPr>
                <w:sz w:val="20"/>
                <w:szCs w:val="20"/>
              </w:rPr>
              <w:t xml:space="preserve">Gmina Miejska Hrubieszów, Gmina Hrubieszów, </w:t>
            </w:r>
          </w:p>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503D51">
              <w:rPr>
                <w:sz w:val="20"/>
                <w:szCs w:val="20"/>
              </w:rPr>
              <w:t>Organizacje pozarządowe, przedsiębiorcy</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Szkoły, organizacje pozarządowe, kuratorium oświaty</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vAlign w:val="center"/>
          </w:tcPr>
          <w:p w:rsidR="000731E7" w:rsidRPr="009562AF"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9562AF"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Projekty w zakresie poszerzania oferty kształcenia (np. zajęcia dodatkowe) oraz wprowadzania innowacji</w:t>
            </w:r>
          </w:p>
        </w:tc>
        <w:tc>
          <w:tcPr>
            <w:tcW w:w="2977"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w:t>
            </w:r>
            <w:r>
              <w:rPr>
                <w:sz w:val="20"/>
                <w:szCs w:val="20"/>
              </w:rPr>
              <w:t>ieszów, Gmina Hrubieszów,</w:t>
            </w:r>
          </w:p>
        </w:tc>
        <w:tc>
          <w:tcPr>
            <w:tcW w:w="2409"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sz w:val="20"/>
                <w:szCs w:val="20"/>
              </w:rPr>
              <w:t>Szkoły, organizacje pozarządowe, kuratorium oświaty</w:t>
            </w:r>
            <w:r w:rsidR="00327D56" w:rsidRPr="00716E17">
              <w:rPr>
                <w:sz w:val="20"/>
                <w:szCs w:val="20"/>
              </w:rPr>
              <w:t>, jednostki naukowe</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9562AF" w:rsidRDefault="000731E7" w:rsidP="0098324A">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Współpraca z powiatem w </w:t>
            </w:r>
            <w:r w:rsidRPr="009562AF">
              <w:rPr>
                <w:rFonts w:ascii="Calibri" w:hAnsi="Calibri" w:cs="Calibri"/>
                <w:b w:val="0"/>
                <w:color w:val="000000"/>
                <w:sz w:val="20"/>
                <w:szCs w:val="20"/>
              </w:rPr>
              <w:t>zakresie poprawy kształcenia młodzieży na poziomie średnim (ogólnym i zawodowym)</w:t>
            </w:r>
          </w:p>
        </w:tc>
        <w:tc>
          <w:tcPr>
            <w:tcW w:w="4394" w:type="dxa"/>
            <w:vAlign w:val="center"/>
          </w:tcPr>
          <w:p w:rsidR="000731E7" w:rsidRPr="009562AF"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Projekty w zakresie o</w:t>
            </w:r>
            <w:r>
              <w:rPr>
                <w:rFonts w:ascii="Calibri" w:hAnsi="Calibri" w:cs="Calibri"/>
                <w:color w:val="000000"/>
                <w:sz w:val="20"/>
                <w:szCs w:val="20"/>
              </w:rPr>
              <w:t>ceny efektywności kształcenia i </w:t>
            </w:r>
            <w:r w:rsidRPr="009562AF">
              <w:rPr>
                <w:rFonts w:ascii="Calibri" w:hAnsi="Calibri" w:cs="Calibri"/>
                <w:color w:val="000000"/>
                <w:sz w:val="20"/>
                <w:szCs w:val="20"/>
              </w:rPr>
              <w:t>dostosowywania jego form i zakresu wymogów współczesnego świata</w:t>
            </w:r>
          </w:p>
        </w:tc>
        <w:tc>
          <w:tcPr>
            <w:tcW w:w="2977"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rFonts w:ascii="Calibri" w:hAnsi="Calibri" w:cs="Calibri"/>
                <w:color w:val="000000"/>
                <w:sz w:val="20"/>
                <w:szCs w:val="20"/>
              </w:rPr>
              <w:t>Zarząd Powiatu</w:t>
            </w:r>
          </w:p>
        </w:tc>
        <w:tc>
          <w:tcPr>
            <w:tcW w:w="2409"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16E17">
              <w:rPr>
                <w:sz w:val="20"/>
                <w:szCs w:val="20"/>
              </w:rPr>
              <w:t xml:space="preserve">Szkoły, organizacje pozarządowe, kuratorium oświaty, Gmina Miejska Hrubieszów, Gmina </w:t>
            </w:r>
            <w:r w:rsidRPr="00716E17">
              <w:rPr>
                <w:sz w:val="20"/>
                <w:szCs w:val="20"/>
              </w:rPr>
              <w:lastRenderedPageBreak/>
              <w:t xml:space="preserve">Hrubieszów, </w:t>
            </w:r>
            <w:r w:rsidR="00327D56" w:rsidRPr="00716E17">
              <w:rPr>
                <w:sz w:val="20"/>
                <w:szCs w:val="20"/>
              </w:rPr>
              <w:t>jednostki badawcze</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0731E7" w:rsidRPr="009562AF" w:rsidRDefault="000731E7" w:rsidP="0098324A">
            <w:pPr>
              <w:spacing w:before="0"/>
              <w:ind w:firstLine="0"/>
              <w:rPr>
                <w:rFonts w:ascii="Calibri" w:hAnsi="Calibri" w:cs="Calibri"/>
                <w:b w:val="0"/>
                <w:color w:val="000000"/>
                <w:sz w:val="20"/>
                <w:szCs w:val="20"/>
              </w:rPr>
            </w:pPr>
          </w:p>
        </w:tc>
        <w:tc>
          <w:tcPr>
            <w:tcW w:w="4394" w:type="dxa"/>
            <w:vAlign w:val="center"/>
          </w:tcPr>
          <w:p w:rsidR="000731E7" w:rsidRPr="009562AF"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Projekty w zakresie wprowadzania no</w:t>
            </w:r>
            <w:r>
              <w:rPr>
                <w:rFonts w:ascii="Calibri" w:hAnsi="Calibri" w:cs="Calibri"/>
                <w:color w:val="000000"/>
                <w:sz w:val="20"/>
                <w:szCs w:val="20"/>
              </w:rPr>
              <w:t>wych narzędzi i form edukacji w </w:t>
            </w:r>
            <w:r w:rsidRPr="009562AF">
              <w:rPr>
                <w:rFonts w:ascii="Calibri" w:hAnsi="Calibri" w:cs="Calibri"/>
                <w:color w:val="000000"/>
                <w:sz w:val="20"/>
                <w:szCs w:val="20"/>
              </w:rPr>
              <w:t>procesie kształcenia młodzieży</w:t>
            </w:r>
          </w:p>
        </w:tc>
        <w:tc>
          <w:tcPr>
            <w:tcW w:w="2977"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EA144F">
              <w:rPr>
                <w:rFonts w:ascii="Calibri" w:hAnsi="Calibri" w:cs="Calibri"/>
                <w:color w:val="000000"/>
                <w:sz w:val="20"/>
                <w:szCs w:val="20"/>
              </w:rPr>
              <w:t>Zarząd Powiatu</w:t>
            </w:r>
          </w:p>
        </w:tc>
        <w:tc>
          <w:tcPr>
            <w:tcW w:w="2409" w:type="dxa"/>
            <w:vAlign w:val="center"/>
          </w:tcPr>
          <w:p w:rsidR="000731E7" w:rsidRDefault="00D066E8"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w:t>
            </w:r>
            <w:r w:rsidR="000731E7" w:rsidRPr="00794592">
              <w:rPr>
                <w:sz w:val="20"/>
                <w:szCs w:val="20"/>
              </w:rPr>
              <w:t>zkoły, organizacje pozarządowe, kuratorium oświaty</w:t>
            </w:r>
            <w:r w:rsidR="000731E7">
              <w:rPr>
                <w:sz w:val="20"/>
                <w:szCs w:val="20"/>
              </w:rPr>
              <w:t>,</w:t>
            </w:r>
          </w:p>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w:t>
            </w:r>
            <w:r>
              <w:rPr>
                <w:sz w:val="20"/>
                <w:szCs w:val="20"/>
              </w:rPr>
              <w:t>ieszów, Gmina Hrubieszów</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0731E7" w:rsidRDefault="000731E7" w:rsidP="000731E7">
      <w:pPr>
        <w:rPr>
          <w:b/>
        </w:rPr>
      </w:pPr>
      <w:r>
        <w:rPr>
          <w:b/>
        </w:rPr>
        <w:t xml:space="preserve">Cel operacyjny 1.4 </w:t>
      </w:r>
      <w:r w:rsidRPr="00B4757F">
        <w:rPr>
          <w:b/>
        </w:rPr>
        <w:t>Poprawa dostępności mieszkańców do usług zdrowia i opieki społecznej</w:t>
      </w:r>
    </w:p>
    <w:tbl>
      <w:tblPr>
        <w:tblStyle w:val="Jasnasiatkaakcent21"/>
        <w:tblW w:w="0" w:type="auto"/>
        <w:tblLook w:val="04A0" w:firstRow="1" w:lastRow="0" w:firstColumn="1" w:lastColumn="0" w:noHBand="0" w:noVBand="1"/>
      </w:tblPr>
      <w:tblGrid>
        <w:gridCol w:w="2802"/>
        <w:gridCol w:w="4394"/>
        <w:gridCol w:w="2977"/>
        <w:gridCol w:w="2409"/>
        <w:gridCol w:w="1418"/>
      </w:tblGrid>
      <w:tr w:rsidR="00712E71" w:rsidTr="00983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394"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977"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8"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9562AF" w:rsidRDefault="000731E7" w:rsidP="0098324A">
            <w:pPr>
              <w:spacing w:before="0"/>
              <w:ind w:firstLine="0"/>
              <w:jc w:val="left"/>
              <w:rPr>
                <w:rFonts w:ascii="Calibri" w:hAnsi="Calibri" w:cs="Calibri"/>
                <w:b w:val="0"/>
                <w:color w:val="000000"/>
                <w:sz w:val="20"/>
                <w:szCs w:val="20"/>
              </w:rPr>
            </w:pPr>
            <w:r w:rsidRPr="009562AF">
              <w:rPr>
                <w:rFonts w:ascii="Calibri" w:hAnsi="Calibri" w:cs="Calibri"/>
                <w:b w:val="0"/>
                <w:color w:val="000000"/>
                <w:sz w:val="20"/>
                <w:szCs w:val="20"/>
              </w:rPr>
              <w:t>Pop</w:t>
            </w:r>
            <w:r>
              <w:rPr>
                <w:rFonts w:ascii="Calibri" w:hAnsi="Calibri" w:cs="Calibri"/>
                <w:b w:val="0"/>
                <w:color w:val="000000"/>
                <w:sz w:val="20"/>
                <w:szCs w:val="20"/>
              </w:rPr>
              <w:t>rawa dostępności mieszkańców do podstawowych i </w:t>
            </w:r>
            <w:r w:rsidRPr="009562AF">
              <w:rPr>
                <w:rFonts w:ascii="Calibri" w:hAnsi="Calibri" w:cs="Calibri"/>
                <w:b w:val="0"/>
                <w:color w:val="000000"/>
                <w:sz w:val="20"/>
                <w:szCs w:val="20"/>
              </w:rPr>
              <w:t>specjalistycznych usług zdrowotnych</w:t>
            </w:r>
          </w:p>
        </w:tc>
        <w:tc>
          <w:tcPr>
            <w:tcW w:w="4394" w:type="dxa"/>
            <w:vAlign w:val="center"/>
          </w:tcPr>
          <w:p w:rsidR="000731E7" w:rsidRPr="009562AF" w:rsidRDefault="000731E7"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Projekty w zakresie modernizacji oraz wyposażenia zakładów podstawowej/ambulatoryjnej opieki lekarskiej w niezbędny sprzęt i</w:t>
            </w:r>
            <w:r>
              <w:rPr>
                <w:rFonts w:ascii="Calibri" w:hAnsi="Calibri" w:cs="Calibri"/>
                <w:color w:val="000000"/>
                <w:sz w:val="20"/>
                <w:szCs w:val="20"/>
              </w:rPr>
              <w:t> </w:t>
            </w:r>
            <w:r w:rsidRPr="009562AF">
              <w:rPr>
                <w:rFonts w:ascii="Calibri" w:hAnsi="Calibri" w:cs="Calibri"/>
                <w:color w:val="000000"/>
                <w:sz w:val="20"/>
                <w:szCs w:val="20"/>
              </w:rPr>
              <w:t xml:space="preserve">urządzenia </w:t>
            </w:r>
          </w:p>
        </w:tc>
        <w:tc>
          <w:tcPr>
            <w:tcW w:w="2977"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 xml:space="preserve">Placówki ochrony </w:t>
            </w:r>
            <w:r w:rsidRPr="00716E17">
              <w:rPr>
                <w:sz w:val="20"/>
                <w:szCs w:val="20"/>
              </w:rPr>
              <w:t>zdrowia</w:t>
            </w:r>
            <w:r w:rsidR="00327D56" w:rsidRPr="00716E17">
              <w:rPr>
                <w:sz w:val="20"/>
                <w:szCs w:val="20"/>
              </w:rPr>
              <w:t>, Gmina Miejska Hrubieszów, Gmina Hrubieszów</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GOPS</w:t>
            </w:r>
            <w:r>
              <w:rPr>
                <w:sz w:val="20"/>
                <w:szCs w:val="20"/>
              </w:rPr>
              <w:t>/MOPS, przedsiębiorcy</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9562AF"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9562AF" w:rsidRDefault="000731E7"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Współpraca z podmiotami leczniczymi w powiecie i województwie w zakresie pop</w:t>
            </w:r>
            <w:r>
              <w:rPr>
                <w:rFonts w:ascii="Calibri" w:hAnsi="Calibri" w:cs="Calibri"/>
                <w:color w:val="000000"/>
                <w:sz w:val="20"/>
                <w:szCs w:val="20"/>
              </w:rPr>
              <w:t>rawy dostępności mieszkańców do </w:t>
            </w:r>
            <w:r w:rsidRPr="009562AF">
              <w:rPr>
                <w:rFonts w:ascii="Calibri" w:hAnsi="Calibri" w:cs="Calibri"/>
                <w:color w:val="000000"/>
                <w:sz w:val="20"/>
                <w:szCs w:val="20"/>
              </w:rPr>
              <w:t>lekarzy specjalistów oraz usług diagnostyki specjalistycznej</w:t>
            </w:r>
          </w:p>
        </w:tc>
        <w:tc>
          <w:tcPr>
            <w:tcW w:w="2977"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Placówki ochrony zdrowia</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 GOPS</w:t>
            </w:r>
            <w:r>
              <w:rPr>
                <w:sz w:val="20"/>
                <w:szCs w:val="20"/>
              </w:rPr>
              <w:t xml:space="preserve">/ MOPS, </w:t>
            </w:r>
            <w:r w:rsidRPr="00EA144F">
              <w:rPr>
                <w:sz w:val="20"/>
                <w:szCs w:val="20"/>
              </w:rPr>
              <w:t>przedsiębiorcy</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9562AF"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9562AF" w:rsidRDefault="000731E7"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Uczestnictwo w regionalnych i </w:t>
            </w:r>
            <w:r w:rsidRPr="009562AF">
              <w:rPr>
                <w:rFonts w:ascii="Calibri" w:hAnsi="Calibri" w:cs="Calibri"/>
                <w:color w:val="000000"/>
                <w:sz w:val="20"/>
                <w:szCs w:val="20"/>
              </w:rPr>
              <w:t>krajowych programach profilaktyki, badań i leczenia wybranych chorób cywilizacyjnych</w:t>
            </w:r>
          </w:p>
        </w:tc>
        <w:tc>
          <w:tcPr>
            <w:tcW w:w="2977"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Placówki ochrony zdrowia, Gmina Miejska Hrubieszów, Gmina Hrubieszów</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Organizacje pozarządowe</w:t>
            </w:r>
            <w:r w:rsidR="00327D56">
              <w:rPr>
                <w:sz w:val="20"/>
                <w:szCs w:val="20"/>
              </w:rPr>
              <w:t>, przedsiębiorcy</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9562AF" w:rsidRDefault="000731E7" w:rsidP="0098324A">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Zapewnienie efektywnego i </w:t>
            </w:r>
            <w:r w:rsidRPr="009562AF">
              <w:rPr>
                <w:rFonts w:ascii="Calibri" w:hAnsi="Calibri" w:cs="Calibri"/>
                <w:b w:val="0"/>
                <w:color w:val="000000"/>
                <w:sz w:val="20"/>
                <w:szCs w:val="20"/>
              </w:rPr>
              <w:t>zintegrowane systemu opieki społecznej na obszarze HOF</w:t>
            </w:r>
          </w:p>
        </w:tc>
        <w:tc>
          <w:tcPr>
            <w:tcW w:w="4394" w:type="dxa"/>
            <w:vAlign w:val="center"/>
          </w:tcPr>
          <w:p w:rsidR="000731E7" w:rsidRPr="009562AF" w:rsidRDefault="000731E7" w:rsidP="00F702F1">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 xml:space="preserve">Wypracowanie i wdrożenie systemu </w:t>
            </w:r>
            <w:r w:rsidR="00F702F1">
              <w:rPr>
                <w:rFonts w:ascii="Calibri" w:hAnsi="Calibri" w:cs="Calibri"/>
                <w:color w:val="000000"/>
                <w:sz w:val="20"/>
                <w:szCs w:val="20"/>
              </w:rPr>
              <w:t xml:space="preserve">zintegrowanych i skoordynowanych </w:t>
            </w:r>
            <w:r w:rsidRPr="009562AF">
              <w:rPr>
                <w:rFonts w:ascii="Calibri" w:hAnsi="Calibri" w:cs="Calibri"/>
                <w:color w:val="000000"/>
                <w:sz w:val="20"/>
                <w:szCs w:val="20"/>
              </w:rPr>
              <w:t xml:space="preserve">usług w zakresie pomocy społecznej (w ramach idei Centrum Usług Społecznych - CUS) </w:t>
            </w:r>
          </w:p>
        </w:tc>
        <w:tc>
          <w:tcPr>
            <w:tcW w:w="2977"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 GOPS</w:t>
            </w:r>
            <w:r>
              <w:rPr>
                <w:sz w:val="20"/>
                <w:szCs w:val="20"/>
              </w:rPr>
              <w:t>/ MOPS</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Powiatowe Centrum Pomocy Rodzinie, organizacje pozarządowe</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0731E7" w:rsidRDefault="000731E7" w:rsidP="0098324A">
            <w:pPr>
              <w:spacing w:before="0"/>
              <w:ind w:firstLine="0"/>
              <w:rPr>
                <w:rFonts w:ascii="Calibri" w:hAnsi="Calibri" w:cs="Calibri"/>
                <w:b w:val="0"/>
                <w:color w:val="000000"/>
              </w:rPr>
            </w:pPr>
          </w:p>
        </w:tc>
        <w:tc>
          <w:tcPr>
            <w:tcW w:w="4394" w:type="dxa"/>
            <w:vAlign w:val="center"/>
          </w:tcPr>
          <w:p w:rsidR="000731E7" w:rsidRPr="009562AF" w:rsidRDefault="000731E7" w:rsidP="00F702F1">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Rozwój form opieki i wsparcia dla osób potrzebujących w ramach istniejących i nowych instytucji pomocy społecznej</w:t>
            </w:r>
          </w:p>
        </w:tc>
        <w:tc>
          <w:tcPr>
            <w:tcW w:w="2977"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 GOPS</w:t>
            </w:r>
            <w:r>
              <w:rPr>
                <w:sz w:val="20"/>
                <w:szCs w:val="20"/>
              </w:rPr>
              <w:t>/ MOPS</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Powiatowe Centrum Pomocy Rodzinie, organizacje pozarządowe</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0731E7" w:rsidRDefault="000731E7" w:rsidP="0098324A">
            <w:pPr>
              <w:spacing w:before="0"/>
              <w:ind w:firstLine="0"/>
              <w:rPr>
                <w:rFonts w:ascii="Calibri" w:hAnsi="Calibri" w:cs="Calibri"/>
                <w:b w:val="0"/>
                <w:color w:val="000000"/>
              </w:rPr>
            </w:pPr>
          </w:p>
        </w:tc>
        <w:tc>
          <w:tcPr>
            <w:tcW w:w="4394" w:type="dxa"/>
            <w:vAlign w:val="center"/>
          </w:tcPr>
          <w:p w:rsidR="000731E7" w:rsidRPr="009562AF" w:rsidRDefault="000731E7"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562AF">
              <w:rPr>
                <w:rFonts w:ascii="Calibri" w:hAnsi="Calibri" w:cs="Calibri"/>
                <w:color w:val="000000"/>
                <w:sz w:val="20"/>
                <w:szCs w:val="20"/>
              </w:rPr>
              <w:t>Bliska współpraca władz samorządowych z organizacjami pozarządowymi w zakresie z</w:t>
            </w:r>
            <w:r>
              <w:rPr>
                <w:rFonts w:ascii="Calibri" w:hAnsi="Calibri" w:cs="Calibri"/>
                <w:color w:val="000000"/>
                <w:sz w:val="20"/>
                <w:szCs w:val="20"/>
              </w:rPr>
              <w:t>apewnienia dodatkowych usług na </w:t>
            </w:r>
            <w:r w:rsidRPr="009562AF">
              <w:rPr>
                <w:rFonts w:ascii="Calibri" w:hAnsi="Calibri" w:cs="Calibri"/>
                <w:color w:val="000000"/>
                <w:sz w:val="20"/>
                <w:szCs w:val="20"/>
              </w:rPr>
              <w:t>rzecz osób objętych pomocą społeczną</w:t>
            </w:r>
          </w:p>
        </w:tc>
        <w:tc>
          <w:tcPr>
            <w:tcW w:w="2977"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 GOPS</w:t>
            </w:r>
            <w:r>
              <w:rPr>
                <w:sz w:val="20"/>
                <w:szCs w:val="20"/>
              </w:rPr>
              <w:t>/MOPS</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94592">
              <w:rPr>
                <w:rFonts w:ascii="Calibri" w:hAnsi="Calibri" w:cs="Calibri"/>
                <w:color w:val="000000"/>
                <w:sz w:val="20"/>
                <w:szCs w:val="20"/>
              </w:rPr>
              <w:t>Organizacje pozarządowe, przedsiębiorcy</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327D56" w:rsidRDefault="00327D56" w:rsidP="000731E7">
      <w:pPr>
        <w:rPr>
          <w:b/>
        </w:rPr>
      </w:pPr>
    </w:p>
    <w:p w:rsidR="000731E7" w:rsidRDefault="000731E7" w:rsidP="000731E7">
      <w:pPr>
        <w:rPr>
          <w:b/>
        </w:rPr>
      </w:pPr>
      <w:r>
        <w:rPr>
          <w:b/>
        </w:rPr>
        <w:t xml:space="preserve">Cel operacyjny 1.5 </w:t>
      </w:r>
      <w:r w:rsidRPr="00B4757F">
        <w:rPr>
          <w:b/>
        </w:rPr>
        <w:t>Lep</w:t>
      </w:r>
      <w:r w:rsidR="009B2B5D">
        <w:rPr>
          <w:b/>
        </w:rPr>
        <w:t xml:space="preserve">sza oferta w zakresie kultury, </w:t>
      </w:r>
      <w:r w:rsidRPr="00B4757F">
        <w:rPr>
          <w:b/>
        </w:rPr>
        <w:t>rekreacji</w:t>
      </w:r>
      <w:r w:rsidR="009B2B5D">
        <w:rPr>
          <w:b/>
        </w:rPr>
        <w:t xml:space="preserve"> i sportu</w:t>
      </w:r>
      <w:r w:rsidRPr="00B4757F">
        <w:rPr>
          <w:b/>
        </w:rPr>
        <w:t xml:space="preserve"> dla mieszkańców</w:t>
      </w:r>
    </w:p>
    <w:tbl>
      <w:tblPr>
        <w:tblStyle w:val="Jasnasiatkaakcent21"/>
        <w:tblW w:w="0" w:type="auto"/>
        <w:tblLook w:val="04A0" w:firstRow="1" w:lastRow="0" w:firstColumn="1" w:lastColumn="0" w:noHBand="0" w:noVBand="1"/>
      </w:tblPr>
      <w:tblGrid>
        <w:gridCol w:w="2802"/>
        <w:gridCol w:w="4394"/>
        <w:gridCol w:w="2977"/>
        <w:gridCol w:w="2409"/>
        <w:gridCol w:w="1418"/>
      </w:tblGrid>
      <w:tr w:rsidR="00712E71" w:rsidTr="00983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394"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977"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8"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C612E6" w:rsidRDefault="000731E7" w:rsidP="0098324A">
            <w:pPr>
              <w:spacing w:before="0"/>
              <w:ind w:firstLine="0"/>
              <w:jc w:val="left"/>
              <w:rPr>
                <w:rFonts w:ascii="Calibri" w:hAnsi="Calibri" w:cs="Calibri"/>
                <w:b w:val="0"/>
                <w:color w:val="000000"/>
                <w:sz w:val="20"/>
                <w:szCs w:val="20"/>
              </w:rPr>
            </w:pPr>
            <w:r w:rsidRPr="00C612E6">
              <w:rPr>
                <w:rFonts w:ascii="Calibri" w:hAnsi="Calibri" w:cs="Calibri"/>
                <w:b w:val="0"/>
                <w:color w:val="000000"/>
                <w:sz w:val="20"/>
                <w:szCs w:val="20"/>
              </w:rPr>
              <w:t>Rozwój niezbędnej infrastruktury poprawiającej dostęp do usług kultury, sportu, rekreacji i wypoczynku na terenie obszaru HOF</w:t>
            </w:r>
          </w:p>
        </w:tc>
        <w:tc>
          <w:tcPr>
            <w:tcW w:w="4394" w:type="dxa"/>
            <w:vAlign w:val="center"/>
          </w:tcPr>
          <w:p w:rsidR="000731E7" w:rsidRPr="00C612E6"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C612E6">
              <w:rPr>
                <w:rFonts w:ascii="Calibri" w:hAnsi="Calibri" w:cs="Calibri"/>
                <w:color w:val="000000"/>
                <w:sz w:val="20"/>
                <w:szCs w:val="20"/>
              </w:rPr>
              <w:t>Projekty w zakresie budowy/remontu/modernizacji infrastruktury służącej do rozwoju usług kultur</w:t>
            </w:r>
            <w:r>
              <w:rPr>
                <w:rFonts w:ascii="Calibri" w:hAnsi="Calibri" w:cs="Calibri"/>
                <w:color w:val="000000"/>
                <w:sz w:val="20"/>
                <w:szCs w:val="20"/>
              </w:rPr>
              <w:t>y</w:t>
            </w:r>
            <w:r w:rsidRPr="00C612E6">
              <w:rPr>
                <w:rFonts w:ascii="Calibri" w:hAnsi="Calibri" w:cs="Calibri"/>
                <w:color w:val="000000"/>
                <w:sz w:val="20"/>
                <w:szCs w:val="20"/>
              </w:rPr>
              <w:t xml:space="preserve"> (muzea, biblioteki, domy kultury, świetlice wiejskie itp.</w:t>
            </w:r>
            <w:r>
              <w:rPr>
                <w:rFonts w:ascii="Calibri" w:hAnsi="Calibri" w:cs="Calibri"/>
                <w:color w:val="000000"/>
                <w:sz w:val="20"/>
                <w:szCs w:val="20"/>
              </w:rPr>
              <w:t>)</w:t>
            </w:r>
          </w:p>
        </w:tc>
        <w:tc>
          <w:tcPr>
            <w:tcW w:w="2977"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p>
        </w:tc>
        <w:tc>
          <w:tcPr>
            <w:tcW w:w="2409"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 xml:space="preserve">GOK, Hrubieszowski Dom Kultury, Biblioteka Publiczna, organizacje pozarządowe, </w:t>
            </w:r>
            <w:r w:rsidRPr="00794592">
              <w:rPr>
                <w:bCs/>
                <w:sz w:val="20"/>
                <w:szCs w:val="20"/>
              </w:rPr>
              <w:t>mieszkańcy – osoby fizyczne</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C612E6"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C612E6"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C612E6">
              <w:rPr>
                <w:rFonts w:ascii="Calibri" w:hAnsi="Calibri" w:cs="Calibri"/>
                <w:color w:val="000000"/>
                <w:sz w:val="20"/>
                <w:szCs w:val="20"/>
              </w:rPr>
              <w:t>Projekty w zakresie budowy/rozbudowy obiektów zwi</w:t>
            </w:r>
            <w:r>
              <w:rPr>
                <w:rFonts w:ascii="Calibri" w:hAnsi="Calibri" w:cs="Calibri"/>
                <w:color w:val="000000"/>
                <w:sz w:val="20"/>
                <w:szCs w:val="20"/>
              </w:rPr>
              <w:t>ązanych ze sportem, rekreacją i </w:t>
            </w:r>
            <w:r w:rsidRPr="00C612E6">
              <w:rPr>
                <w:rFonts w:ascii="Calibri" w:hAnsi="Calibri" w:cs="Calibri"/>
                <w:color w:val="000000"/>
                <w:sz w:val="20"/>
                <w:szCs w:val="20"/>
              </w:rPr>
              <w:t xml:space="preserve">wypoczynkiem (baseny, hale sportowe, boiska itp.). </w:t>
            </w:r>
          </w:p>
        </w:tc>
        <w:tc>
          <w:tcPr>
            <w:tcW w:w="2977"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94592">
              <w:rPr>
                <w:rFonts w:ascii="Calibri" w:hAnsi="Calibri" w:cs="Calibri"/>
                <w:color w:val="000000"/>
                <w:sz w:val="20"/>
                <w:szCs w:val="20"/>
              </w:rPr>
              <w:t>Gmina Miejska Hrubieszów, Gmina Hrubieszów</w:t>
            </w:r>
          </w:p>
        </w:tc>
        <w:tc>
          <w:tcPr>
            <w:tcW w:w="2409" w:type="dxa"/>
            <w:vAlign w:val="center"/>
          </w:tcPr>
          <w:p w:rsidR="000731E7" w:rsidRPr="00716E17" w:rsidRDefault="000731E7" w:rsidP="00327D56">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sz w:val="20"/>
                <w:szCs w:val="20"/>
              </w:rPr>
              <w:t xml:space="preserve">HOSIR, organizacje pozarządowe, </w:t>
            </w:r>
            <w:r w:rsidRPr="00716E17">
              <w:rPr>
                <w:bCs/>
                <w:sz w:val="20"/>
                <w:szCs w:val="20"/>
              </w:rPr>
              <w:t>mieszkańcy – osoby fizyczne</w:t>
            </w:r>
            <w:r w:rsidR="00327D56" w:rsidRPr="00716E17">
              <w:rPr>
                <w:bCs/>
                <w:sz w:val="20"/>
                <w:szCs w:val="20"/>
              </w:rPr>
              <w:t>, związki sportowe, przedszkola, szkoły podstawowe, Rady Osiedli</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FFFFF" w:themeFill="background1"/>
            <w:vAlign w:val="center"/>
          </w:tcPr>
          <w:p w:rsidR="000731E7" w:rsidRPr="00C612E6" w:rsidRDefault="000731E7" w:rsidP="0098324A">
            <w:pPr>
              <w:spacing w:before="0"/>
              <w:ind w:firstLine="0"/>
              <w:jc w:val="left"/>
              <w:rPr>
                <w:rFonts w:ascii="Calibri" w:hAnsi="Calibri" w:cs="Calibri"/>
                <w:b w:val="0"/>
                <w:color w:val="000000"/>
                <w:sz w:val="20"/>
                <w:szCs w:val="20"/>
              </w:rPr>
            </w:pPr>
            <w:r w:rsidRPr="00C612E6">
              <w:rPr>
                <w:rFonts w:ascii="Calibri" w:hAnsi="Calibri" w:cs="Calibri"/>
                <w:b w:val="0"/>
                <w:color w:val="000000"/>
                <w:sz w:val="20"/>
                <w:szCs w:val="20"/>
              </w:rPr>
              <w:t>Kreowanie i rozwój wspólnej oferty kulturalnej i rekreacyjnej na terenie HOF</w:t>
            </w:r>
          </w:p>
        </w:tc>
        <w:tc>
          <w:tcPr>
            <w:tcW w:w="4394" w:type="dxa"/>
            <w:vAlign w:val="center"/>
          </w:tcPr>
          <w:p w:rsidR="000731E7" w:rsidRPr="00C612E6" w:rsidRDefault="000731E7"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C612E6">
              <w:rPr>
                <w:rFonts w:ascii="Calibri" w:hAnsi="Calibri" w:cs="Calibri"/>
                <w:color w:val="000000"/>
                <w:sz w:val="20"/>
                <w:szCs w:val="20"/>
              </w:rPr>
              <w:t>Proj</w:t>
            </w:r>
            <w:r>
              <w:rPr>
                <w:rFonts w:ascii="Calibri" w:hAnsi="Calibri" w:cs="Calibri"/>
                <w:color w:val="000000"/>
                <w:sz w:val="20"/>
                <w:szCs w:val="20"/>
              </w:rPr>
              <w:t>ekty w zakresie organizowania i </w:t>
            </w:r>
            <w:r w:rsidRPr="00C612E6">
              <w:rPr>
                <w:rFonts w:ascii="Calibri" w:hAnsi="Calibri" w:cs="Calibri"/>
                <w:color w:val="000000"/>
                <w:sz w:val="20"/>
                <w:szCs w:val="20"/>
              </w:rPr>
              <w:t>promowania wspólnych imprez kulturalnych</w:t>
            </w:r>
            <w:r w:rsidR="00327D56">
              <w:rPr>
                <w:rFonts w:ascii="Calibri" w:hAnsi="Calibri" w:cs="Calibri"/>
                <w:color w:val="000000"/>
                <w:sz w:val="20"/>
                <w:szCs w:val="20"/>
              </w:rPr>
              <w:t>, sportowych</w:t>
            </w:r>
            <w:r w:rsidRPr="00C612E6">
              <w:rPr>
                <w:rFonts w:ascii="Calibri" w:hAnsi="Calibri" w:cs="Calibri"/>
                <w:color w:val="000000"/>
                <w:sz w:val="20"/>
                <w:szCs w:val="20"/>
              </w:rPr>
              <w:t xml:space="preserve"> i rekreacyjnych na terenie HOF</w:t>
            </w:r>
          </w:p>
        </w:tc>
        <w:tc>
          <w:tcPr>
            <w:tcW w:w="2977" w:type="dxa"/>
            <w:vAlign w:val="center"/>
          </w:tcPr>
          <w:p w:rsidR="000731E7" w:rsidRPr="00794592"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rFonts w:ascii="Calibri" w:hAnsi="Calibri" w:cs="Calibri"/>
                <w:color w:val="000000"/>
                <w:sz w:val="20"/>
                <w:szCs w:val="20"/>
              </w:rPr>
              <w:t xml:space="preserve">Gmina </w:t>
            </w:r>
            <w:r w:rsidRPr="00716E17">
              <w:rPr>
                <w:rFonts w:ascii="Calibri" w:hAnsi="Calibri" w:cs="Calibri"/>
                <w:color w:val="000000"/>
                <w:sz w:val="20"/>
                <w:szCs w:val="20"/>
              </w:rPr>
              <w:t>Miejska Hrubieszów, Gmina Hrubieszów</w:t>
            </w:r>
            <w:r w:rsidR="00327D56" w:rsidRPr="00716E17">
              <w:rPr>
                <w:rFonts w:ascii="Calibri" w:hAnsi="Calibri" w:cs="Calibri"/>
                <w:color w:val="000000"/>
                <w:sz w:val="20"/>
                <w:szCs w:val="20"/>
              </w:rPr>
              <w:t>,</w:t>
            </w:r>
            <w:r w:rsidR="00327D56" w:rsidRPr="00716E17">
              <w:rPr>
                <w:sz w:val="20"/>
                <w:szCs w:val="20"/>
              </w:rPr>
              <w:t xml:space="preserve"> HOSIR, Kluby Sportowe</w:t>
            </w:r>
          </w:p>
        </w:tc>
        <w:tc>
          <w:tcPr>
            <w:tcW w:w="2409" w:type="dxa"/>
            <w:vAlign w:val="center"/>
          </w:tcPr>
          <w:p w:rsidR="000731E7" w:rsidRPr="00716E17" w:rsidRDefault="000731E7" w:rsidP="00327D56">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16E17">
              <w:rPr>
                <w:sz w:val="20"/>
                <w:szCs w:val="20"/>
              </w:rPr>
              <w:t>GOK, Hrubieszowski Dom</w:t>
            </w:r>
            <w:r w:rsidR="00327D56" w:rsidRPr="00716E17">
              <w:rPr>
                <w:sz w:val="20"/>
                <w:szCs w:val="20"/>
              </w:rPr>
              <w:t xml:space="preserve"> Kultury, Biblioteka Publiczna,</w:t>
            </w:r>
            <w:r w:rsidRPr="00716E17">
              <w:rPr>
                <w:sz w:val="20"/>
                <w:szCs w:val="20"/>
              </w:rPr>
              <w:t xml:space="preserve"> organizacje pozarządowe, </w:t>
            </w:r>
            <w:r w:rsidRPr="00716E17">
              <w:rPr>
                <w:bCs/>
                <w:sz w:val="20"/>
                <w:szCs w:val="20"/>
              </w:rPr>
              <w:t>mieszkańcy – osoby fizyczne</w:t>
            </w:r>
            <w:r w:rsidR="00327D56" w:rsidRPr="00716E17">
              <w:rPr>
                <w:bCs/>
                <w:sz w:val="20"/>
                <w:szCs w:val="20"/>
              </w:rPr>
              <w:t>, związki sportowe, Rady Osiedli</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0731E7" w:rsidRDefault="000731E7" w:rsidP="0098324A">
            <w:pPr>
              <w:spacing w:before="0"/>
              <w:ind w:firstLine="0"/>
              <w:rPr>
                <w:rFonts w:ascii="Calibri" w:hAnsi="Calibri" w:cs="Calibri"/>
                <w:b w:val="0"/>
                <w:color w:val="000000"/>
              </w:rPr>
            </w:pPr>
          </w:p>
        </w:tc>
        <w:tc>
          <w:tcPr>
            <w:tcW w:w="4394" w:type="dxa"/>
            <w:vAlign w:val="center"/>
          </w:tcPr>
          <w:p w:rsidR="000731E7" w:rsidRPr="00C612E6" w:rsidRDefault="000731E7"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C612E6">
              <w:rPr>
                <w:rFonts w:ascii="Calibri" w:hAnsi="Calibri" w:cs="Calibri"/>
                <w:color w:val="000000"/>
                <w:sz w:val="20"/>
                <w:szCs w:val="20"/>
              </w:rPr>
              <w:t>Projekty aktywizujące społeczność</w:t>
            </w:r>
            <w:r>
              <w:rPr>
                <w:rFonts w:ascii="Calibri" w:hAnsi="Calibri" w:cs="Calibri"/>
                <w:color w:val="000000"/>
                <w:sz w:val="20"/>
                <w:szCs w:val="20"/>
              </w:rPr>
              <w:t xml:space="preserve"> lokalną do współuczestnictwa w propagowaniu lokalnej kultury i </w:t>
            </w:r>
            <w:r w:rsidRPr="00C612E6">
              <w:rPr>
                <w:rFonts w:ascii="Calibri" w:hAnsi="Calibri" w:cs="Calibri"/>
                <w:color w:val="000000"/>
                <w:sz w:val="20"/>
                <w:szCs w:val="20"/>
              </w:rPr>
              <w:t>tradycji obszaru HOF</w:t>
            </w:r>
          </w:p>
        </w:tc>
        <w:tc>
          <w:tcPr>
            <w:tcW w:w="2977"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94592">
              <w:rPr>
                <w:rFonts w:ascii="Calibri" w:hAnsi="Calibri" w:cs="Calibri"/>
                <w:color w:val="000000"/>
                <w:sz w:val="20"/>
                <w:szCs w:val="20"/>
              </w:rPr>
              <w:t>Gmina Miejska Hrubieszów, Gmina Hrubieszów</w:t>
            </w:r>
            <w:r>
              <w:rPr>
                <w:rFonts w:ascii="Calibri" w:hAnsi="Calibri" w:cs="Calibri"/>
                <w:color w:val="000000"/>
                <w:sz w:val="20"/>
                <w:szCs w:val="20"/>
              </w:rPr>
              <w:t>,</w:t>
            </w:r>
          </w:p>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proofErr w:type="gramStart"/>
            <w:r w:rsidRPr="00512B11">
              <w:rPr>
                <w:rFonts w:ascii="Calibri" w:hAnsi="Calibri" w:cs="Calibri"/>
                <w:color w:val="000000"/>
                <w:sz w:val="20"/>
                <w:szCs w:val="20"/>
              </w:rPr>
              <w:t>organizacje</w:t>
            </w:r>
            <w:proofErr w:type="gramEnd"/>
            <w:r w:rsidRPr="00512B11">
              <w:rPr>
                <w:rFonts w:ascii="Calibri" w:hAnsi="Calibri" w:cs="Calibri"/>
                <w:color w:val="000000"/>
                <w:sz w:val="20"/>
                <w:szCs w:val="20"/>
              </w:rPr>
              <w:t xml:space="preserve"> pozarządowe,</w:t>
            </w:r>
          </w:p>
        </w:tc>
        <w:tc>
          <w:tcPr>
            <w:tcW w:w="2409" w:type="dxa"/>
            <w:vAlign w:val="center"/>
          </w:tcPr>
          <w:p w:rsidR="000731E7" w:rsidRPr="00794592"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 xml:space="preserve">GOK, Hrubieszowski Dom Kultury, Biblioteka Publiczna, HOSIR, organizacje pozarządowe, </w:t>
            </w:r>
            <w:r w:rsidRPr="00794592">
              <w:rPr>
                <w:bCs/>
                <w:sz w:val="20"/>
                <w:szCs w:val="20"/>
              </w:rPr>
              <w:t>mieszkańcy – osoby fizyczne</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DB1ADA" w:rsidRDefault="00DB1ADA" w:rsidP="000731E7">
      <w:pPr>
        <w:rPr>
          <w:b/>
        </w:rPr>
      </w:pPr>
    </w:p>
    <w:p w:rsidR="00DB1ADA" w:rsidRDefault="00DB1ADA" w:rsidP="000731E7">
      <w:pPr>
        <w:rPr>
          <w:b/>
        </w:rPr>
      </w:pPr>
    </w:p>
    <w:p w:rsidR="000731E7" w:rsidRDefault="000731E7" w:rsidP="000731E7">
      <w:pPr>
        <w:rPr>
          <w:b/>
        </w:rPr>
      </w:pPr>
      <w:r>
        <w:rPr>
          <w:b/>
        </w:rPr>
        <w:lastRenderedPageBreak/>
        <w:t xml:space="preserve">Cel operacyjny 1.6 </w:t>
      </w:r>
      <w:r w:rsidRPr="00B4757F">
        <w:rPr>
          <w:b/>
        </w:rPr>
        <w:t>Uporządkowana przestrzeń i bezpieczeństwo publiczne</w:t>
      </w:r>
    </w:p>
    <w:tbl>
      <w:tblPr>
        <w:tblStyle w:val="Jasnasiatkaakcent21"/>
        <w:tblW w:w="0" w:type="auto"/>
        <w:tblLook w:val="04A0" w:firstRow="1" w:lastRow="0" w:firstColumn="1" w:lastColumn="0" w:noHBand="0" w:noVBand="1"/>
      </w:tblPr>
      <w:tblGrid>
        <w:gridCol w:w="2802"/>
        <w:gridCol w:w="4394"/>
        <w:gridCol w:w="2977"/>
        <w:gridCol w:w="2409"/>
        <w:gridCol w:w="1418"/>
      </w:tblGrid>
      <w:tr w:rsidR="00712E71" w:rsidTr="00983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394"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977"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8"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647FAF" w:rsidRDefault="000731E7" w:rsidP="0098324A">
            <w:pPr>
              <w:spacing w:before="0"/>
              <w:ind w:firstLine="0"/>
              <w:jc w:val="left"/>
              <w:rPr>
                <w:rFonts w:ascii="Calibri" w:hAnsi="Calibri" w:cs="Calibri"/>
                <w:b w:val="0"/>
                <w:color w:val="000000"/>
                <w:sz w:val="20"/>
                <w:szCs w:val="20"/>
              </w:rPr>
            </w:pPr>
            <w:r w:rsidRPr="00647FAF">
              <w:rPr>
                <w:rFonts w:ascii="Calibri" w:hAnsi="Calibri" w:cs="Calibri"/>
                <w:b w:val="0"/>
                <w:color w:val="000000"/>
                <w:sz w:val="20"/>
                <w:szCs w:val="20"/>
              </w:rPr>
              <w:t>Rewitalizacja obszarów zdegradowanych lub zagrożonych t</w:t>
            </w:r>
            <w:r w:rsidR="00497645">
              <w:rPr>
                <w:rFonts w:ascii="Calibri" w:hAnsi="Calibri" w:cs="Calibri"/>
                <w:b w:val="0"/>
                <w:color w:val="000000"/>
                <w:sz w:val="20"/>
                <w:szCs w:val="20"/>
              </w:rPr>
              <w:t>rwałą</w:t>
            </w:r>
            <w:r w:rsidRPr="00647FAF">
              <w:rPr>
                <w:rFonts w:ascii="Calibri" w:hAnsi="Calibri" w:cs="Calibri"/>
                <w:b w:val="0"/>
                <w:color w:val="000000"/>
                <w:sz w:val="20"/>
                <w:szCs w:val="20"/>
              </w:rPr>
              <w:t xml:space="preserve"> marginalizacją lub wykluczeniem społecznym</w:t>
            </w:r>
          </w:p>
        </w:tc>
        <w:tc>
          <w:tcPr>
            <w:tcW w:w="4394" w:type="dxa"/>
            <w:vAlign w:val="center"/>
          </w:tcPr>
          <w:p w:rsidR="000731E7" w:rsidRPr="00647FAF" w:rsidRDefault="000731E7"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47FAF">
              <w:rPr>
                <w:rFonts w:ascii="Calibri" w:hAnsi="Calibri" w:cs="Calibri"/>
                <w:color w:val="000000"/>
                <w:sz w:val="20"/>
                <w:szCs w:val="20"/>
              </w:rPr>
              <w:t>Projekty w zakresie odnowy/rewitalizacji przestrzeni publicznych i obiektów użyteczności publicznej</w:t>
            </w:r>
          </w:p>
        </w:tc>
        <w:tc>
          <w:tcPr>
            <w:tcW w:w="2977"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16E17">
              <w:rPr>
                <w:rFonts w:ascii="Calibri" w:hAnsi="Calibri" w:cs="Calibri"/>
                <w:color w:val="000000"/>
                <w:sz w:val="20"/>
                <w:szCs w:val="20"/>
              </w:rPr>
              <w:t>Gmina Miejska Hrubieszów, Gmina Hrubieszów</w:t>
            </w:r>
          </w:p>
        </w:tc>
        <w:tc>
          <w:tcPr>
            <w:tcW w:w="2409"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16E17">
              <w:rPr>
                <w:sz w:val="20"/>
                <w:szCs w:val="20"/>
              </w:rPr>
              <w:t xml:space="preserve">Organizacje pozarządowe, przedsiębiorcy, </w:t>
            </w:r>
            <w:r w:rsidRPr="00716E17">
              <w:rPr>
                <w:bCs/>
                <w:sz w:val="20"/>
                <w:szCs w:val="20"/>
              </w:rPr>
              <w:t>mieszkańcy – osoby fizyczne</w:t>
            </w:r>
            <w:r w:rsidR="00173EB5" w:rsidRPr="00716E17">
              <w:rPr>
                <w:bCs/>
                <w:sz w:val="20"/>
                <w:szCs w:val="20"/>
              </w:rPr>
              <w:t>, Spółdzielnie i wspólnoty mieszkaniowe, Konserwator zabytków, Kościoły i związki wyznaniowe</w:t>
            </w:r>
          </w:p>
        </w:tc>
        <w:tc>
          <w:tcPr>
            <w:tcW w:w="1418"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716E17">
              <w:rPr>
                <w:rFonts w:ascii="Calibri" w:hAnsi="Calibri" w:cs="Calibri"/>
                <w:color w:val="000000"/>
                <w:sz w:val="20"/>
                <w:szCs w:val="20"/>
              </w:rPr>
              <w:t>2021 –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647FAF"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647FAF" w:rsidRDefault="000731E7"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647FAF">
              <w:rPr>
                <w:rFonts w:ascii="Calibri" w:hAnsi="Calibri" w:cs="Calibri"/>
                <w:color w:val="000000"/>
                <w:sz w:val="20"/>
                <w:szCs w:val="20"/>
              </w:rPr>
              <w:t>Projekty w zakresie rewitalizacji przes</w:t>
            </w:r>
            <w:r>
              <w:rPr>
                <w:rFonts w:ascii="Calibri" w:hAnsi="Calibri" w:cs="Calibri"/>
                <w:color w:val="000000"/>
                <w:sz w:val="20"/>
                <w:szCs w:val="20"/>
              </w:rPr>
              <w:t>trzeni i obiektów należących do </w:t>
            </w:r>
            <w:r w:rsidRPr="00647FAF">
              <w:rPr>
                <w:rFonts w:ascii="Calibri" w:hAnsi="Calibri" w:cs="Calibri"/>
                <w:color w:val="000000"/>
                <w:sz w:val="20"/>
                <w:szCs w:val="20"/>
              </w:rPr>
              <w:t>osób prywatnych</w:t>
            </w:r>
          </w:p>
        </w:tc>
        <w:tc>
          <w:tcPr>
            <w:tcW w:w="2977"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bCs/>
                <w:sz w:val="20"/>
                <w:szCs w:val="20"/>
              </w:rPr>
              <w:t xml:space="preserve">Mieszkańcy – osoby fizyczne, </w:t>
            </w:r>
            <w:r w:rsidRPr="00716E17">
              <w:rPr>
                <w:sz w:val="20"/>
                <w:szCs w:val="20"/>
              </w:rPr>
              <w:t>przedsiębiorcy,</w:t>
            </w:r>
            <w:r w:rsidR="0066644E" w:rsidRPr="00716E17">
              <w:rPr>
                <w:sz w:val="20"/>
                <w:szCs w:val="20"/>
              </w:rPr>
              <w:t xml:space="preserve"> Spółdzielnie i wspólnoty mieszkaniowe, Kościoły i związki wyznaniowe</w:t>
            </w:r>
          </w:p>
        </w:tc>
        <w:tc>
          <w:tcPr>
            <w:tcW w:w="2409" w:type="dxa"/>
            <w:vAlign w:val="center"/>
          </w:tcPr>
          <w:p w:rsidR="000731E7" w:rsidRPr="00716E17" w:rsidRDefault="000731E7" w:rsidP="0066644E">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rFonts w:ascii="Calibri" w:hAnsi="Calibri" w:cs="Calibri"/>
                <w:color w:val="000000"/>
                <w:sz w:val="20"/>
                <w:szCs w:val="20"/>
              </w:rPr>
              <w:t xml:space="preserve">Gmina Miejska Hrubieszów, Gmina Hrubieszów, </w:t>
            </w:r>
            <w:r w:rsidRPr="00716E17">
              <w:rPr>
                <w:sz w:val="20"/>
                <w:szCs w:val="20"/>
              </w:rPr>
              <w:t>organizacje pozarządowe</w:t>
            </w:r>
            <w:r w:rsidR="00173EB5" w:rsidRPr="00716E17">
              <w:rPr>
                <w:sz w:val="20"/>
                <w:szCs w:val="20"/>
              </w:rPr>
              <w:t xml:space="preserve">, Konserwator zabytków, </w:t>
            </w:r>
          </w:p>
        </w:tc>
        <w:tc>
          <w:tcPr>
            <w:tcW w:w="1418"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716E17">
              <w:rPr>
                <w:rFonts w:ascii="Calibri" w:hAnsi="Calibri" w:cs="Calibri"/>
                <w:color w:val="000000"/>
                <w:sz w:val="20"/>
                <w:szCs w:val="20"/>
              </w:rPr>
              <w:t>2021 –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647FAF"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647FAF" w:rsidRDefault="000731E7"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47FAF">
              <w:rPr>
                <w:rFonts w:ascii="Calibri" w:hAnsi="Calibri" w:cs="Calibri"/>
                <w:color w:val="000000"/>
                <w:sz w:val="20"/>
                <w:szCs w:val="20"/>
              </w:rPr>
              <w:t>Projekty społeczne i partnerskie integrujące społeczność lokalną wokół wyznaczonych celów i przedsięwzięć rewitalizacyjnych</w:t>
            </w:r>
          </w:p>
        </w:tc>
        <w:tc>
          <w:tcPr>
            <w:tcW w:w="2977"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16E17">
              <w:rPr>
                <w:sz w:val="20"/>
                <w:szCs w:val="20"/>
              </w:rPr>
              <w:t>Organizacje pozarządowe,</w:t>
            </w:r>
            <w:r w:rsidRPr="00716E17">
              <w:rPr>
                <w:bCs/>
                <w:sz w:val="20"/>
                <w:szCs w:val="20"/>
              </w:rPr>
              <w:t xml:space="preserve"> mieszkańcy – osoby fizyczne</w:t>
            </w:r>
          </w:p>
        </w:tc>
        <w:tc>
          <w:tcPr>
            <w:tcW w:w="2409"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16E17">
              <w:rPr>
                <w:rFonts w:ascii="Calibri" w:hAnsi="Calibri" w:cs="Calibri"/>
                <w:color w:val="000000"/>
                <w:sz w:val="20"/>
                <w:szCs w:val="20"/>
              </w:rPr>
              <w:t>Gmina Miejska Hrubieszów, Gmina Hrubieszów, przedsiębiorcy</w:t>
            </w:r>
          </w:p>
        </w:tc>
        <w:tc>
          <w:tcPr>
            <w:tcW w:w="1418"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716E17">
              <w:rPr>
                <w:rFonts w:ascii="Calibri" w:hAnsi="Calibri" w:cs="Calibri"/>
                <w:color w:val="000000"/>
                <w:sz w:val="20"/>
                <w:szCs w:val="20"/>
              </w:rPr>
              <w:t>2021 –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647FAF"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647FAF" w:rsidRDefault="000731E7"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Współpraca miasta i gminy ze środowiskiem urbanistów w </w:t>
            </w:r>
            <w:r w:rsidRPr="00647FAF">
              <w:rPr>
                <w:rFonts w:ascii="Calibri" w:hAnsi="Calibri" w:cs="Calibri"/>
                <w:color w:val="000000"/>
                <w:sz w:val="20"/>
                <w:szCs w:val="20"/>
              </w:rPr>
              <w:t>zakresie poszukiwania najlepszych rozwiązań rewitalizacji przestrzeni publicznych</w:t>
            </w:r>
          </w:p>
        </w:tc>
        <w:tc>
          <w:tcPr>
            <w:tcW w:w="2977"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rFonts w:ascii="Calibri" w:hAnsi="Calibri" w:cs="Calibri"/>
                <w:color w:val="000000"/>
                <w:sz w:val="20"/>
                <w:szCs w:val="20"/>
              </w:rPr>
              <w:t>Gmina Miejska Hrubieszów, Gmina Hrubieszów</w:t>
            </w:r>
          </w:p>
        </w:tc>
        <w:tc>
          <w:tcPr>
            <w:tcW w:w="2409"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Przedsiębiorcy, planiści</w:t>
            </w:r>
            <w:r w:rsidR="00173EB5" w:rsidRPr="00716E17">
              <w:rPr>
                <w:rFonts w:ascii="Calibri" w:hAnsi="Calibri" w:cs="Calibri"/>
                <w:color w:val="000000"/>
                <w:sz w:val="20"/>
                <w:szCs w:val="20"/>
              </w:rPr>
              <w:t>, Konserwator zabytków</w:t>
            </w:r>
          </w:p>
        </w:tc>
        <w:tc>
          <w:tcPr>
            <w:tcW w:w="1418"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716E17">
              <w:rPr>
                <w:rFonts w:ascii="Calibri" w:hAnsi="Calibri" w:cs="Calibri"/>
                <w:color w:val="000000"/>
                <w:sz w:val="20"/>
                <w:szCs w:val="20"/>
              </w:rPr>
              <w:t>2021 –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FFFFF" w:themeFill="background1"/>
            <w:vAlign w:val="center"/>
          </w:tcPr>
          <w:p w:rsidR="000731E7" w:rsidRPr="00647FAF" w:rsidRDefault="000731E7" w:rsidP="0098324A">
            <w:pPr>
              <w:spacing w:before="0"/>
              <w:ind w:firstLine="0"/>
              <w:jc w:val="left"/>
              <w:rPr>
                <w:rFonts w:ascii="Calibri" w:hAnsi="Calibri" w:cs="Calibri"/>
                <w:b w:val="0"/>
                <w:color w:val="000000"/>
                <w:sz w:val="20"/>
                <w:szCs w:val="20"/>
              </w:rPr>
            </w:pPr>
            <w:r w:rsidRPr="00647FAF">
              <w:rPr>
                <w:rFonts w:ascii="Calibri" w:hAnsi="Calibri" w:cs="Calibri"/>
                <w:b w:val="0"/>
                <w:color w:val="000000"/>
                <w:sz w:val="20"/>
                <w:szCs w:val="20"/>
              </w:rPr>
              <w:t>Poprawa bezpieczeństwa na</w:t>
            </w:r>
            <w:r>
              <w:rPr>
                <w:rFonts w:ascii="Calibri" w:hAnsi="Calibri" w:cs="Calibri"/>
                <w:b w:val="0"/>
                <w:color w:val="000000"/>
                <w:sz w:val="20"/>
                <w:szCs w:val="20"/>
              </w:rPr>
              <w:t> </w:t>
            </w:r>
            <w:r w:rsidRPr="00647FAF">
              <w:rPr>
                <w:rFonts w:ascii="Calibri" w:hAnsi="Calibri" w:cs="Calibri"/>
                <w:b w:val="0"/>
                <w:color w:val="000000"/>
                <w:sz w:val="20"/>
                <w:szCs w:val="20"/>
              </w:rPr>
              <w:t>drogach publicznych</w:t>
            </w:r>
          </w:p>
        </w:tc>
        <w:tc>
          <w:tcPr>
            <w:tcW w:w="4394" w:type="dxa"/>
            <w:vAlign w:val="center"/>
          </w:tcPr>
          <w:p w:rsidR="000731E7" w:rsidRPr="00647FAF" w:rsidRDefault="000731E7"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47FAF">
              <w:rPr>
                <w:rFonts w:ascii="Calibri" w:hAnsi="Calibri" w:cs="Calibri"/>
                <w:color w:val="000000"/>
                <w:sz w:val="20"/>
                <w:szCs w:val="20"/>
              </w:rPr>
              <w:t xml:space="preserve">Przedsięwzięcia inwestycyjne </w:t>
            </w:r>
            <w:r>
              <w:rPr>
                <w:rFonts w:ascii="Calibri" w:hAnsi="Calibri" w:cs="Calibri"/>
                <w:color w:val="000000"/>
                <w:sz w:val="20"/>
                <w:szCs w:val="20"/>
              </w:rPr>
              <w:t>poprawiające bezpieczeństwo na </w:t>
            </w:r>
            <w:r w:rsidRPr="00647FAF">
              <w:rPr>
                <w:rFonts w:ascii="Calibri" w:hAnsi="Calibri" w:cs="Calibri"/>
                <w:color w:val="000000"/>
                <w:sz w:val="20"/>
                <w:szCs w:val="20"/>
              </w:rPr>
              <w:t>drogach (chodniki, przejścia dla pieszych, oświetlenie uliczne itp.)</w:t>
            </w:r>
          </w:p>
        </w:tc>
        <w:tc>
          <w:tcPr>
            <w:tcW w:w="2977" w:type="dxa"/>
            <w:vAlign w:val="center"/>
          </w:tcPr>
          <w:p w:rsidR="000731E7" w:rsidRPr="00E50733"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Gmina Miejska Hrubieszów, Gmina Hrubieszów</w:t>
            </w:r>
          </w:p>
        </w:tc>
        <w:tc>
          <w:tcPr>
            <w:tcW w:w="2409" w:type="dxa"/>
            <w:vAlign w:val="center"/>
          </w:tcPr>
          <w:p w:rsidR="000731E7" w:rsidRPr="00E50733"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E50733">
              <w:rPr>
                <w:sz w:val="20"/>
                <w:szCs w:val="20"/>
              </w:rPr>
              <w:t>Zarządy dróg powiatowych, wojewódzkich i krajowych oraz sąsiednie JST</w:t>
            </w:r>
            <w:r w:rsidR="00173EB5">
              <w:rPr>
                <w:sz w:val="20"/>
                <w:szCs w:val="20"/>
              </w:rPr>
              <w:t>, organizacje pozarządowe, Służby mundurowe odpowiadające za bezpieczeństwo</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vAlign w:val="center"/>
          </w:tcPr>
          <w:p w:rsidR="000731E7" w:rsidRPr="00647FAF"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647FAF" w:rsidRDefault="000731E7"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647FAF">
              <w:rPr>
                <w:rFonts w:ascii="Calibri" w:hAnsi="Calibri" w:cs="Calibri"/>
                <w:color w:val="000000"/>
                <w:sz w:val="20"/>
                <w:szCs w:val="20"/>
              </w:rPr>
              <w:t xml:space="preserve">Projekty zwiększające świadomość mieszkańców w zakresie zasad bezpieczeństwa na drogach </w:t>
            </w:r>
            <w:r w:rsidRPr="00647FAF">
              <w:rPr>
                <w:rFonts w:ascii="Calibri" w:hAnsi="Calibri" w:cs="Calibri"/>
                <w:color w:val="000000"/>
                <w:sz w:val="20"/>
                <w:szCs w:val="20"/>
              </w:rPr>
              <w:lastRenderedPageBreak/>
              <w:t>(nadmierna prędkość, jazda po alkoholu/</w:t>
            </w:r>
            <w:r>
              <w:rPr>
                <w:rFonts w:ascii="Calibri" w:hAnsi="Calibri" w:cs="Calibri"/>
                <w:color w:val="000000"/>
                <w:sz w:val="20"/>
                <w:szCs w:val="20"/>
              </w:rPr>
              <w:t xml:space="preserve"> </w:t>
            </w:r>
            <w:r w:rsidRPr="00647FAF">
              <w:rPr>
                <w:rFonts w:ascii="Calibri" w:hAnsi="Calibri" w:cs="Calibri"/>
                <w:color w:val="000000"/>
                <w:sz w:val="20"/>
                <w:szCs w:val="20"/>
              </w:rPr>
              <w:t xml:space="preserve">narkotykach, bezpieczne przechodzenie przez drogę itp.). </w:t>
            </w:r>
          </w:p>
        </w:tc>
        <w:tc>
          <w:tcPr>
            <w:tcW w:w="2977" w:type="dxa"/>
            <w:vAlign w:val="center"/>
          </w:tcPr>
          <w:p w:rsidR="000731E7" w:rsidRPr="00E50733"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lastRenderedPageBreak/>
              <w:t>Gmina Miejska Hrubieszów, Gmina Hrubieszów</w:t>
            </w:r>
          </w:p>
        </w:tc>
        <w:tc>
          <w:tcPr>
            <w:tcW w:w="2409" w:type="dxa"/>
            <w:vAlign w:val="center"/>
          </w:tcPr>
          <w:p w:rsidR="000731E7" w:rsidRPr="00E50733"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E50733">
              <w:rPr>
                <w:sz w:val="20"/>
                <w:szCs w:val="20"/>
              </w:rPr>
              <w:t xml:space="preserve">Powiatowa Komenda Policji, stowarzyszenia, </w:t>
            </w:r>
            <w:r w:rsidRPr="00E50733">
              <w:rPr>
                <w:sz w:val="20"/>
                <w:szCs w:val="20"/>
              </w:rPr>
              <w:lastRenderedPageBreak/>
              <w:t>szkoły, przedszkola</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3C5FD1"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3C5FD1" w:rsidRPr="00647FAF" w:rsidRDefault="003C5FD1" w:rsidP="0098324A">
            <w:pPr>
              <w:spacing w:before="0"/>
              <w:ind w:firstLine="0"/>
              <w:jc w:val="left"/>
              <w:rPr>
                <w:rFonts w:ascii="Calibri" w:hAnsi="Calibri" w:cs="Calibri"/>
                <w:b w:val="0"/>
                <w:color w:val="000000"/>
                <w:sz w:val="20"/>
                <w:szCs w:val="20"/>
              </w:rPr>
            </w:pPr>
            <w:r w:rsidRPr="00647FAF">
              <w:rPr>
                <w:rFonts w:ascii="Calibri" w:hAnsi="Calibri" w:cs="Calibri"/>
                <w:b w:val="0"/>
                <w:color w:val="000000"/>
                <w:sz w:val="20"/>
                <w:szCs w:val="20"/>
              </w:rPr>
              <w:lastRenderedPageBreak/>
              <w:t>Poprawa bezpieczeństwa osobistego mieszkańców i ich mienia</w:t>
            </w:r>
          </w:p>
        </w:tc>
        <w:tc>
          <w:tcPr>
            <w:tcW w:w="4394" w:type="dxa"/>
            <w:vAlign w:val="center"/>
          </w:tcPr>
          <w:p w:rsidR="003C5FD1" w:rsidRPr="00647FAF" w:rsidRDefault="003C5FD1" w:rsidP="003C5FD1">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47FAF">
              <w:rPr>
                <w:rFonts w:ascii="Calibri" w:hAnsi="Calibri" w:cs="Calibri"/>
                <w:color w:val="000000"/>
                <w:sz w:val="20"/>
                <w:szCs w:val="20"/>
              </w:rPr>
              <w:t>Projekty związane z remontami budyn</w:t>
            </w:r>
            <w:r>
              <w:rPr>
                <w:rFonts w:ascii="Calibri" w:hAnsi="Calibri" w:cs="Calibri"/>
                <w:color w:val="000000"/>
                <w:sz w:val="20"/>
                <w:szCs w:val="20"/>
              </w:rPr>
              <w:t>ków oraz doposażeniem policji, Straży Miejskiej oraz służb mundurowych, w tym </w:t>
            </w:r>
            <w:r w:rsidRPr="00647FAF">
              <w:rPr>
                <w:rFonts w:ascii="Calibri" w:hAnsi="Calibri" w:cs="Calibri"/>
                <w:color w:val="000000"/>
                <w:sz w:val="20"/>
                <w:szCs w:val="20"/>
              </w:rPr>
              <w:t>straż</w:t>
            </w:r>
            <w:r>
              <w:rPr>
                <w:rFonts w:ascii="Calibri" w:hAnsi="Calibri" w:cs="Calibri"/>
                <w:color w:val="000000"/>
                <w:sz w:val="20"/>
                <w:szCs w:val="20"/>
              </w:rPr>
              <w:t>y pożarnej w niezbędny sprzęt i </w:t>
            </w:r>
            <w:r w:rsidRPr="00647FAF">
              <w:rPr>
                <w:rFonts w:ascii="Calibri" w:hAnsi="Calibri" w:cs="Calibri"/>
                <w:color w:val="000000"/>
                <w:sz w:val="20"/>
                <w:szCs w:val="20"/>
              </w:rPr>
              <w:t>urządzenia pozwalające na wysoką sprawność tych służb w walce zagrożeniami bezpieczeństwa</w:t>
            </w:r>
          </w:p>
        </w:tc>
        <w:tc>
          <w:tcPr>
            <w:tcW w:w="2977" w:type="dxa"/>
            <w:vAlign w:val="center"/>
          </w:tcPr>
          <w:p w:rsidR="003C5FD1" w:rsidRPr="00E50733" w:rsidRDefault="003C5FD1"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Gmina Miejska Hrubieszów, Gmina Hrubieszów</w:t>
            </w:r>
          </w:p>
        </w:tc>
        <w:tc>
          <w:tcPr>
            <w:tcW w:w="2409" w:type="dxa"/>
            <w:vAlign w:val="center"/>
          </w:tcPr>
          <w:p w:rsidR="003C5FD1" w:rsidRPr="00E50733" w:rsidRDefault="003C5FD1"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E50733">
              <w:rPr>
                <w:sz w:val="20"/>
                <w:szCs w:val="20"/>
              </w:rPr>
              <w:t xml:space="preserve">Powiatowa Komenda Policji, </w:t>
            </w:r>
            <w:r w:rsidRPr="00E50733">
              <w:rPr>
                <w:rFonts w:cs="Times New Roman"/>
                <w:sz w:val="20"/>
                <w:szCs w:val="20"/>
              </w:rPr>
              <w:t>Komenda Powiatowa Państwowej Straży Pożarnej w Hrubieszowie,</w:t>
            </w:r>
            <w:r w:rsidRPr="00E50733">
              <w:rPr>
                <w:sz w:val="20"/>
                <w:szCs w:val="20"/>
              </w:rPr>
              <w:t xml:space="preserve"> OSP</w:t>
            </w:r>
          </w:p>
        </w:tc>
        <w:tc>
          <w:tcPr>
            <w:tcW w:w="1418" w:type="dxa"/>
            <w:vAlign w:val="center"/>
          </w:tcPr>
          <w:p w:rsidR="003C5FD1" w:rsidRDefault="003C5FD1"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3C5FD1"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3C5FD1" w:rsidRDefault="003C5FD1" w:rsidP="0098324A">
            <w:pPr>
              <w:spacing w:before="0"/>
              <w:ind w:firstLine="0"/>
              <w:rPr>
                <w:rFonts w:ascii="Calibri" w:hAnsi="Calibri" w:cs="Calibri"/>
                <w:b w:val="0"/>
                <w:color w:val="000000"/>
              </w:rPr>
            </w:pPr>
          </w:p>
        </w:tc>
        <w:tc>
          <w:tcPr>
            <w:tcW w:w="4394" w:type="dxa"/>
            <w:vAlign w:val="center"/>
          </w:tcPr>
          <w:p w:rsidR="003C5FD1" w:rsidRPr="00647FAF" w:rsidRDefault="003C5FD1"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647FAF">
              <w:rPr>
                <w:rFonts w:ascii="Calibri" w:hAnsi="Calibri" w:cs="Calibri"/>
                <w:color w:val="000000"/>
                <w:sz w:val="20"/>
                <w:szCs w:val="20"/>
              </w:rPr>
              <w:t xml:space="preserve">Bliska współpraca służb mundurowych z władzami lokalnymi w zakresie monitorowania poziomu bezpieczeństwa i przeciwdziałania jego zagrożeniom </w:t>
            </w:r>
          </w:p>
        </w:tc>
        <w:tc>
          <w:tcPr>
            <w:tcW w:w="2977" w:type="dxa"/>
            <w:vAlign w:val="center"/>
          </w:tcPr>
          <w:p w:rsidR="003C5FD1" w:rsidRPr="00716E17" w:rsidRDefault="003C5FD1"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rFonts w:ascii="Calibri" w:hAnsi="Calibri" w:cs="Calibri"/>
                <w:color w:val="000000"/>
                <w:sz w:val="20"/>
                <w:szCs w:val="20"/>
              </w:rPr>
              <w:t>Gmina Miejska Hrubieszów, Gmina Hrubieszów</w:t>
            </w:r>
          </w:p>
        </w:tc>
        <w:tc>
          <w:tcPr>
            <w:tcW w:w="2409" w:type="dxa"/>
            <w:vAlign w:val="center"/>
          </w:tcPr>
          <w:p w:rsidR="003C5FD1" w:rsidRPr="00716E17" w:rsidRDefault="003C5FD1"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sz w:val="20"/>
                <w:szCs w:val="20"/>
              </w:rPr>
              <w:t xml:space="preserve">Powiatowa Komenda Policji, </w:t>
            </w:r>
            <w:r w:rsidRPr="00716E17">
              <w:rPr>
                <w:rFonts w:cs="Times New Roman"/>
                <w:sz w:val="20"/>
                <w:szCs w:val="20"/>
              </w:rPr>
              <w:t>Komenda Powiatowa Państwowej Straży Pożarnej w Hrubieszowie,</w:t>
            </w:r>
            <w:r w:rsidRPr="00716E17">
              <w:rPr>
                <w:sz w:val="20"/>
                <w:szCs w:val="20"/>
              </w:rPr>
              <w:t xml:space="preserve"> OSP, </w:t>
            </w:r>
            <w:r w:rsidRPr="00716E17">
              <w:rPr>
                <w:rFonts w:cs="Times New Roman"/>
                <w:sz w:val="20"/>
                <w:szCs w:val="20"/>
              </w:rPr>
              <w:t>Straż Miejska,</w:t>
            </w:r>
            <w:r w:rsidRPr="00716E17">
              <w:rPr>
                <w:sz w:val="20"/>
                <w:szCs w:val="20"/>
              </w:rPr>
              <w:t xml:space="preserve"> </w:t>
            </w:r>
            <w:r w:rsidRPr="00716E17">
              <w:rPr>
                <w:rFonts w:cs="Times New Roman"/>
                <w:sz w:val="20"/>
                <w:szCs w:val="20"/>
              </w:rPr>
              <w:t>Placówka Straży Granicznej w Hrubieszowie oraz</w:t>
            </w:r>
            <w:r w:rsidRPr="00716E17">
              <w:rPr>
                <w:sz w:val="20"/>
                <w:szCs w:val="20"/>
              </w:rPr>
              <w:t xml:space="preserve"> Wojsko Polskie w Hrubieszowie</w:t>
            </w:r>
            <w:r w:rsidR="0066644E" w:rsidRPr="00716E17">
              <w:rPr>
                <w:sz w:val="20"/>
                <w:szCs w:val="20"/>
              </w:rPr>
              <w:t>, Zakład Karny, Lasy Państwowe, Urząd Celno-Skarbowy</w:t>
            </w:r>
          </w:p>
        </w:tc>
        <w:tc>
          <w:tcPr>
            <w:tcW w:w="1418" w:type="dxa"/>
            <w:vAlign w:val="center"/>
          </w:tcPr>
          <w:p w:rsidR="003C5FD1" w:rsidRDefault="003C5FD1"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3C5FD1"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3C5FD1" w:rsidRDefault="003C5FD1" w:rsidP="0098324A">
            <w:pPr>
              <w:spacing w:before="0"/>
              <w:ind w:firstLine="0"/>
              <w:rPr>
                <w:rFonts w:ascii="Calibri" w:hAnsi="Calibri" w:cs="Calibri"/>
                <w:b w:val="0"/>
                <w:color w:val="000000"/>
              </w:rPr>
            </w:pPr>
          </w:p>
        </w:tc>
        <w:tc>
          <w:tcPr>
            <w:tcW w:w="4394" w:type="dxa"/>
            <w:vAlign w:val="center"/>
          </w:tcPr>
          <w:p w:rsidR="003C5FD1" w:rsidRPr="00716E17" w:rsidRDefault="003C5FD1"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Projekty związane ze szkoleniami służb mundurowych</w:t>
            </w:r>
          </w:p>
        </w:tc>
        <w:tc>
          <w:tcPr>
            <w:tcW w:w="2977" w:type="dxa"/>
            <w:vAlign w:val="center"/>
          </w:tcPr>
          <w:p w:rsidR="003C5FD1" w:rsidRPr="00716E17" w:rsidRDefault="003C5FD1"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Gmina Miejska Hrubieszów, Gmina Hrubieszów</w:t>
            </w:r>
            <w:r w:rsidR="0066644E" w:rsidRPr="00716E17">
              <w:rPr>
                <w:rFonts w:ascii="Calibri" w:hAnsi="Calibri" w:cs="Calibri"/>
                <w:color w:val="000000"/>
                <w:sz w:val="20"/>
                <w:szCs w:val="20"/>
              </w:rPr>
              <w:t>, Służby mundurowe</w:t>
            </w:r>
          </w:p>
        </w:tc>
        <w:tc>
          <w:tcPr>
            <w:tcW w:w="2409" w:type="dxa"/>
            <w:vAlign w:val="center"/>
          </w:tcPr>
          <w:p w:rsidR="003C5FD1" w:rsidRPr="00716E17" w:rsidRDefault="0066644E"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16E17">
              <w:rPr>
                <w:sz w:val="20"/>
                <w:szCs w:val="20"/>
              </w:rPr>
              <w:t>-</w:t>
            </w:r>
          </w:p>
        </w:tc>
        <w:tc>
          <w:tcPr>
            <w:tcW w:w="1418" w:type="dxa"/>
            <w:vAlign w:val="center"/>
          </w:tcPr>
          <w:p w:rsidR="003C5FD1" w:rsidRPr="00716E17" w:rsidRDefault="003C5FD1"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2021 – 2030</w:t>
            </w:r>
          </w:p>
        </w:tc>
      </w:tr>
    </w:tbl>
    <w:p w:rsidR="000731E7" w:rsidRDefault="000731E7" w:rsidP="000731E7">
      <w:pPr>
        <w:rPr>
          <w:b/>
        </w:rPr>
      </w:pPr>
      <w:r>
        <w:rPr>
          <w:b/>
        </w:rPr>
        <w:t xml:space="preserve">Cel operacyjny 1.7 </w:t>
      </w:r>
      <w:r w:rsidRPr="00B4757F">
        <w:rPr>
          <w:b/>
        </w:rPr>
        <w:t>Integracja społeczna i aktywna polityka senioralna</w:t>
      </w:r>
    </w:p>
    <w:tbl>
      <w:tblPr>
        <w:tblStyle w:val="Jasnasiatkaakcent21"/>
        <w:tblW w:w="0" w:type="auto"/>
        <w:tblLook w:val="04A0" w:firstRow="1" w:lastRow="0" w:firstColumn="1" w:lastColumn="0" w:noHBand="0" w:noVBand="1"/>
      </w:tblPr>
      <w:tblGrid>
        <w:gridCol w:w="2802"/>
        <w:gridCol w:w="4394"/>
        <w:gridCol w:w="2977"/>
        <w:gridCol w:w="2409"/>
        <w:gridCol w:w="1418"/>
      </w:tblGrid>
      <w:tr w:rsidR="00712E71" w:rsidTr="00983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394"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977"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8"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335AE0" w:rsidRDefault="000731E7" w:rsidP="0098324A">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Integracja społeczna i </w:t>
            </w:r>
            <w:r w:rsidRPr="00335AE0">
              <w:rPr>
                <w:rFonts w:ascii="Calibri" w:hAnsi="Calibri" w:cs="Calibri"/>
                <w:b w:val="0"/>
                <w:color w:val="000000"/>
                <w:sz w:val="20"/>
                <w:szCs w:val="20"/>
              </w:rPr>
              <w:t xml:space="preserve">zawodowa osób wykluczonych, w tym osób </w:t>
            </w:r>
            <w:r w:rsidR="00D066E8" w:rsidRPr="00D066E8">
              <w:rPr>
                <w:rFonts w:ascii="Calibri" w:hAnsi="Calibri" w:cs="Calibri"/>
                <w:b w:val="0"/>
                <w:color w:val="000000"/>
                <w:sz w:val="20"/>
                <w:szCs w:val="20"/>
              </w:rPr>
              <w:t>z niepełnosprawnościami</w:t>
            </w:r>
          </w:p>
        </w:tc>
        <w:tc>
          <w:tcPr>
            <w:tcW w:w="4394" w:type="dxa"/>
            <w:vAlign w:val="center"/>
          </w:tcPr>
          <w:p w:rsidR="000731E7" w:rsidRPr="00335AE0" w:rsidRDefault="000731E7"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335AE0">
              <w:rPr>
                <w:rFonts w:ascii="Calibri" w:hAnsi="Calibri" w:cs="Calibri"/>
                <w:color w:val="000000"/>
                <w:sz w:val="20"/>
                <w:szCs w:val="20"/>
              </w:rPr>
              <w:t xml:space="preserve">Likwidacja barier architektonicznych oraz poprawa dostępności osób </w:t>
            </w:r>
            <w:r w:rsidR="00D066E8" w:rsidRPr="00D066E8">
              <w:rPr>
                <w:rFonts w:ascii="Calibri" w:hAnsi="Calibri" w:cs="Calibri"/>
                <w:color w:val="000000"/>
                <w:sz w:val="20"/>
                <w:szCs w:val="20"/>
              </w:rPr>
              <w:t>z niepełnosprawnościami</w:t>
            </w:r>
            <w:r w:rsidRPr="00335AE0">
              <w:rPr>
                <w:rFonts w:ascii="Calibri" w:hAnsi="Calibri" w:cs="Calibri"/>
                <w:color w:val="000000"/>
                <w:sz w:val="20"/>
                <w:szCs w:val="20"/>
              </w:rPr>
              <w:t xml:space="preserve"> do obiektów użyteczności publicznej</w:t>
            </w:r>
          </w:p>
        </w:tc>
        <w:tc>
          <w:tcPr>
            <w:tcW w:w="2977" w:type="dxa"/>
            <w:vAlign w:val="center"/>
          </w:tcPr>
          <w:p w:rsidR="000731E7" w:rsidRPr="00E50733"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Gmina Miejska Hrubieszów, Gmina Hrubieszów</w:t>
            </w:r>
          </w:p>
        </w:tc>
        <w:tc>
          <w:tcPr>
            <w:tcW w:w="2409" w:type="dxa"/>
            <w:vAlign w:val="center"/>
          </w:tcPr>
          <w:p w:rsidR="000731E7" w:rsidRPr="00E50733"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PCPR,</w:t>
            </w:r>
            <w:r w:rsidRPr="00E50733">
              <w:rPr>
                <w:rFonts w:ascii="Calibri" w:hAnsi="Calibri" w:cs="Calibri"/>
                <w:b/>
                <w:color w:val="000000"/>
                <w:sz w:val="20"/>
                <w:szCs w:val="20"/>
              </w:rPr>
              <w:t xml:space="preserve"> </w:t>
            </w:r>
            <w:r>
              <w:rPr>
                <w:sz w:val="20"/>
                <w:szCs w:val="20"/>
              </w:rPr>
              <w:t>GOPS /</w:t>
            </w:r>
            <w:r w:rsidRPr="00E50733">
              <w:rPr>
                <w:sz w:val="20"/>
                <w:szCs w:val="20"/>
              </w:rPr>
              <w:t xml:space="preserve"> MOPS</w:t>
            </w:r>
            <w:r w:rsidR="0066644E">
              <w:rPr>
                <w:sz w:val="20"/>
                <w:szCs w:val="20"/>
              </w:rPr>
              <w:t xml:space="preserve">, </w:t>
            </w:r>
            <w:r w:rsidR="0066644E" w:rsidRPr="00716E17">
              <w:rPr>
                <w:sz w:val="20"/>
                <w:szCs w:val="20"/>
              </w:rPr>
              <w:t>organizacje pozarządowe</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335AE0"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335AE0" w:rsidRDefault="000731E7"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335AE0">
              <w:rPr>
                <w:rFonts w:ascii="Calibri" w:hAnsi="Calibri" w:cs="Calibri"/>
                <w:color w:val="000000"/>
                <w:sz w:val="20"/>
                <w:szCs w:val="20"/>
              </w:rPr>
              <w:t xml:space="preserve">Rozwój i doskonalenie różnych form i narzędzi integracji społecznej i zawodowej osób </w:t>
            </w:r>
            <w:r w:rsidR="00D066E8" w:rsidRPr="00D066E8">
              <w:rPr>
                <w:rFonts w:ascii="Calibri" w:hAnsi="Calibri" w:cs="Calibri"/>
                <w:color w:val="000000"/>
                <w:sz w:val="20"/>
                <w:szCs w:val="20"/>
              </w:rPr>
              <w:t xml:space="preserve">z </w:t>
            </w:r>
            <w:r w:rsidR="00D066E8" w:rsidRPr="00D066E8">
              <w:rPr>
                <w:rFonts w:ascii="Calibri" w:hAnsi="Calibri" w:cs="Calibri"/>
                <w:color w:val="000000"/>
                <w:sz w:val="20"/>
                <w:szCs w:val="20"/>
              </w:rPr>
              <w:lastRenderedPageBreak/>
              <w:t>niepełnosprawnościami</w:t>
            </w:r>
            <w:r w:rsidRPr="00335AE0">
              <w:rPr>
                <w:rFonts w:ascii="Calibri" w:hAnsi="Calibri" w:cs="Calibri"/>
                <w:color w:val="000000"/>
                <w:sz w:val="20"/>
                <w:szCs w:val="20"/>
              </w:rPr>
              <w:t xml:space="preserve"> (w bliskiej współpracy z działającymi ośrodkami wsparcia (np. środowiskowe domy samopomocy, zakłady opiekuńczo-lecznicze, domy pomocy społecznej itp.). </w:t>
            </w:r>
          </w:p>
        </w:tc>
        <w:tc>
          <w:tcPr>
            <w:tcW w:w="2977" w:type="dxa"/>
            <w:vAlign w:val="center"/>
          </w:tcPr>
          <w:p w:rsidR="000731E7" w:rsidRPr="00E50733"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lastRenderedPageBreak/>
              <w:t>Gmina Miejska Hrubieszów, Gmina Hrubieszów</w:t>
            </w:r>
          </w:p>
        </w:tc>
        <w:tc>
          <w:tcPr>
            <w:tcW w:w="2409" w:type="dxa"/>
            <w:vAlign w:val="center"/>
          </w:tcPr>
          <w:p w:rsidR="000731E7" w:rsidRPr="00E50733"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Pr>
                <w:sz w:val="20"/>
                <w:szCs w:val="20"/>
              </w:rPr>
              <w:t>PCPR, MOPS /GOPS</w:t>
            </w:r>
            <w:r w:rsidRPr="00E50733">
              <w:rPr>
                <w:sz w:val="20"/>
                <w:szCs w:val="20"/>
              </w:rPr>
              <w:t>,</w:t>
            </w:r>
            <w:r>
              <w:rPr>
                <w:sz w:val="20"/>
                <w:szCs w:val="20"/>
              </w:rPr>
              <w:t xml:space="preserve"> </w:t>
            </w:r>
            <w:r w:rsidRPr="00794592">
              <w:rPr>
                <w:sz w:val="20"/>
                <w:szCs w:val="20"/>
              </w:rPr>
              <w:t xml:space="preserve">Hrubieszowski Dom </w:t>
            </w:r>
            <w:r w:rsidRPr="00794592">
              <w:rPr>
                <w:sz w:val="20"/>
                <w:szCs w:val="20"/>
              </w:rPr>
              <w:lastRenderedPageBreak/>
              <w:t>Kultury</w:t>
            </w:r>
            <w:r>
              <w:rPr>
                <w:sz w:val="20"/>
                <w:szCs w:val="20"/>
              </w:rPr>
              <w:t>,</w:t>
            </w:r>
            <w:r w:rsidRPr="00E50733">
              <w:rPr>
                <w:sz w:val="20"/>
                <w:szCs w:val="20"/>
              </w:rPr>
              <w:t xml:space="preserve"> </w:t>
            </w:r>
            <w:r>
              <w:rPr>
                <w:sz w:val="20"/>
                <w:szCs w:val="20"/>
              </w:rPr>
              <w:t xml:space="preserve">GOK, </w:t>
            </w:r>
            <w:r w:rsidRPr="00E50733">
              <w:rPr>
                <w:sz w:val="20"/>
                <w:szCs w:val="20"/>
              </w:rPr>
              <w:t>inne samorządy, organizacje pozarządowe</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335AE0"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335AE0" w:rsidRDefault="000731E7"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335AE0">
              <w:rPr>
                <w:rFonts w:ascii="Calibri" w:hAnsi="Calibri" w:cs="Calibri"/>
                <w:color w:val="000000"/>
                <w:sz w:val="20"/>
                <w:szCs w:val="20"/>
              </w:rPr>
              <w:t>Rozwój podmiotów ekonomii społecznej</w:t>
            </w:r>
            <w:r>
              <w:rPr>
                <w:rFonts w:ascii="Calibri" w:hAnsi="Calibri" w:cs="Calibri"/>
                <w:color w:val="000000"/>
                <w:sz w:val="20"/>
                <w:szCs w:val="20"/>
              </w:rPr>
              <w:t>,</w:t>
            </w:r>
            <w:r w:rsidRPr="00335AE0">
              <w:rPr>
                <w:rFonts w:ascii="Calibri" w:hAnsi="Calibri" w:cs="Calibri"/>
                <w:color w:val="000000"/>
                <w:sz w:val="20"/>
                <w:szCs w:val="20"/>
              </w:rPr>
              <w:t xml:space="preserve"> jako szczególnej formy aktywizacji zawodowej i integracji społecznej osób wykluczonych</w:t>
            </w:r>
          </w:p>
        </w:tc>
        <w:tc>
          <w:tcPr>
            <w:tcW w:w="2977" w:type="dxa"/>
            <w:vAlign w:val="center"/>
          </w:tcPr>
          <w:p w:rsidR="000731E7" w:rsidRPr="00E50733"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Gmina Miejska Hrubieszów, Gmina Hrubieszów</w:t>
            </w:r>
          </w:p>
        </w:tc>
        <w:tc>
          <w:tcPr>
            <w:tcW w:w="2409"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16E17">
              <w:rPr>
                <w:sz w:val="20"/>
                <w:szCs w:val="20"/>
              </w:rPr>
              <w:t>Organizacje pozarządowe, inne samorządy</w:t>
            </w:r>
            <w:r w:rsidR="0066644E" w:rsidRPr="00716E17">
              <w:rPr>
                <w:sz w:val="20"/>
                <w:szCs w:val="20"/>
              </w:rPr>
              <w:t>, MOPS</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3B0580" w:rsidRDefault="000731E7" w:rsidP="0098324A">
            <w:pPr>
              <w:spacing w:before="0"/>
              <w:ind w:firstLine="0"/>
              <w:jc w:val="left"/>
              <w:rPr>
                <w:rFonts w:ascii="Calibri" w:hAnsi="Calibri" w:cs="Calibri"/>
                <w:b w:val="0"/>
                <w:bCs w:val="0"/>
                <w:color w:val="000000"/>
                <w:sz w:val="20"/>
                <w:szCs w:val="20"/>
              </w:rPr>
            </w:pPr>
            <w:r w:rsidRPr="00335AE0">
              <w:rPr>
                <w:rFonts w:ascii="Calibri" w:hAnsi="Calibri" w:cs="Calibri"/>
                <w:b w:val="0"/>
                <w:bCs w:val="0"/>
                <w:color w:val="000000"/>
                <w:sz w:val="20"/>
                <w:szCs w:val="20"/>
              </w:rPr>
              <w:t>Integracja społeczna i wsparcie dla osób starszych zagrożonych różn</w:t>
            </w:r>
            <w:r>
              <w:rPr>
                <w:rFonts w:ascii="Calibri" w:hAnsi="Calibri" w:cs="Calibri"/>
                <w:b w:val="0"/>
                <w:bCs w:val="0"/>
                <w:color w:val="000000"/>
                <w:sz w:val="20"/>
                <w:szCs w:val="20"/>
              </w:rPr>
              <w:t>ymi formami wykluczenia</w:t>
            </w:r>
          </w:p>
        </w:tc>
        <w:tc>
          <w:tcPr>
            <w:tcW w:w="4394" w:type="dxa"/>
            <w:vAlign w:val="center"/>
          </w:tcPr>
          <w:p w:rsidR="000731E7" w:rsidRPr="00335AE0" w:rsidRDefault="000731E7"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335AE0">
              <w:rPr>
                <w:rFonts w:ascii="Calibri" w:hAnsi="Calibri" w:cs="Calibri"/>
                <w:color w:val="000000"/>
                <w:sz w:val="20"/>
                <w:szCs w:val="20"/>
              </w:rPr>
              <w:t>Projekty w zakresie zapewnienia transportu publicznego (zbiorowego) dla osób starszych wykluczonych komunikacyjnie</w:t>
            </w:r>
          </w:p>
        </w:tc>
        <w:tc>
          <w:tcPr>
            <w:tcW w:w="2977" w:type="dxa"/>
            <w:vAlign w:val="center"/>
          </w:tcPr>
          <w:p w:rsidR="000731E7" w:rsidRPr="00E50733"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Gmina Miejska Hrubieszów, Gmina Hrubieszów</w:t>
            </w:r>
          </w:p>
        </w:tc>
        <w:tc>
          <w:tcPr>
            <w:tcW w:w="2409"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sz w:val="20"/>
                <w:szCs w:val="20"/>
              </w:rPr>
              <w:t>MOPS/ GOPS, inne samorządy, organizacje pozarządowe</w:t>
            </w:r>
            <w:r w:rsidR="0066644E" w:rsidRPr="00716E17">
              <w:rPr>
                <w:sz w:val="20"/>
                <w:szCs w:val="20"/>
              </w:rPr>
              <w:t>, przedsiębiorcy</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335AE0"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335AE0" w:rsidRDefault="000731E7"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335AE0">
              <w:rPr>
                <w:rFonts w:ascii="Calibri" w:hAnsi="Calibri" w:cs="Calibri"/>
                <w:color w:val="000000"/>
                <w:sz w:val="20"/>
                <w:szCs w:val="20"/>
              </w:rPr>
              <w:t xml:space="preserve">Projekty w zakresie wsparcia osób starszych zagrożonych ubóstwem energetycznym </w:t>
            </w:r>
          </w:p>
        </w:tc>
        <w:tc>
          <w:tcPr>
            <w:tcW w:w="2977" w:type="dxa"/>
            <w:vAlign w:val="center"/>
          </w:tcPr>
          <w:p w:rsidR="000731E7" w:rsidRPr="00E50733"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Gmina Miejska Hrubieszów, Gmina Hrubieszów</w:t>
            </w:r>
          </w:p>
        </w:tc>
        <w:tc>
          <w:tcPr>
            <w:tcW w:w="2409"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16E17">
              <w:rPr>
                <w:sz w:val="20"/>
                <w:szCs w:val="20"/>
              </w:rPr>
              <w:t>PCPR, MOPS/ GOPS</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731E7" w:rsidRPr="00335AE0" w:rsidRDefault="000731E7" w:rsidP="0098324A">
            <w:pPr>
              <w:spacing w:before="0"/>
              <w:ind w:firstLine="0"/>
              <w:jc w:val="left"/>
              <w:rPr>
                <w:rFonts w:ascii="Calibri" w:hAnsi="Calibri" w:cs="Calibri"/>
                <w:b w:val="0"/>
                <w:color w:val="000000"/>
                <w:sz w:val="20"/>
                <w:szCs w:val="20"/>
              </w:rPr>
            </w:pPr>
          </w:p>
        </w:tc>
        <w:tc>
          <w:tcPr>
            <w:tcW w:w="4394" w:type="dxa"/>
            <w:vAlign w:val="center"/>
          </w:tcPr>
          <w:p w:rsidR="000731E7" w:rsidRPr="00335AE0" w:rsidRDefault="000731E7"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335AE0">
              <w:rPr>
                <w:rFonts w:ascii="Calibri" w:hAnsi="Calibri" w:cs="Calibri"/>
                <w:color w:val="000000"/>
                <w:sz w:val="20"/>
                <w:szCs w:val="20"/>
              </w:rPr>
              <w:t>Projekty w zakresie pomocy żywieniowej dla osób i rodzin zagrożonych ubóstwem dochodowym</w:t>
            </w:r>
          </w:p>
        </w:tc>
        <w:tc>
          <w:tcPr>
            <w:tcW w:w="2977" w:type="dxa"/>
            <w:vAlign w:val="center"/>
          </w:tcPr>
          <w:p w:rsidR="000731E7" w:rsidRPr="00E50733"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Gmina Miejska Hrubieszów, Gmina Hrubieszów</w:t>
            </w:r>
          </w:p>
        </w:tc>
        <w:tc>
          <w:tcPr>
            <w:tcW w:w="2409" w:type="dxa"/>
            <w:vAlign w:val="center"/>
          </w:tcPr>
          <w:p w:rsidR="000731E7" w:rsidRPr="00716E1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16E17">
              <w:rPr>
                <w:sz w:val="20"/>
                <w:szCs w:val="20"/>
              </w:rPr>
              <w:t>MOPS/ GOPS, inne samorządy, organizacje pozarządowe, przedsiębiorcy</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731E7" w:rsidRPr="00335AE0" w:rsidRDefault="000731E7" w:rsidP="0098324A">
            <w:pPr>
              <w:spacing w:before="0"/>
              <w:ind w:firstLine="0"/>
              <w:jc w:val="left"/>
              <w:rPr>
                <w:rFonts w:ascii="Calibri" w:hAnsi="Calibri" w:cs="Calibri"/>
                <w:b w:val="0"/>
                <w:color w:val="000000"/>
                <w:sz w:val="20"/>
                <w:szCs w:val="20"/>
              </w:rPr>
            </w:pPr>
            <w:r w:rsidRPr="00335AE0">
              <w:rPr>
                <w:rFonts w:ascii="Calibri" w:hAnsi="Calibri" w:cs="Calibri"/>
                <w:b w:val="0"/>
                <w:color w:val="000000"/>
                <w:sz w:val="20"/>
                <w:szCs w:val="20"/>
              </w:rPr>
              <w:t>Wspieranie różnyc</w:t>
            </w:r>
            <w:r>
              <w:rPr>
                <w:rFonts w:ascii="Calibri" w:hAnsi="Calibri" w:cs="Calibri"/>
                <w:b w:val="0"/>
                <w:color w:val="000000"/>
                <w:sz w:val="20"/>
                <w:szCs w:val="20"/>
              </w:rPr>
              <w:t>h form aktywizacji społecznej i </w:t>
            </w:r>
            <w:r w:rsidRPr="00335AE0">
              <w:rPr>
                <w:rFonts w:ascii="Calibri" w:hAnsi="Calibri" w:cs="Calibri"/>
                <w:b w:val="0"/>
                <w:color w:val="000000"/>
                <w:sz w:val="20"/>
                <w:szCs w:val="20"/>
              </w:rPr>
              <w:t>kulturalnej seniorów</w:t>
            </w:r>
          </w:p>
        </w:tc>
        <w:tc>
          <w:tcPr>
            <w:tcW w:w="4394" w:type="dxa"/>
            <w:vAlign w:val="center"/>
          </w:tcPr>
          <w:p w:rsidR="000731E7" w:rsidRPr="00335AE0" w:rsidRDefault="000731E7" w:rsidP="0098324A">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335AE0">
              <w:rPr>
                <w:rFonts w:ascii="Calibri" w:hAnsi="Calibri" w:cs="Calibri"/>
                <w:color w:val="000000"/>
                <w:sz w:val="20"/>
                <w:szCs w:val="20"/>
              </w:rPr>
              <w:t xml:space="preserve">Projekty w zakresie utworzenia/ rozwoju domów seniora (dziennych domów pobytu) wraz z pakietami działań aktywizujących </w:t>
            </w:r>
          </w:p>
        </w:tc>
        <w:tc>
          <w:tcPr>
            <w:tcW w:w="2977" w:type="dxa"/>
            <w:vAlign w:val="center"/>
          </w:tcPr>
          <w:p w:rsidR="000731E7" w:rsidRPr="00E50733"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Gmina Miejska Hrubieszów, Gmina Hrubieszów</w:t>
            </w:r>
          </w:p>
        </w:tc>
        <w:tc>
          <w:tcPr>
            <w:tcW w:w="2409" w:type="dxa"/>
            <w:vAlign w:val="center"/>
          </w:tcPr>
          <w:p w:rsidR="000731E7" w:rsidRPr="00716E1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16E17">
              <w:rPr>
                <w:sz w:val="20"/>
                <w:szCs w:val="20"/>
              </w:rPr>
              <w:t>PCPR, MOPS/ GOPS, inne samorządy, organizacje pozarządowe</w:t>
            </w:r>
            <w:r w:rsidR="0066644E" w:rsidRPr="00716E17">
              <w:rPr>
                <w:sz w:val="20"/>
                <w:szCs w:val="20"/>
              </w:rPr>
              <w:t>, Kościoły i związki wyznaniowe</w:t>
            </w:r>
          </w:p>
        </w:tc>
        <w:tc>
          <w:tcPr>
            <w:tcW w:w="1418" w:type="dxa"/>
            <w:vAlign w:val="center"/>
          </w:tcPr>
          <w:p w:rsidR="000731E7" w:rsidRDefault="000731E7"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0731E7" w:rsidTr="0098324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0731E7" w:rsidRDefault="000731E7" w:rsidP="0098324A">
            <w:pPr>
              <w:spacing w:before="0"/>
              <w:ind w:firstLine="0"/>
              <w:rPr>
                <w:rFonts w:ascii="Calibri" w:hAnsi="Calibri" w:cs="Calibri"/>
                <w:b w:val="0"/>
                <w:color w:val="000000"/>
              </w:rPr>
            </w:pPr>
          </w:p>
        </w:tc>
        <w:tc>
          <w:tcPr>
            <w:tcW w:w="4394" w:type="dxa"/>
            <w:vAlign w:val="center"/>
          </w:tcPr>
          <w:p w:rsidR="000731E7" w:rsidRPr="00335AE0" w:rsidRDefault="000731E7" w:rsidP="0098324A">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Wdrażanie najlepszych praktyk w </w:t>
            </w:r>
            <w:r w:rsidRPr="00335AE0">
              <w:rPr>
                <w:rFonts w:ascii="Calibri" w:hAnsi="Calibri" w:cs="Calibri"/>
                <w:color w:val="000000"/>
                <w:sz w:val="20"/>
                <w:szCs w:val="20"/>
              </w:rPr>
              <w:t>zakresie wykorzystania potencjału seniorów w opiece i edukacji młodzieży, pomocy dobrosąsiedzkiej, kształceniu zawodowym, mentoringu kadr menadżerskich itp.</w:t>
            </w:r>
          </w:p>
        </w:tc>
        <w:tc>
          <w:tcPr>
            <w:tcW w:w="2977" w:type="dxa"/>
            <w:vAlign w:val="center"/>
          </w:tcPr>
          <w:p w:rsidR="000731E7" w:rsidRPr="00E50733"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E50733">
              <w:rPr>
                <w:rFonts w:ascii="Calibri" w:hAnsi="Calibri" w:cs="Calibri"/>
                <w:color w:val="000000"/>
                <w:sz w:val="20"/>
                <w:szCs w:val="20"/>
              </w:rPr>
              <w:t>Gmina Miejska Hrubieszów, Gmina Hrubieszów</w:t>
            </w:r>
          </w:p>
        </w:tc>
        <w:tc>
          <w:tcPr>
            <w:tcW w:w="2409" w:type="dxa"/>
            <w:vAlign w:val="center"/>
          </w:tcPr>
          <w:p w:rsidR="000731E7" w:rsidRPr="00E50733"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E50733">
              <w:rPr>
                <w:sz w:val="20"/>
                <w:szCs w:val="20"/>
              </w:rPr>
              <w:t xml:space="preserve">GOK, Hrubieszowski Dom Kultury, Biblioteka Publiczna, organizacje pozarządowe, mieszkańcy - </w:t>
            </w:r>
            <w:r w:rsidRPr="00E50733">
              <w:rPr>
                <w:bCs/>
                <w:sz w:val="20"/>
                <w:szCs w:val="20"/>
              </w:rPr>
              <w:t>osoby fizyczne</w:t>
            </w:r>
          </w:p>
        </w:tc>
        <w:tc>
          <w:tcPr>
            <w:tcW w:w="1418" w:type="dxa"/>
            <w:vAlign w:val="center"/>
          </w:tcPr>
          <w:p w:rsidR="000731E7" w:rsidRDefault="000731E7"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5B406F" w:rsidRPr="002F0C59" w:rsidRDefault="005B406F" w:rsidP="00D8684B">
      <w:pPr>
        <w:rPr>
          <w:b/>
        </w:rPr>
      </w:pPr>
      <w:r w:rsidRPr="002F0C59">
        <w:rPr>
          <w:b/>
        </w:rPr>
        <w:t>Cel operacyjny 1.8. Pogłębienie integracji obszaru HOF w zakresie usług integracji społecznej</w:t>
      </w:r>
    </w:p>
    <w:p w:rsidR="005B406F" w:rsidRPr="002F0C59" w:rsidRDefault="005B406F" w:rsidP="005B406F">
      <w:r w:rsidRPr="002F0C59">
        <w:t xml:space="preserve">Cel polityki: CP4 - Europa o silniejszym wymiarze społecznym, bardziej sprzyjająca włączeniu społecznemu i wdrażająca Europejski filar </w:t>
      </w:r>
      <w:proofErr w:type="gramStart"/>
      <w:r w:rsidRPr="002F0C59">
        <w:t>praw</w:t>
      </w:r>
      <w:proofErr w:type="gramEnd"/>
      <w:r w:rsidRPr="002F0C59">
        <w:t xml:space="preserve"> socjalnych</w:t>
      </w:r>
      <w:r w:rsidR="0085591C" w:rsidRPr="002F0C59">
        <w:t>.</w:t>
      </w:r>
    </w:p>
    <w:p w:rsidR="005B406F" w:rsidRPr="002F0C59" w:rsidRDefault="005B406F" w:rsidP="005B406F">
      <w:r w:rsidRPr="002F0C59">
        <w:t>EFRR.CP4.III - 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w:t>
      </w:r>
    </w:p>
    <w:p w:rsidR="005B406F" w:rsidRPr="002F0C59" w:rsidRDefault="005B406F" w:rsidP="005B406F">
      <w:pPr>
        <w:rPr>
          <w:b/>
        </w:rPr>
      </w:pPr>
      <w:r w:rsidRPr="002F0C59">
        <w:lastRenderedPageBreak/>
        <w:t xml:space="preserve">EFS+.CP4.K - Zwiększanie równego i szybkiego dostępu do </w:t>
      </w:r>
      <w:proofErr w:type="gramStart"/>
      <w:r w:rsidRPr="002F0C59">
        <w:t>dobrej jakości</w:t>
      </w:r>
      <w:proofErr w:type="gramEnd"/>
      <w:r w:rsidRPr="002F0C59">
        <w:t>, trwałych i przystępnych cenowo usług, w tym usług, które wspierają dostęp do mieszkań oraz opieki skoncentrowanej na osobie, w tym opieki zdrowotnej; modernizacja systemów ochrony socjalnej, w tym wspieranie dostępu do ochrony socjalnej, ze szczególnym uwzględnieniem dzieci i grup w niekorzystnej sytuacji; poprawa dostępności, w tym dla osób z niepełnosprawnościami, skuteczności i odporności systemów ochrony zdrowia i usług opieki długoterminowej</w:t>
      </w:r>
      <w:r w:rsidR="0085591C" w:rsidRPr="002F0C59">
        <w:t>.</w:t>
      </w:r>
    </w:p>
    <w:p w:rsidR="005B406F" w:rsidRPr="002F0C59" w:rsidRDefault="005B406F" w:rsidP="00D8684B">
      <w:r w:rsidRPr="002F0C59">
        <w:t>Cel realizuje wymiar społeczny.</w:t>
      </w:r>
    </w:p>
    <w:p w:rsidR="005B406F" w:rsidRPr="002F0C59" w:rsidRDefault="005B406F" w:rsidP="00D8684B">
      <w:r w:rsidRPr="002F0C59">
        <w:t xml:space="preserve">Opis celu: </w:t>
      </w:r>
      <w:r w:rsidR="00A96D3C" w:rsidRPr="002F0C59">
        <w:t xml:space="preserve">Pojęcie integracji możemy </w:t>
      </w:r>
      <w:proofErr w:type="gramStart"/>
      <w:r w:rsidR="00A96D3C" w:rsidRPr="002F0C59">
        <w:t>wyjaśnić jako</w:t>
      </w:r>
      <w:proofErr w:type="gramEnd"/>
      <w:r w:rsidR="00A96D3C" w:rsidRPr="002F0C59">
        <w:t xml:space="preserve"> proces scalania, czy też łączenia w całość, polega na włączaniu mniejszościowych grup społecznych oraz osób zagrożonych wykluczeniem społecznym do zasadniczej części społeczeństwa. Działania te w konsekwencji pozwalają na normalizację życia osób z grup integrowanych oraz uzyskanie możliwości, </w:t>
      </w:r>
      <w:proofErr w:type="gramStart"/>
      <w:r w:rsidR="00A96D3C" w:rsidRPr="002F0C59">
        <w:t>praw</w:t>
      </w:r>
      <w:proofErr w:type="gramEnd"/>
      <w:r w:rsidR="00A96D3C" w:rsidRPr="002F0C59">
        <w:t xml:space="preserve"> i usług dostępnych dotychczas tylko większości społeczeństwa. </w:t>
      </w:r>
      <w:r w:rsidR="00654551" w:rsidRPr="002F0C59">
        <w:t xml:space="preserve">Niezwykle istotne jest podjęcie wspólnego wysiłku i współpracy w dążeniu do realizacji celu i zapewnienia usług integracji społecznej dla społeczeństwa HOF na jak najwyższym poziomie. Miasto </w:t>
      </w:r>
      <w:proofErr w:type="gramStart"/>
      <w:r w:rsidR="00654551" w:rsidRPr="002F0C59">
        <w:t>Hrubieszów jako</w:t>
      </w:r>
      <w:proofErr w:type="gramEnd"/>
      <w:r w:rsidR="00654551" w:rsidRPr="002F0C59">
        <w:t xml:space="preserve"> ośrodek ponadlokalny zapewnia mieszkańcom dostęp do szerokiej gamy usług,</w:t>
      </w:r>
      <w:r w:rsidR="0085591C" w:rsidRPr="002F0C59">
        <w:t xml:space="preserve"> w tym społecznych,</w:t>
      </w:r>
      <w:r w:rsidR="00654551" w:rsidRPr="002F0C59">
        <w:t xml:space="preserve"> m.in. związanych z integracją i aktywizacją społeczną</w:t>
      </w:r>
      <w:r w:rsidR="00747C33" w:rsidRPr="002F0C59">
        <w:t xml:space="preserve"> (choćby Powiatowe Centrum Pomocy Rodzinie, Powiatowy Zespół ds. Orzekania o Niepełnosprawności)</w:t>
      </w:r>
      <w:r w:rsidR="0085591C" w:rsidRPr="002F0C59">
        <w:t xml:space="preserve"> oraz wsparciem dla osób starszych</w:t>
      </w:r>
      <w:r w:rsidR="00747C33" w:rsidRPr="002F0C59">
        <w:t xml:space="preserve">. </w:t>
      </w:r>
      <w:r w:rsidR="0085591C" w:rsidRPr="002F0C59">
        <w:t>Również na obszarze</w:t>
      </w:r>
      <w:r w:rsidR="00747C33" w:rsidRPr="002F0C59">
        <w:t xml:space="preserve"> Gminy Hrubieszów prowadzone są tego typu działania. </w:t>
      </w:r>
      <w:r w:rsidR="00FF2C4D" w:rsidRPr="002F0C59">
        <w:t xml:space="preserve">Dlatego też wspólne działania </w:t>
      </w:r>
      <w:r w:rsidR="0085591C" w:rsidRPr="002F0C59">
        <w:t>inwestycyjne i</w:t>
      </w:r>
      <w:r w:rsidR="00FF2C4D" w:rsidRPr="002F0C59">
        <w:t xml:space="preserve"> tworzenie oferty </w:t>
      </w:r>
      <w:r w:rsidR="00747C33" w:rsidRPr="002F0C59">
        <w:t>skierowan</w:t>
      </w:r>
      <w:r w:rsidR="00FF2C4D" w:rsidRPr="002F0C59">
        <w:t>ej</w:t>
      </w:r>
      <w:r w:rsidR="00747C33" w:rsidRPr="002F0C59">
        <w:t xml:space="preserve"> do wszystkich mieszkańców z pewnością ułatwi i usprawni cały proces.</w:t>
      </w:r>
    </w:p>
    <w:p w:rsidR="00D322B5" w:rsidRPr="002F0C59" w:rsidRDefault="00747C33" w:rsidP="00FF2C4D">
      <w:pPr>
        <w:rPr>
          <w:rFonts w:cstheme="minorHAnsi"/>
        </w:rPr>
      </w:pPr>
      <w:r w:rsidRPr="002F0C59">
        <w:t xml:space="preserve">Poziom integracji społecznej mierzony jest m.in. przez pryzmat liczby osób korzystających z różnych form pomocy społecznej. </w:t>
      </w:r>
      <w:r w:rsidRPr="002F0C59">
        <w:rPr>
          <w:rFonts w:cstheme="minorHAnsi"/>
        </w:rPr>
        <w:t>Wskaźnikiem, który najlepiej obrazuje zasięg i znaczenie dla społeczności lokalnej środowiskowej pomocy społecznej jest liczba beneficjentów środowiskowej pomocy społecznej na 1000 mieszkańców. Wartość dla HOF w 2019 roku wynosiła 42 osoby na 1000 mieszkańców</w:t>
      </w:r>
      <w:r w:rsidR="00FF2C4D" w:rsidRPr="002F0C59">
        <w:rPr>
          <w:rFonts w:cstheme="minorHAnsi"/>
        </w:rPr>
        <w:t>, jest to wartość niższa o 16 osób od średniej dla powiatu.</w:t>
      </w:r>
      <w:r w:rsidR="00027AD4" w:rsidRPr="002F0C59">
        <w:rPr>
          <w:rFonts w:cstheme="minorHAnsi"/>
        </w:rPr>
        <w:t xml:space="preserve"> </w:t>
      </w:r>
      <w:r w:rsidR="00D32111" w:rsidRPr="002F0C59">
        <w:rPr>
          <w:rFonts w:cstheme="minorHAnsi"/>
        </w:rPr>
        <w:t>Liczba przyznanych dodatków mieszkaniowych również świadczy o stopniu rozwarstwienia społecznego i obrazuje sytuację osób żyjących w najtr</w:t>
      </w:r>
      <w:r w:rsidR="00D322B5" w:rsidRPr="002F0C59">
        <w:rPr>
          <w:rFonts w:cstheme="minorHAnsi"/>
        </w:rPr>
        <w:t xml:space="preserve">udniejszej sytuacji finansowej (szerzej na ten temat w dokumencie „diagnoza sytuacji </w:t>
      </w:r>
      <w:proofErr w:type="gramStart"/>
      <w:r w:rsidR="00D322B5" w:rsidRPr="002F0C59">
        <w:rPr>
          <w:rFonts w:cstheme="minorHAnsi"/>
        </w:rPr>
        <w:t xml:space="preserve">społecznej … ). </w:t>
      </w:r>
      <w:proofErr w:type="gramEnd"/>
      <w:r w:rsidR="00D322B5" w:rsidRPr="002F0C59">
        <w:rPr>
          <w:rFonts w:cstheme="minorHAnsi"/>
        </w:rPr>
        <w:t>W</w:t>
      </w:r>
      <w:r w:rsidR="00790C46" w:rsidRPr="002F0C59">
        <w:rPr>
          <w:rFonts w:cstheme="minorHAnsi"/>
        </w:rPr>
        <w:t xml:space="preserve"> 2019 roku</w:t>
      </w:r>
      <w:r w:rsidR="00D32111" w:rsidRPr="002F0C59">
        <w:rPr>
          <w:rFonts w:cstheme="minorHAnsi"/>
        </w:rPr>
        <w:t xml:space="preserve"> w HOF przyznano </w:t>
      </w:r>
      <w:r w:rsidR="00790C46" w:rsidRPr="002F0C59">
        <w:rPr>
          <w:rFonts w:cstheme="minorHAnsi"/>
        </w:rPr>
        <w:t>2</w:t>
      </w:r>
      <w:r w:rsidR="00F03EC6" w:rsidRPr="002F0C59">
        <w:rPr>
          <w:rFonts w:cstheme="minorHAnsi"/>
        </w:rPr>
        <w:t xml:space="preserve"> </w:t>
      </w:r>
      <w:r w:rsidR="00790C46" w:rsidRPr="002F0C59">
        <w:rPr>
          <w:rFonts w:cstheme="minorHAnsi"/>
        </w:rPr>
        <w:t>981 dodatków mieszkaniowych</w:t>
      </w:r>
      <w:r w:rsidR="00D322B5" w:rsidRPr="002F0C59">
        <w:rPr>
          <w:rFonts w:cstheme="minorHAnsi"/>
        </w:rPr>
        <w:t xml:space="preserve"> (Monitora rozwoju lokalnego), co potwierdza trudną sytuację materialną niektórych mieszkańców HOF i znaczenie pomocy społecznej na tym obszarze.</w:t>
      </w:r>
    </w:p>
    <w:p w:rsidR="00D322B5" w:rsidRPr="002F0C59" w:rsidRDefault="00D322B5" w:rsidP="00D322B5">
      <w:r w:rsidRPr="002F0C59">
        <w:t>P</w:t>
      </w:r>
      <w:r w:rsidR="00747C33" w:rsidRPr="002F0C59">
        <w:t xml:space="preserve">owodami trudnej sytuacji społecznej na </w:t>
      </w:r>
      <w:r w:rsidRPr="002F0C59">
        <w:t xml:space="preserve">obszarze </w:t>
      </w:r>
      <w:r w:rsidR="00747C33" w:rsidRPr="002F0C59">
        <w:t>HOF są</w:t>
      </w:r>
      <w:r w:rsidRPr="002F0C59">
        <w:t xml:space="preserve"> negatywne zjawiska społeczne, takie jak</w:t>
      </w:r>
      <w:r w:rsidR="00747C33" w:rsidRPr="002F0C59">
        <w:t>: bezrobocie, długotrwała i ciężka choroba, ubóstwo, bezradność w sprawach opiekuńczo – wychowawczych, niepełnosprawność oraz alkoholizm.</w:t>
      </w:r>
      <w:r w:rsidR="00027AD4" w:rsidRPr="002F0C59">
        <w:t xml:space="preserve"> Beneficjenci pomocy społecznej szczególnie </w:t>
      </w:r>
      <w:r w:rsidRPr="002F0C59">
        <w:t xml:space="preserve">niewystarczający stan gminnego zasobu komunalnego (szczególnie </w:t>
      </w:r>
      <w:r w:rsidR="00027AD4" w:rsidRPr="002F0C59">
        <w:t>mieszkań socjalnych</w:t>
      </w:r>
      <w:r w:rsidRPr="002F0C59">
        <w:t>)</w:t>
      </w:r>
      <w:r w:rsidR="00027AD4" w:rsidRPr="002F0C59">
        <w:t xml:space="preserve">, jak również niewystraczającą ofertę spędzania </w:t>
      </w:r>
      <w:r w:rsidRPr="002F0C59">
        <w:t xml:space="preserve">czasu </w:t>
      </w:r>
      <w:r w:rsidR="00027AD4" w:rsidRPr="002F0C59">
        <w:t>wolnego kierowaną zarówno do młodzieży jak i do seniorów.</w:t>
      </w:r>
      <w:r w:rsidRPr="002F0C59">
        <w:t xml:space="preserve"> Komunalny zasób mieszkaniowy przeznaczony dla osób w trudnej sytuacji życiowej i z niskimi dochodami jest niewystarczający. HOF dysponuje 474 mieszkaniami socjalnymi oraz 145 lokalami socjalnymi. Co więcej, brakuje tu mieszkań chronionych, a zgodnie z przeprowadzoną partycypacją społeczną istnieją potrzeby w tym </w:t>
      </w:r>
      <w:proofErr w:type="gramStart"/>
      <w:r w:rsidRPr="002F0C59">
        <w:t>zakresie.</w:t>
      </w:r>
      <w:proofErr w:type="gramEnd"/>
    </w:p>
    <w:p w:rsidR="003D5699" w:rsidRPr="002F0C59" w:rsidRDefault="00D322B5" w:rsidP="00D322B5">
      <w:r w:rsidRPr="002F0C59">
        <w:lastRenderedPageBreak/>
        <w:t xml:space="preserve">Infrastruktura społeczna HOF opiera się na </w:t>
      </w:r>
      <w:r w:rsidR="00F03EC6" w:rsidRPr="002F0C59">
        <w:t>Środowiskowy</w:t>
      </w:r>
      <w:r w:rsidRPr="002F0C59">
        <w:t>m</w:t>
      </w:r>
      <w:r w:rsidR="00F03EC6" w:rsidRPr="002F0C59">
        <w:t xml:space="preserve"> Dom</w:t>
      </w:r>
      <w:r w:rsidRPr="002F0C59">
        <w:t>u</w:t>
      </w:r>
      <w:r w:rsidR="00F03EC6" w:rsidRPr="002F0C59">
        <w:t xml:space="preserve"> Samopomocy w Hrubieszowie (39 d</w:t>
      </w:r>
      <w:r w:rsidR="00BD32A5" w:rsidRPr="002F0C59">
        <w:t>e</w:t>
      </w:r>
      <w:r w:rsidR="00F03EC6" w:rsidRPr="002F0C59">
        <w:t>cyzji kierujących)</w:t>
      </w:r>
      <w:r w:rsidR="00BD32A5" w:rsidRPr="002F0C59">
        <w:t xml:space="preserve"> oraz C</w:t>
      </w:r>
      <w:r w:rsidRPr="002F0C59">
        <w:t>entrum Integracji Społecznej</w:t>
      </w:r>
      <w:r w:rsidR="00BD32A5" w:rsidRPr="002F0C59">
        <w:t xml:space="preserve"> </w:t>
      </w:r>
      <w:r w:rsidR="008203C4" w:rsidRPr="002F0C59">
        <w:t xml:space="preserve">w </w:t>
      </w:r>
      <w:proofErr w:type="spellStart"/>
      <w:r w:rsidR="008203C4" w:rsidRPr="002F0C59">
        <w:t>Mienianach</w:t>
      </w:r>
      <w:proofErr w:type="spellEnd"/>
      <w:r w:rsidR="00790C46" w:rsidRPr="002F0C59">
        <w:t>.</w:t>
      </w:r>
      <w:r w:rsidR="008203C4" w:rsidRPr="002F0C59">
        <w:t xml:space="preserve"> Dodatkowo działa</w:t>
      </w:r>
      <w:r w:rsidR="006218E6" w:rsidRPr="002F0C59">
        <w:t xml:space="preserve">ją Warsztaty Terapii Zajęciowej w Hrubieszowie oraz </w:t>
      </w:r>
      <w:r w:rsidR="008203C4" w:rsidRPr="002F0C59">
        <w:t xml:space="preserve">Klub Integracji Społecznej w </w:t>
      </w:r>
      <w:proofErr w:type="spellStart"/>
      <w:r w:rsidR="008203C4" w:rsidRPr="002F0C59">
        <w:t>Mienianach</w:t>
      </w:r>
      <w:proofErr w:type="spellEnd"/>
      <w:r w:rsidR="008203C4" w:rsidRPr="002F0C59">
        <w:t>.</w:t>
      </w:r>
      <w:r w:rsidR="00790C46" w:rsidRPr="002F0C59">
        <w:t xml:space="preserve"> </w:t>
      </w:r>
      <w:r w:rsidR="003D5699" w:rsidRPr="002F0C59">
        <w:t>Działania</w:t>
      </w:r>
      <w:r w:rsidR="006218E6" w:rsidRPr="002F0C59">
        <w:t xml:space="preserve"> tych instytucji są ograniczone i niewystarczające do ogólnego zapotrzebowania. </w:t>
      </w:r>
      <w:r w:rsidR="00027AD4" w:rsidRPr="002F0C59">
        <w:t>Respondenci ankiety</w:t>
      </w:r>
      <w:r w:rsidR="00027AD4" w:rsidRPr="002F0C59">
        <w:rPr>
          <w:rStyle w:val="Odwoanieprzypisudolnego"/>
        </w:rPr>
        <w:footnoteReference w:id="22"/>
      </w:r>
      <w:r w:rsidR="00027AD4" w:rsidRPr="002F0C59">
        <w:t xml:space="preserve"> wyraźnie zwracają uwagę na problemy osób starszych i samotnych, wskazując tą grupę, jako zagrożoną wykluczeniem społecznym. Mieszkańcy dostrzegają konieczność zwiększenia dostępu do specjalistycznych usług zdrowotnych i opiekuńczych oraz potrzebę budowy domu opieki dla osób starszych, takiego, który oferowałby zarówno opiekę całodobową jak i tylko opiekę dzienną.</w:t>
      </w:r>
    </w:p>
    <w:p w:rsidR="00FF2C4D" w:rsidRPr="002F0C59" w:rsidRDefault="00FF2C4D" w:rsidP="00D322B5">
      <w:r w:rsidRPr="002F0C59">
        <w:t xml:space="preserve">W Hrubieszowskim Obszarze Funkcjonalnym wyraźnie zauważalny jest problem starzenia się społeczeństwa oraz brak dostosowania infrastruktury do zmieniających się trendów. Dużym wyzwaniem dla </w:t>
      </w:r>
      <w:r w:rsidR="003D5699" w:rsidRPr="002F0C59">
        <w:t>władz HOF</w:t>
      </w:r>
      <w:r w:rsidRPr="002F0C59">
        <w:t xml:space="preserve"> jest aktualne dostosowanie systemu opieki zdrowotnej i opieki społecznej do potrzeb wzrastającej liczby osób w wieku 60+ i osób z niepełnosprawnościami. Bariery architektoniczne w przestrzeni publicznej są wymieniane na drugim miejscu (tuż po braku ofert pracy) wśród najważniejszych problemów osób z niepełnosprawnościami. Struktura wiekowa zdominowana jest przez osoby między 55 a 74 rokiem życia. Odsetek osób w wieku poprodukcyjnym wynosił </w:t>
      </w:r>
      <w:r w:rsidR="003D5699" w:rsidRPr="002F0C59">
        <w:t xml:space="preserve">aż </w:t>
      </w:r>
      <w:r w:rsidRPr="002F0C59">
        <w:t>23,42%</w:t>
      </w:r>
      <w:r w:rsidR="003F789D" w:rsidRPr="002F0C59">
        <w:t xml:space="preserve"> społeczności HOF (6 443 osoby</w:t>
      </w:r>
      <w:r w:rsidR="003D5699" w:rsidRPr="002F0C59">
        <w:t>, 2019 r.</w:t>
      </w:r>
      <w:r w:rsidR="003F789D" w:rsidRPr="002F0C59">
        <w:t xml:space="preserve">), co stanowiło 42,58% osób w wieku poprodukcyjnym powiatu hrubieszowskiego. </w:t>
      </w:r>
      <w:r w:rsidRPr="002F0C59">
        <w:t>Analiza liczby ludności w wieku 60+ na przestrzeni lat 2009 -2019 dobitnie pokazuje wzrost liczby osób starszych (w 2019 roku – 7 479 osób, czyli 27,19% społeczności HOF).</w:t>
      </w:r>
      <w:r w:rsidR="00D32111" w:rsidRPr="002F0C59">
        <w:t xml:space="preserve"> Jednocześnie notowany był spadek ludności w wieku 0</w:t>
      </w:r>
      <w:r w:rsidR="008203C4" w:rsidRPr="002F0C59">
        <w:t xml:space="preserve"> </w:t>
      </w:r>
      <w:r w:rsidR="00D32111" w:rsidRPr="002F0C59">
        <w:t>-14 lat, co obrazuje proces starzenia się społeczeństwa.</w:t>
      </w:r>
      <w:r w:rsidR="00BD32A5" w:rsidRPr="002F0C59">
        <w:t xml:space="preserve"> </w:t>
      </w:r>
      <w:r w:rsidR="003F789D" w:rsidRPr="002F0C59">
        <w:t xml:space="preserve">Zgodnie z prognozą liczby ludności tempo zmiany osób powyżej 60 roku życia będzie dodatnie i w 2030 roku wyniesie aż 22,86%. </w:t>
      </w:r>
      <w:r w:rsidR="003D5699" w:rsidRPr="002F0C59">
        <w:t>Z</w:t>
      </w:r>
      <w:r w:rsidR="00BD32A5" w:rsidRPr="002F0C59">
        <w:t>e świadczeń z powodu niepełnosprawności korzystały 243 rodziny, co przełożyło się na 605 świadczeniobiorców.</w:t>
      </w:r>
    </w:p>
    <w:p w:rsidR="002B5DC5" w:rsidRPr="002F0C59" w:rsidRDefault="00872190" w:rsidP="008203C4">
      <w:r w:rsidRPr="002F0C59">
        <w:t xml:space="preserve">Realizacja założonego celu pozwoli na wykorzystanie </w:t>
      </w:r>
      <w:proofErr w:type="gramStart"/>
      <w:r w:rsidRPr="002F0C59">
        <w:t xml:space="preserve">potencjału </w:t>
      </w:r>
      <w:r w:rsidR="003D5699" w:rsidRPr="002F0C59">
        <w:t>jakim</w:t>
      </w:r>
      <w:proofErr w:type="gramEnd"/>
      <w:r w:rsidR="003D5699" w:rsidRPr="002F0C59">
        <w:t xml:space="preserve"> jest kapitał społeczny</w:t>
      </w:r>
      <w:r w:rsidRPr="002F0C59">
        <w:t>, w szczególności grupy seniorów.</w:t>
      </w:r>
      <w:r w:rsidR="002B5DC5" w:rsidRPr="002F0C59">
        <w:t xml:space="preserve">  Miasto Hrubieszów wg raportu PIE</w:t>
      </w:r>
      <w:r w:rsidR="002B5DC5" w:rsidRPr="002F0C59">
        <w:rPr>
          <w:rStyle w:val="Odwoanieprzypisudolnego"/>
        </w:rPr>
        <w:footnoteReference w:id="23"/>
      </w:r>
      <w:r w:rsidR="002B5DC5" w:rsidRPr="002F0C59">
        <w:t xml:space="preserve"> zaliczon</w:t>
      </w:r>
      <w:r w:rsidR="003D5699" w:rsidRPr="002F0C59">
        <w:t>e</w:t>
      </w:r>
      <w:r w:rsidR="002B5DC5" w:rsidRPr="002F0C59">
        <w:t xml:space="preserve"> został</w:t>
      </w:r>
      <w:r w:rsidR="003D5699" w:rsidRPr="002F0C59">
        <w:t>o</w:t>
      </w:r>
      <w:r w:rsidR="002B5DC5" w:rsidRPr="002F0C59">
        <w:t xml:space="preserve"> do miast przyjaznych do życia. Miasta te zapewniają swoim mieszkańcom atrakcyjne warunki</w:t>
      </w:r>
      <w:r w:rsidR="003D5699" w:rsidRPr="002F0C59">
        <w:t xml:space="preserve"> życia. Grupę tą</w:t>
      </w:r>
      <w:r w:rsidR="002B5DC5" w:rsidRPr="002F0C59">
        <w:t xml:space="preserve"> charakteryzuje niekorzystn</w:t>
      </w:r>
      <w:r w:rsidR="003D5699" w:rsidRPr="002F0C59">
        <w:t>a</w:t>
      </w:r>
      <w:r w:rsidR="002B5DC5" w:rsidRPr="002F0C59">
        <w:t xml:space="preserve"> sytuacj</w:t>
      </w:r>
      <w:r w:rsidR="003D5699" w:rsidRPr="002F0C59">
        <w:t>a</w:t>
      </w:r>
      <w:r w:rsidR="002B5DC5" w:rsidRPr="002F0C59">
        <w:t xml:space="preserve"> demograficzn</w:t>
      </w:r>
      <w:r w:rsidR="003D5699" w:rsidRPr="002F0C59">
        <w:t>a</w:t>
      </w:r>
      <w:r w:rsidR="002B5DC5" w:rsidRPr="002F0C59">
        <w:t>, co przejawia się w średnim poziomie udziału</w:t>
      </w:r>
      <w:r w:rsidR="003D5699" w:rsidRPr="002F0C59">
        <w:t xml:space="preserve"> w strukturze wieku</w:t>
      </w:r>
      <w:r w:rsidR="002B5DC5" w:rsidRPr="002F0C59">
        <w:t xml:space="preserve"> ludności w wieku produkcyjnym, nieco wyższym współczynnik</w:t>
      </w:r>
      <w:r w:rsidR="003D5699" w:rsidRPr="002F0C59">
        <w:t>iem</w:t>
      </w:r>
      <w:r w:rsidR="002B5DC5" w:rsidRPr="002F0C59">
        <w:t xml:space="preserve"> obciążenia demograficznego niż w małych miastach ogółem, ale przede wszystkim wysokim średnim poziomem </w:t>
      </w:r>
      <w:proofErr w:type="spellStart"/>
      <w:r w:rsidR="002B5DC5" w:rsidRPr="002F0C59">
        <w:t>wymeldowań</w:t>
      </w:r>
      <w:proofErr w:type="spellEnd"/>
      <w:r w:rsidR="002B5DC5" w:rsidRPr="002F0C59">
        <w:t>. Zgodnie z dostępnymi prognozami demograficznymi liczba osób w wieku poprodukcyjnym będzie wzrastać</w:t>
      </w:r>
      <w:r w:rsidR="00B2618B" w:rsidRPr="002F0C59">
        <w:t>.</w:t>
      </w:r>
      <w:r w:rsidR="002B5DC5" w:rsidRPr="002F0C59">
        <w:rPr>
          <w:rFonts w:cstheme="minorHAnsi"/>
        </w:rPr>
        <w:t xml:space="preserve"> </w:t>
      </w:r>
      <w:r w:rsidR="002B5DC5" w:rsidRPr="002F0C59">
        <w:t xml:space="preserve">Większą liczbę osób w wieku emerytalnym należy </w:t>
      </w:r>
      <w:r w:rsidR="00464088" w:rsidRPr="002F0C59">
        <w:t>wykorzystać, jako</w:t>
      </w:r>
      <w:r w:rsidR="002B5DC5" w:rsidRPr="002F0C59">
        <w:t xml:space="preserve"> szansę w rozwoju miasta poprzez kreowanie i rozwój usług tzw. srebrnej </w:t>
      </w:r>
      <w:proofErr w:type="gramStart"/>
      <w:r w:rsidR="002B5DC5" w:rsidRPr="002F0C59">
        <w:t xml:space="preserve">gospodarki </w:t>
      </w:r>
      <w:r w:rsidR="002B5DC5" w:rsidRPr="002F0C59">
        <w:rPr>
          <w:rFonts w:hint="eastAsia"/>
        </w:rPr>
        <w:t>–</w:t>
      </w:r>
      <w:r w:rsidR="002B5DC5" w:rsidRPr="002F0C59">
        <w:t xml:space="preserve"> jako</w:t>
      </w:r>
      <w:proofErr w:type="gramEnd"/>
      <w:r w:rsidR="002B5DC5" w:rsidRPr="002F0C59">
        <w:t xml:space="preserve"> potencja</w:t>
      </w:r>
      <w:r w:rsidR="002B5DC5" w:rsidRPr="002F0C59">
        <w:rPr>
          <w:rFonts w:hint="eastAsia"/>
        </w:rPr>
        <w:t>ł</w:t>
      </w:r>
      <w:r w:rsidR="002B5DC5" w:rsidRPr="002F0C59">
        <w:t>u w zakresie us</w:t>
      </w:r>
      <w:r w:rsidR="002B5DC5" w:rsidRPr="002F0C59">
        <w:rPr>
          <w:rFonts w:hint="eastAsia"/>
        </w:rPr>
        <w:t>ł</w:t>
      </w:r>
      <w:r w:rsidR="002B5DC5" w:rsidRPr="002F0C59">
        <w:t>ug, aktywizacji i opieki nad osobami w wieku senioralnym, działania na rzecz profilaktyki zdrowotnej itp. Dla rozwoju HOF ważny jest nie tylko potencjał ludzki i intelektualny seniorów (kondycja zdrowotna, nabyte doświadczenie i umiejętności, mądrość życiowa), ale również potencjał dochodowy tej grupy społecznej, wynikający z otrzymywanych emerytur i rent, wykonywanej pracy zarobkowej czy też prowadzonej działalności gospodarczej.</w:t>
      </w:r>
      <w:r w:rsidR="00464088" w:rsidRPr="002F0C59">
        <w:t xml:space="preserve"> Osoby starsze to ogromny potencjał dla </w:t>
      </w:r>
      <w:r w:rsidR="00464088" w:rsidRPr="002F0C59">
        <w:lastRenderedPageBreak/>
        <w:t xml:space="preserve">dalszego rozwoju HOF, który może być wykorzystywany przez różne instytucje i organizacje społeczne w mieście. To przede wszystkim nieocenione źródło, tzw. wiedzy </w:t>
      </w:r>
      <w:proofErr w:type="gramStart"/>
      <w:r w:rsidR="00464088" w:rsidRPr="002F0C59">
        <w:t>pragmatycznej czyli</w:t>
      </w:r>
      <w:proofErr w:type="gramEnd"/>
      <w:r w:rsidR="00464088" w:rsidRPr="002F0C59">
        <w:t xml:space="preserve"> wiedzy budowanej na podstawie długoletnich życiowych i zawodowych doświadczeń, jak również umiejętności praktyczne, przydatne innym oraz czas, który osoby starsze mogą poświęcić na pracę w organizacji pozarządowej czy społeczności lokalnej.</w:t>
      </w:r>
      <w:r w:rsidR="008203C4" w:rsidRPr="002F0C59">
        <w:t xml:space="preserve"> Działanie aktywizacyjno-integracyjne kierowane do seniorów wpłyną również pozytywnie na opóźnienie procesu starzenia się oraz wydłużeni</w:t>
      </w:r>
      <w:r w:rsidR="00B2618B" w:rsidRPr="002F0C59">
        <w:t>e</w:t>
      </w:r>
      <w:r w:rsidR="008203C4" w:rsidRPr="002F0C59">
        <w:t xml:space="preserve"> sprawności intelektualno-ruchowej osób starszych.</w:t>
      </w:r>
    </w:p>
    <w:p w:rsidR="008203C4" w:rsidRPr="002F0C59" w:rsidRDefault="008203C4" w:rsidP="006218E6">
      <w:r w:rsidRPr="002F0C59">
        <w:t xml:space="preserve">Zakres tematyczny działań zmierzających do realizacji celu zakłada: integrację społeczną i wsparcie dla osób </w:t>
      </w:r>
      <w:r w:rsidR="0040531A" w:rsidRPr="002F0C59">
        <w:t>dorosłych i starszych</w:t>
      </w:r>
      <w:r w:rsidRPr="002F0C59">
        <w:t xml:space="preserve"> zagrożonych różnymi formami wykluczenia</w:t>
      </w:r>
      <w:r w:rsidR="0040531A" w:rsidRPr="002F0C59">
        <w:t>,</w:t>
      </w:r>
      <w:r w:rsidRPr="002F0C59">
        <w:t xml:space="preserve"> różnych form aktywizacji społecznej i kulturalnej osób </w:t>
      </w:r>
      <w:r w:rsidR="0040531A" w:rsidRPr="002F0C59">
        <w:t>dorosłych, starszych</w:t>
      </w:r>
      <w:r w:rsidRPr="002F0C59">
        <w:t xml:space="preserve"> i niesamodzielnych oraz </w:t>
      </w:r>
      <w:r w:rsidRPr="002F0C59">
        <w:rPr>
          <w:rFonts w:cstheme="minorHAnsi"/>
          <w:color w:val="000000"/>
        </w:rPr>
        <w:t xml:space="preserve">poprawę dostępu do </w:t>
      </w:r>
      <w:r w:rsidRPr="002F0C59">
        <w:rPr>
          <w:rFonts w:cstheme="minorHAnsi"/>
        </w:rPr>
        <w:t xml:space="preserve">trwałych i przystępnych cenowo usług społecznych. </w:t>
      </w:r>
      <w:r w:rsidR="00815039" w:rsidRPr="002F0C59">
        <w:rPr>
          <w:rFonts w:cstheme="minorHAnsi"/>
        </w:rPr>
        <w:t xml:space="preserve">Realizacja celu zakłada objęcie efektami całego obszaru HOF. </w:t>
      </w:r>
      <w:r w:rsidRPr="002F0C59">
        <w:t xml:space="preserve">Głównymi odbiorcami interwencji są mieszkańcy Gminy Hrubieszów oraz Miasta Hrubieszów stanowiącego rdzeń obszaru funkcjonalnego. Beneficjentami końcowymi działań realizujących zamierzenia celu będą </w:t>
      </w:r>
      <w:r w:rsidR="006218E6" w:rsidRPr="002F0C59">
        <w:t>osoby zagrożone wykluczeniem społecznym, osoby świadczące usługi społeczne w społeczności lokalnej, opiekunowie faktyczni, otoczenie osób dotkniętych ubóstwem i wykluczeniem społecznym, otoczenie osób zagrożonych ubóstwem lub wykluczeniem społecznym, osoby z niepełnosprawnościami i ich otoczenie (m.in. rodzina, środowisko lokalne), kadra realizująca działania w obszarze usług społecznych</w:t>
      </w:r>
      <w:r w:rsidRPr="002F0C59">
        <w:t xml:space="preserve"> oraz osoby starsze.</w:t>
      </w:r>
      <w:r w:rsidR="006218E6" w:rsidRPr="002F0C59">
        <w:t xml:space="preserve"> Realizacja </w:t>
      </w:r>
      <w:r w:rsidR="00815039" w:rsidRPr="002F0C59">
        <w:t>celu</w:t>
      </w:r>
      <w:r w:rsidR="006218E6" w:rsidRPr="002F0C59">
        <w:t xml:space="preserve"> przyczyni się to do zwiększenia liczby miejsc świadczenia usług społecznych w społeczności lokalnej oraz liczby osób objętych tymi świadczeniami. Niewątpliwie wpisuje się w założenia „Mapy potrzeb” w zakresie infrastruktury edukacyjnej i społecznej w województwie lubelskim.</w:t>
      </w:r>
    </w:p>
    <w:p w:rsidR="00747C33" w:rsidRPr="002F0C59" w:rsidRDefault="006218E6" w:rsidP="00D8684B">
      <w:r w:rsidRPr="002F0C59">
        <w:t xml:space="preserve">Za realizację celu odpowiedzialne są Gmina Miejska Hrubieszów, Gmina Hrubieszów, GOPS oraz MOPS. Natomiast niezwykle istotne jest zaangażowanie partnerów merytorycznych, organizacyjnych i finansowych z różnych sektorów. </w:t>
      </w:r>
      <w:r w:rsidRPr="002F0C59">
        <w:rPr>
          <w:rFonts w:cstheme="minorHAnsi"/>
          <w:color w:val="000000"/>
        </w:rPr>
        <w:t xml:space="preserve">Potencjalne podmioty biorące udział w realizacji celu, to organizacje pozarządowe, przedsiębiorcy, Powiatowe Centrum Pomocy Rodzinie, </w:t>
      </w:r>
      <w:r w:rsidRPr="002F0C59">
        <w:t>GOK, Hrubieszowski Dom Kultury, Biblioteka Publiczna, ale również mieszkańcy - osoby fizyczne.</w:t>
      </w:r>
    </w:p>
    <w:p w:rsidR="00654551" w:rsidRPr="00027AD4" w:rsidRDefault="00654551" w:rsidP="00654551">
      <w:r w:rsidRPr="002F0C59">
        <w:t>Propozycje projektów, które będą przyczyniały się do realizowania celu opisanego powyżej stanowią kierunki działań zaprezentowane w tabeli poniżej.</w:t>
      </w:r>
    </w:p>
    <w:tbl>
      <w:tblPr>
        <w:tblStyle w:val="Jasnasiatkaakcent23"/>
        <w:tblW w:w="0" w:type="auto"/>
        <w:tblLook w:val="04A0" w:firstRow="1" w:lastRow="0" w:firstColumn="1" w:lastColumn="0" w:noHBand="0" w:noVBand="1"/>
      </w:tblPr>
      <w:tblGrid>
        <w:gridCol w:w="2802"/>
        <w:gridCol w:w="4394"/>
        <w:gridCol w:w="2977"/>
        <w:gridCol w:w="2409"/>
        <w:gridCol w:w="1418"/>
      </w:tblGrid>
      <w:tr w:rsidR="005B406F" w:rsidTr="005B4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B406F" w:rsidRPr="003F543C" w:rsidRDefault="005B406F" w:rsidP="002A6598">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394" w:type="dxa"/>
          </w:tcPr>
          <w:p w:rsidR="005B406F" w:rsidRPr="003F543C" w:rsidRDefault="005B406F" w:rsidP="002A6598">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977" w:type="dxa"/>
          </w:tcPr>
          <w:p w:rsidR="005B406F" w:rsidRPr="003F543C" w:rsidRDefault="005B406F" w:rsidP="002A6598">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5B406F" w:rsidRPr="003F543C" w:rsidRDefault="005B406F" w:rsidP="002A6598">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8" w:type="dxa"/>
          </w:tcPr>
          <w:p w:rsidR="005B406F" w:rsidRPr="003F543C" w:rsidRDefault="005B406F" w:rsidP="002A6598">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5B406F" w:rsidTr="00867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5B406F" w:rsidRPr="005B406F" w:rsidRDefault="005B406F" w:rsidP="00B2618B">
            <w:pPr>
              <w:spacing w:before="0"/>
              <w:ind w:firstLine="0"/>
              <w:jc w:val="left"/>
              <w:rPr>
                <w:rFonts w:ascii="Calibri" w:hAnsi="Calibri" w:cs="Calibri"/>
                <w:b w:val="0"/>
                <w:color w:val="000000"/>
                <w:sz w:val="20"/>
                <w:szCs w:val="20"/>
              </w:rPr>
            </w:pPr>
            <w:r w:rsidRPr="005B406F">
              <w:rPr>
                <w:rFonts w:ascii="Calibri" w:hAnsi="Calibri" w:cs="Calibri"/>
                <w:b w:val="0"/>
                <w:sz w:val="20"/>
              </w:rPr>
              <w:t>Integracja społeczna i wsparcie dla osób starszych zagrożonych różnymi formami wykluczenia oraz różnych form aktywizacji społecznej i kulturalnej</w:t>
            </w:r>
          </w:p>
        </w:tc>
        <w:tc>
          <w:tcPr>
            <w:tcW w:w="4394" w:type="dxa"/>
          </w:tcPr>
          <w:p w:rsidR="005B406F" w:rsidRPr="005B406F" w:rsidRDefault="002A6598" w:rsidP="002A6598">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sz w:val="20"/>
                <w:szCs w:val="20"/>
              </w:rPr>
              <w:t>Roboty budowlane i wyposażenie</w:t>
            </w:r>
            <w:r w:rsidR="005B406F" w:rsidRPr="005B406F">
              <w:rPr>
                <w:sz w:val="20"/>
                <w:szCs w:val="20"/>
              </w:rPr>
              <w:t xml:space="preserve"> infrastruktury społecznej powiązanej z procesem integracji społecznej, aktywizacji społeczno-zawodowej, rozwoju usług w społeczności lokalnej i </w:t>
            </w:r>
            <w:proofErr w:type="spellStart"/>
            <w:r w:rsidR="005B406F" w:rsidRPr="005B406F">
              <w:rPr>
                <w:sz w:val="20"/>
                <w:szCs w:val="20"/>
              </w:rPr>
              <w:t>deinstytucjonalizacji</w:t>
            </w:r>
            <w:proofErr w:type="spellEnd"/>
            <w:r w:rsidR="005B406F" w:rsidRPr="005B406F">
              <w:rPr>
                <w:sz w:val="20"/>
                <w:szCs w:val="20"/>
              </w:rPr>
              <w:t xml:space="preserve"> usług</w:t>
            </w:r>
          </w:p>
        </w:tc>
        <w:tc>
          <w:tcPr>
            <w:tcW w:w="2977" w:type="dxa"/>
            <w:vAlign w:val="center"/>
          </w:tcPr>
          <w:p w:rsidR="005B406F" w:rsidRPr="00794592" w:rsidRDefault="002A6598" w:rsidP="002A659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 GOPS</w:t>
            </w:r>
            <w:r>
              <w:rPr>
                <w:sz w:val="20"/>
                <w:szCs w:val="20"/>
              </w:rPr>
              <w:t>/ MOPS</w:t>
            </w:r>
          </w:p>
        </w:tc>
        <w:tc>
          <w:tcPr>
            <w:tcW w:w="2409" w:type="dxa"/>
            <w:vAlign w:val="center"/>
          </w:tcPr>
          <w:p w:rsidR="002A6598" w:rsidRDefault="002A6598" w:rsidP="002A659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94592">
              <w:rPr>
                <w:sz w:val="20"/>
                <w:szCs w:val="20"/>
              </w:rPr>
              <w:t>Organizacje pozarządowe</w:t>
            </w:r>
            <w:r>
              <w:rPr>
                <w:sz w:val="20"/>
                <w:szCs w:val="20"/>
              </w:rPr>
              <w:t>, przedsiębiorcy</w:t>
            </w:r>
          </w:p>
          <w:p w:rsidR="005B406F" w:rsidRPr="002A6598" w:rsidRDefault="002A6598" w:rsidP="002A659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94592">
              <w:rPr>
                <w:sz w:val="20"/>
                <w:szCs w:val="20"/>
              </w:rPr>
              <w:t>Powiatowe Centrum Pomocy Rodzinie</w:t>
            </w:r>
          </w:p>
        </w:tc>
        <w:tc>
          <w:tcPr>
            <w:tcW w:w="1418" w:type="dxa"/>
            <w:vAlign w:val="center"/>
          </w:tcPr>
          <w:p w:rsidR="005B406F" w:rsidRDefault="005B406F" w:rsidP="002A659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2A659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8672C8" w:rsidRPr="009562AF" w:rsidRDefault="008672C8" w:rsidP="002A6598">
            <w:pPr>
              <w:spacing w:before="0"/>
              <w:ind w:firstLine="0"/>
              <w:jc w:val="left"/>
              <w:rPr>
                <w:rFonts w:ascii="Calibri" w:hAnsi="Calibri" w:cs="Calibri"/>
                <w:b w:val="0"/>
                <w:color w:val="000000"/>
                <w:sz w:val="20"/>
                <w:szCs w:val="20"/>
              </w:rPr>
            </w:pPr>
          </w:p>
        </w:tc>
        <w:tc>
          <w:tcPr>
            <w:tcW w:w="4394" w:type="dxa"/>
          </w:tcPr>
          <w:p w:rsidR="008672C8" w:rsidRPr="005B406F" w:rsidRDefault="008672C8" w:rsidP="002A6598">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rPr>
            </w:pPr>
            <w:r>
              <w:rPr>
                <w:sz w:val="20"/>
                <w:szCs w:val="20"/>
              </w:rPr>
              <w:t>R</w:t>
            </w:r>
            <w:r w:rsidRPr="005B406F">
              <w:rPr>
                <w:sz w:val="20"/>
                <w:szCs w:val="20"/>
              </w:rPr>
              <w:t>ob</w:t>
            </w:r>
            <w:r>
              <w:rPr>
                <w:sz w:val="20"/>
                <w:szCs w:val="20"/>
              </w:rPr>
              <w:t>oty</w:t>
            </w:r>
            <w:r w:rsidRPr="005B406F">
              <w:rPr>
                <w:sz w:val="20"/>
                <w:szCs w:val="20"/>
              </w:rPr>
              <w:t xml:space="preserve"> budowlan</w:t>
            </w:r>
            <w:r>
              <w:rPr>
                <w:sz w:val="20"/>
                <w:szCs w:val="20"/>
              </w:rPr>
              <w:t>e i wyposażenie</w:t>
            </w:r>
            <w:r w:rsidRPr="005B406F">
              <w:rPr>
                <w:sz w:val="20"/>
                <w:szCs w:val="20"/>
              </w:rPr>
              <w:t xml:space="preserve"> infrastruktury społecznej na rzecz integracji społeczno-gospodarczej obywateli państw trzecich, w tym migrantów</w:t>
            </w:r>
          </w:p>
        </w:tc>
        <w:tc>
          <w:tcPr>
            <w:tcW w:w="2977" w:type="dxa"/>
            <w:vAlign w:val="center"/>
          </w:tcPr>
          <w:p w:rsidR="008672C8" w:rsidRPr="00794592" w:rsidRDefault="008672C8"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 GOPS</w:t>
            </w:r>
            <w:r>
              <w:rPr>
                <w:sz w:val="20"/>
                <w:szCs w:val="20"/>
              </w:rPr>
              <w:t>/ MOPS</w:t>
            </w:r>
          </w:p>
        </w:tc>
        <w:tc>
          <w:tcPr>
            <w:tcW w:w="2409" w:type="dxa"/>
            <w:vAlign w:val="center"/>
          </w:tcPr>
          <w:p w:rsidR="008672C8" w:rsidRDefault="008672C8"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94592">
              <w:rPr>
                <w:sz w:val="20"/>
                <w:szCs w:val="20"/>
              </w:rPr>
              <w:t>Organizacje pozarządowe</w:t>
            </w:r>
            <w:r>
              <w:rPr>
                <w:sz w:val="20"/>
                <w:szCs w:val="20"/>
              </w:rPr>
              <w:t>, przedsiębiorcy</w:t>
            </w:r>
          </w:p>
          <w:p w:rsidR="008672C8" w:rsidRPr="002A6598" w:rsidRDefault="008672C8"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p>
        </w:tc>
        <w:tc>
          <w:tcPr>
            <w:tcW w:w="1418" w:type="dxa"/>
            <w:vAlign w:val="center"/>
          </w:tcPr>
          <w:p w:rsidR="008672C8" w:rsidRDefault="008672C8" w:rsidP="002A659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2A659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8672C8" w:rsidRPr="009562AF" w:rsidRDefault="008672C8" w:rsidP="002A6598">
            <w:pPr>
              <w:spacing w:before="0"/>
              <w:ind w:firstLine="0"/>
              <w:jc w:val="left"/>
              <w:rPr>
                <w:rFonts w:ascii="Calibri" w:hAnsi="Calibri" w:cs="Calibri"/>
                <w:b w:val="0"/>
                <w:color w:val="000000"/>
                <w:sz w:val="20"/>
                <w:szCs w:val="20"/>
              </w:rPr>
            </w:pPr>
          </w:p>
        </w:tc>
        <w:tc>
          <w:tcPr>
            <w:tcW w:w="4394" w:type="dxa"/>
          </w:tcPr>
          <w:p w:rsidR="008672C8" w:rsidRPr="005B406F" w:rsidRDefault="008672C8" w:rsidP="008672C8">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sz w:val="20"/>
                <w:szCs w:val="20"/>
              </w:rPr>
              <w:t>Roboty budowlane i wyposażenie</w:t>
            </w:r>
            <w:r w:rsidRPr="005B406F">
              <w:rPr>
                <w:sz w:val="20"/>
                <w:szCs w:val="20"/>
              </w:rPr>
              <w:t xml:space="preserve"> infrastruktury na potrzeby realizacji usług w społeczności lokalnej w szczególności na rzecz osób z </w:t>
            </w:r>
            <w:r>
              <w:rPr>
                <w:sz w:val="20"/>
                <w:szCs w:val="20"/>
              </w:rPr>
              <w:t>n</w:t>
            </w:r>
            <w:r w:rsidRPr="005B406F">
              <w:rPr>
                <w:sz w:val="20"/>
                <w:szCs w:val="20"/>
              </w:rPr>
              <w:t>iepełnosprawnościami, przewlekle chorych i osób starszych</w:t>
            </w:r>
          </w:p>
        </w:tc>
        <w:tc>
          <w:tcPr>
            <w:tcW w:w="2977" w:type="dxa"/>
            <w:vAlign w:val="center"/>
          </w:tcPr>
          <w:p w:rsidR="008672C8" w:rsidRPr="00794592" w:rsidRDefault="008672C8" w:rsidP="002A659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 GOPS</w:t>
            </w:r>
            <w:r>
              <w:rPr>
                <w:sz w:val="20"/>
                <w:szCs w:val="20"/>
              </w:rPr>
              <w:t>/ MOPS</w:t>
            </w:r>
          </w:p>
        </w:tc>
        <w:tc>
          <w:tcPr>
            <w:tcW w:w="2409" w:type="dxa"/>
            <w:vAlign w:val="center"/>
          </w:tcPr>
          <w:p w:rsidR="008672C8" w:rsidRPr="008672C8" w:rsidRDefault="008672C8"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8672C8">
              <w:rPr>
                <w:rFonts w:ascii="Calibri" w:hAnsi="Calibri" w:cs="Calibri"/>
                <w:color w:val="000000"/>
                <w:sz w:val="20"/>
                <w:szCs w:val="20"/>
              </w:rPr>
              <w:t>Organizacje pozarządowe, przedsiębiorcy</w:t>
            </w:r>
          </w:p>
          <w:p w:rsidR="008672C8" w:rsidRPr="008672C8" w:rsidRDefault="008672C8"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8672C8">
              <w:rPr>
                <w:rFonts w:ascii="Calibri" w:hAnsi="Calibri" w:cs="Calibri"/>
                <w:color w:val="000000"/>
                <w:sz w:val="20"/>
                <w:szCs w:val="20"/>
              </w:rPr>
              <w:t>Powiatowe Centrum Pomocy Rodzinie</w:t>
            </w:r>
          </w:p>
        </w:tc>
        <w:tc>
          <w:tcPr>
            <w:tcW w:w="1418" w:type="dxa"/>
            <w:vAlign w:val="center"/>
          </w:tcPr>
          <w:p w:rsidR="008672C8" w:rsidRDefault="008672C8" w:rsidP="002A659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867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8672C8" w:rsidRPr="009562AF" w:rsidRDefault="008672C8" w:rsidP="002A6598">
            <w:pPr>
              <w:spacing w:before="0"/>
              <w:ind w:firstLine="0"/>
              <w:jc w:val="left"/>
              <w:rPr>
                <w:rFonts w:ascii="Calibri" w:hAnsi="Calibri" w:cs="Calibri"/>
                <w:b w:val="0"/>
                <w:color w:val="000000"/>
                <w:sz w:val="20"/>
                <w:szCs w:val="20"/>
              </w:rPr>
            </w:pPr>
          </w:p>
        </w:tc>
        <w:tc>
          <w:tcPr>
            <w:tcW w:w="4394" w:type="dxa"/>
          </w:tcPr>
          <w:p w:rsidR="008672C8" w:rsidRPr="005B406F" w:rsidRDefault="008672C8" w:rsidP="008672C8">
            <w:pPr>
              <w:spacing w:before="0"/>
              <w:ind w:left="33" w:firstLine="0"/>
              <w:jc w:val="left"/>
              <w:cnfStyle w:val="000000010000" w:firstRow="0" w:lastRow="0" w:firstColumn="0" w:lastColumn="0" w:oddVBand="0" w:evenVBand="0" w:oddHBand="0" w:evenHBand="1" w:firstRowFirstColumn="0" w:firstRowLastColumn="0" w:lastRowFirstColumn="0" w:lastRowLastColumn="0"/>
              <w:rPr>
                <w:sz w:val="20"/>
                <w:szCs w:val="20"/>
              </w:rPr>
            </w:pPr>
            <w:r w:rsidRPr="008672C8">
              <w:rPr>
                <w:sz w:val="20"/>
                <w:szCs w:val="20"/>
              </w:rPr>
              <w:t xml:space="preserve">Roboty budowlane i wyposażenie </w:t>
            </w:r>
            <w:r w:rsidRPr="005B406F">
              <w:rPr>
                <w:sz w:val="20"/>
                <w:szCs w:val="20"/>
              </w:rPr>
              <w:t>infrastruktury mieszkań o charakterze chronionym, treningowym i wspomaganym (w uzasadnionych przypadkach także zakup lokali mieszkalnych n</w:t>
            </w:r>
            <w:r>
              <w:rPr>
                <w:sz w:val="20"/>
                <w:szCs w:val="20"/>
              </w:rPr>
              <w:t>a przedmiotowe cele) skierowanych</w:t>
            </w:r>
            <w:r w:rsidRPr="005B406F">
              <w:rPr>
                <w:sz w:val="20"/>
                <w:szCs w:val="20"/>
              </w:rPr>
              <w:t xml:space="preserve"> w szczególności dla osób opuszczających pieczę zastępczą, zakłady poprawcze lub młodzieżowe ośrodki wychowawcze oraz działań ukierunkowanych na </w:t>
            </w:r>
            <w:proofErr w:type="spellStart"/>
            <w:r w:rsidRPr="005B406F">
              <w:rPr>
                <w:sz w:val="20"/>
                <w:szCs w:val="20"/>
              </w:rPr>
              <w:t>deinstytucjonalizację</w:t>
            </w:r>
            <w:proofErr w:type="spellEnd"/>
            <w:r w:rsidRPr="005B406F">
              <w:rPr>
                <w:sz w:val="20"/>
                <w:szCs w:val="20"/>
              </w:rPr>
              <w:t xml:space="preserve"> pieczy zastępczej czy usług dla osób w kryzysie bezdomności</w:t>
            </w:r>
          </w:p>
        </w:tc>
        <w:tc>
          <w:tcPr>
            <w:tcW w:w="2977" w:type="dxa"/>
            <w:vAlign w:val="center"/>
          </w:tcPr>
          <w:p w:rsidR="008672C8" w:rsidRPr="00794592" w:rsidRDefault="008672C8"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94592">
              <w:rPr>
                <w:sz w:val="20"/>
                <w:szCs w:val="20"/>
              </w:rPr>
              <w:t>Gmina Miejska Hrubieszów, Gmina Hrubieszów, GOPS</w:t>
            </w:r>
            <w:r>
              <w:rPr>
                <w:sz w:val="20"/>
                <w:szCs w:val="20"/>
              </w:rPr>
              <w:t>/ MOPS</w:t>
            </w:r>
          </w:p>
        </w:tc>
        <w:tc>
          <w:tcPr>
            <w:tcW w:w="2409" w:type="dxa"/>
            <w:vAlign w:val="center"/>
          </w:tcPr>
          <w:p w:rsidR="008672C8" w:rsidRPr="008672C8" w:rsidRDefault="008672C8"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8672C8">
              <w:rPr>
                <w:sz w:val="20"/>
                <w:szCs w:val="20"/>
              </w:rPr>
              <w:t>Organizacje pozarządowe, przedsiębiorcy</w:t>
            </w:r>
          </w:p>
          <w:p w:rsidR="008672C8" w:rsidRPr="00794592" w:rsidRDefault="008672C8"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8672C8">
              <w:rPr>
                <w:sz w:val="20"/>
                <w:szCs w:val="20"/>
              </w:rPr>
              <w:t>Powiatowe Centrum Pomocy Rodzinie</w:t>
            </w:r>
          </w:p>
        </w:tc>
        <w:tc>
          <w:tcPr>
            <w:tcW w:w="1418" w:type="dxa"/>
            <w:vAlign w:val="center"/>
          </w:tcPr>
          <w:p w:rsidR="008672C8" w:rsidRPr="00932C0C" w:rsidRDefault="008672C8"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8672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8672C8" w:rsidRPr="009562AF" w:rsidRDefault="008672C8" w:rsidP="002A6598">
            <w:pPr>
              <w:spacing w:before="0"/>
              <w:ind w:firstLine="0"/>
              <w:jc w:val="left"/>
              <w:rPr>
                <w:rFonts w:ascii="Calibri" w:hAnsi="Calibri" w:cs="Calibri"/>
                <w:b w:val="0"/>
                <w:color w:val="000000"/>
                <w:sz w:val="20"/>
                <w:szCs w:val="20"/>
              </w:rPr>
            </w:pPr>
          </w:p>
        </w:tc>
        <w:tc>
          <w:tcPr>
            <w:tcW w:w="4394" w:type="dxa"/>
          </w:tcPr>
          <w:p w:rsidR="008672C8" w:rsidRPr="005B406F" w:rsidRDefault="008672C8" w:rsidP="005B406F">
            <w:pPr>
              <w:spacing w:before="0"/>
              <w:ind w:left="33"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8672C8">
              <w:rPr>
                <w:sz w:val="20"/>
                <w:szCs w:val="20"/>
              </w:rPr>
              <w:t xml:space="preserve">Roboty budowlane i wyposażenie </w:t>
            </w:r>
            <w:r w:rsidRPr="005B406F">
              <w:rPr>
                <w:sz w:val="20"/>
                <w:szCs w:val="20"/>
              </w:rPr>
              <w:t>infrastruktury mieszkań o charakterze chronionym, wspomaganym, mieszkań z usługami (w uzasadnionych przypadkach także zakup lokali mieszkalnych na przedmiotowe cele) skierowanej dla cudzoziemców objętych indywidualnym planem integracji</w:t>
            </w:r>
          </w:p>
        </w:tc>
        <w:tc>
          <w:tcPr>
            <w:tcW w:w="2977" w:type="dxa"/>
            <w:vAlign w:val="center"/>
          </w:tcPr>
          <w:p w:rsidR="008672C8" w:rsidRPr="00794592" w:rsidRDefault="008672C8"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94592">
              <w:rPr>
                <w:sz w:val="20"/>
                <w:szCs w:val="20"/>
              </w:rPr>
              <w:t>Gmina Miejska Hrubieszów, Gmina Hrubieszów, GOPS</w:t>
            </w:r>
            <w:r>
              <w:rPr>
                <w:sz w:val="20"/>
                <w:szCs w:val="20"/>
              </w:rPr>
              <w:t>/ MOPS</w:t>
            </w:r>
          </w:p>
        </w:tc>
        <w:tc>
          <w:tcPr>
            <w:tcW w:w="2409" w:type="dxa"/>
            <w:vAlign w:val="center"/>
          </w:tcPr>
          <w:p w:rsidR="008672C8" w:rsidRPr="00794592" w:rsidRDefault="008672C8"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8672C8">
              <w:rPr>
                <w:sz w:val="20"/>
                <w:szCs w:val="20"/>
              </w:rPr>
              <w:t>Organizacje pozarządowe</w:t>
            </w:r>
            <w:r>
              <w:rPr>
                <w:sz w:val="20"/>
                <w:szCs w:val="20"/>
              </w:rPr>
              <w:t>, przedsiębiorcy</w:t>
            </w:r>
          </w:p>
        </w:tc>
        <w:tc>
          <w:tcPr>
            <w:tcW w:w="1418" w:type="dxa"/>
            <w:vAlign w:val="center"/>
          </w:tcPr>
          <w:p w:rsidR="008672C8" w:rsidRPr="00932C0C" w:rsidRDefault="008672C8"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8672C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8672C8" w:rsidRPr="009562AF" w:rsidRDefault="008672C8" w:rsidP="002A6598">
            <w:pPr>
              <w:spacing w:before="0"/>
              <w:ind w:firstLine="0"/>
              <w:jc w:val="left"/>
              <w:rPr>
                <w:rFonts w:ascii="Calibri" w:hAnsi="Calibri" w:cs="Calibri"/>
                <w:b w:val="0"/>
                <w:color w:val="000000"/>
                <w:sz w:val="20"/>
                <w:szCs w:val="20"/>
              </w:rPr>
            </w:pPr>
          </w:p>
        </w:tc>
        <w:tc>
          <w:tcPr>
            <w:tcW w:w="4394" w:type="dxa"/>
          </w:tcPr>
          <w:p w:rsidR="008672C8" w:rsidRPr="005B406F" w:rsidRDefault="008672C8" w:rsidP="008672C8">
            <w:pPr>
              <w:spacing w:before="0"/>
              <w:ind w:left="33" w:firstLine="0"/>
              <w:jc w:val="left"/>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 xml:space="preserve">Wsparcie infrastruktury </w:t>
            </w:r>
            <w:r w:rsidRPr="005B406F">
              <w:rPr>
                <w:sz w:val="20"/>
                <w:szCs w:val="20"/>
              </w:rPr>
              <w:t>(mieszkania/lokale – z wyłączeniem budowy nowych obiektów) wykorzystywanej w ramach najmu socjalnego</w:t>
            </w:r>
          </w:p>
        </w:tc>
        <w:tc>
          <w:tcPr>
            <w:tcW w:w="2977" w:type="dxa"/>
            <w:vAlign w:val="center"/>
          </w:tcPr>
          <w:p w:rsidR="008672C8" w:rsidRPr="00794592" w:rsidRDefault="00FD16DF"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94592">
              <w:rPr>
                <w:sz w:val="20"/>
                <w:szCs w:val="20"/>
              </w:rPr>
              <w:t>Gmina Miejska Hrubieszów, Gmina Hrubieszów, GOPS</w:t>
            </w:r>
            <w:r>
              <w:rPr>
                <w:sz w:val="20"/>
                <w:szCs w:val="20"/>
              </w:rPr>
              <w:t>/ MOPS</w:t>
            </w:r>
          </w:p>
        </w:tc>
        <w:tc>
          <w:tcPr>
            <w:tcW w:w="2409" w:type="dxa"/>
            <w:vAlign w:val="center"/>
          </w:tcPr>
          <w:p w:rsidR="008672C8" w:rsidRPr="00794592" w:rsidRDefault="00FD16DF"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8672C8">
              <w:rPr>
                <w:sz w:val="20"/>
                <w:szCs w:val="20"/>
              </w:rPr>
              <w:t>Organizacje pozarządowe</w:t>
            </w:r>
            <w:r>
              <w:rPr>
                <w:sz w:val="20"/>
                <w:szCs w:val="20"/>
              </w:rPr>
              <w:t>, przedsiębiorcy</w:t>
            </w:r>
          </w:p>
        </w:tc>
        <w:tc>
          <w:tcPr>
            <w:tcW w:w="1418" w:type="dxa"/>
            <w:vAlign w:val="center"/>
          </w:tcPr>
          <w:p w:rsidR="008672C8" w:rsidRPr="00932C0C" w:rsidRDefault="008672C8"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2D73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FFFFF" w:themeFill="background1"/>
            <w:vAlign w:val="center"/>
          </w:tcPr>
          <w:p w:rsidR="008672C8" w:rsidRPr="005B406F" w:rsidRDefault="008672C8" w:rsidP="00FD16DF">
            <w:pPr>
              <w:spacing w:before="0"/>
              <w:ind w:firstLine="0"/>
              <w:jc w:val="left"/>
              <w:rPr>
                <w:rFonts w:asciiTheme="minorHAnsi" w:hAnsiTheme="minorHAnsi" w:cstheme="minorHAnsi"/>
                <w:b w:val="0"/>
                <w:color w:val="000000"/>
                <w:sz w:val="20"/>
                <w:szCs w:val="20"/>
              </w:rPr>
            </w:pPr>
            <w:r w:rsidRPr="005B406F">
              <w:rPr>
                <w:rFonts w:asciiTheme="minorHAnsi" w:hAnsiTheme="minorHAnsi" w:cstheme="minorHAnsi"/>
                <w:b w:val="0"/>
                <w:color w:val="000000"/>
                <w:sz w:val="20"/>
                <w:szCs w:val="20"/>
              </w:rPr>
              <w:t xml:space="preserve">Poprawa dostępu do </w:t>
            </w:r>
            <w:r w:rsidRPr="005B406F">
              <w:rPr>
                <w:rFonts w:asciiTheme="minorHAnsi" w:hAnsiTheme="minorHAnsi" w:cstheme="minorHAnsi"/>
                <w:b w:val="0"/>
                <w:sz w:val="20"/>
                <w:szCs w:val="20"/>
              </w:rPr>
              <w:t>trwałych i przystępnych cenowo usług społecznych</w:t>
            </w:r>
          </w:p>
        </w:tc>
        <w:tc>
          <w:tcPr>
            <w:tcW w:w="4394" w:type="dxa"/>
            <w:vAlign w:val="center"/>
          </w:tcPr>
          <w:p w:rsidR="008672C8" w:rsidRPr="005B406F" w:rsidRDefault="00C56C9E" w:rsidP="002441D5">
            <w:pPr>
              <w:spacing w:before="0"/>
              <w:ind w:left="33"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C56C9E">
              <w:rPr>
                <w:sz w:val="20"/>
                <w:szCs w:val="20"/>
              </w:rPr>
              <w:t>Rozwój usług społecznych świadczonych w społeczności lokalnej dla osób potrzebujących wsparcia w codziennym funkcjonowaniu w tym osób posiadających niepełnosprawności z terenu Hrubieszowskiego Obszaru Funkcjonalnego</w:t>
            </w:r>
          </w:p>
        </w:tc>
        <w:tc>
          <w:tcPr>
            <w:tcW w:w="2977" w:type="dxa"/>
            <w:vAlign w:val="center"/>
          </w:tcPr>
          <w:p w:rsidR="008672C8" w:rsidRPr="00794592" w:rsidRDefault="008672C8"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50733">
              <w:rPr>
                <w:rFonts w:ascii="Calibri" w:hAnsi="Calibri" w:cs="Calibri"/>
                <w:color w:val="000000"/>
                <w:sz w:val="20"/>
                <w:szCs w:val="20"/>
              </w:rPr>
              <w:t>Gmina Miejska Hrubieszów, Gmina Hrubieszów</w:t>
            </w:r>
            <w:r w:rsidR="00FD16DF">
              <w:rPr>
                <w:rFonts w:ascii="Calibri" w:hAnsi="Calibri" w:cs="Calibri"/>
                <w:color w:val="000000"/>
                <w:sz w:val="20"/>
                <w:szCs w:val="20"/>
              </w:rPr>
              <w:t xml:space="preserve">, </w:t>
            </w:r>
            <w:r w:rsidR="00FD16DF" w:rsidRPr="00794592">
              <w:rPr>
                <w:sz w:val="20"/>
                <w:szCs w:val="20"/>
              </w:rPr>
              <w:t>GOPS</w:t>
            </w:r>
            <w:r w:rsidR="00FD16DF">
              <w:rPr>
                <w:sz w:val="20"/>
                <w:szCs w:val="20"/>
              </w:rPr>
              <w:t>/ MOPS</w:t>
            </w:r>
          </w:p>
        </w:tc>
        <w:tc>
          <w:tcPr>
            <w:tcW w:w="2409" w:type="dxa"/>
            <w:vAlign w:val="center"/>
          </w:tcPr>
          <w:p w:rsidR="008672C8" w:rsidRPr="00794592" w:rsidRDefault="00FD16DF"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8672C8">
              <w:rPr>
                <w:sz w:val="20"/>
                <w:szCs w:val="20"/>
              </w:rPr>
              <w:t>Organizacje pozarządowe</w:t>
            </w:r>
            <w:r>
              <w:rPr>
                <w:sz w:val="20"/>
                <w:szCs w:val="20"/>
              </w:rPr>
              <w:t>, przedsiębiorcy,</w:t>
            </w:r>
            <w:r w:rsidRPr="008672C8">
              <w:rPr>
                <w:sz w:val="20"/>
                <w:szCs w:val="20"/>
              </w:rPr>
              <w:t xml:space="preserve"> </w:t>
            </w:r>
            <w:r w:rsidR="008672C8" w:rsidRPr="008672C8">
              <w:rPr>
                <w:sz w:val="20"/>
                <w:szCs w:val="20"/>
              </w:rPr>
              <w:t>GOK, Hrubieszowski Dom Kultury, Biblioteka Publiczna, mieszkańcy - osoby fizyczne</w:t>
            </w:r>
          </w:p>
        </w:tc>
        <w:tc>
          <w:tcPr>
            <w:tcW w:w="1418" w:type="dxa"/>
            <w:vAlign w:val="center"/>
          </w:tcPr>
          <w:p w:rsidR="008672C8" w:rsidRPr="00932C0C" w:rsidRDefault="008672C8"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2D73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8672C8" w:rsidRPr="005B406F" w:rsidRDefault="008672C8" w:rsidP="005B406F">
            <w:pPr>
              <w:spacing w:before="0"/>
              <w:ind w:firstLine="0"/>
              <w:jc w:val="left"/>
              <w:rPr>
                <w:rFonts w:cstheme="minorHAnsi"/>
                <w:b w:val="0"/>
                <w:color w:val="000000"/>
                <w:sz w:val="20"/>
                <w:szCs w:val="20"/>
              </w:rPr>
            </w:pPr>
          </w:p>
        </w:tc>
        <w:tc>
          <w:tcPr>
            <w:tcW w:w="4394" w:type="dxa"/>
            <w:vAlign w:val="center"/>
          </w:tcPr>
          <w:p w:rsidR="008672C8" w:rsidRPr="005B406F" w:rsidRDefault="00FD16DF" w:rsidP="00FD16DF">
            <w:pPr>
              <w:spacing w:before="0"/>
              <w:ind w:left="33" w:firstLine="0"/>
              <w:jc w:val="left"/>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Wsparcie</w:t>
            </w:r>
            <w:r w:rsidR="008672C8" w:rsidRPr="005B406F">
              <w:rPr>
                <w:sz w:val="20"/>
                <w:szCs w:val="20"/>
              </w:rPr>
              <w:t xml:space="preserve"> tworzenia warunków i usług w zakresie </w:t>
            </w:r>
            <w:r w:rsidR="008672C8" w:rsidRPr="005B406F">
              <w:rPr>
                <w:sz w:val="20"/>
                <w:szCs w:val="20"/>
              </w:rPr>
              <w:lastRenderedPageBreak/>
              <w:t>opieki osób potrzebujących wsparcia w codziennym funkcj</w:t>
            </w:r>
            <w:r>
              <w:rPr>
                <w:sz w:val="20"/>
                <w:szCs w:val="20"/>
              </w:rPr>
              <w:t>onowaniu w miejscu zamieszkania</w:t>
            </w:r>
          </w:p>
        </w:tc>
        <w:tc>
          <w:tcPr>
            <w:tcW w:w="2977" w:type="dxa"/>
            <w:vAlign w:val="center"/>
          </w:tcPr>
          <w:p w:rsidR="008672C8" w:rsidRPr="00794592" w:rsidRDefault="00FD16DF"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E50733">
              <w:rPr>
                <w:rFonts w:ascii="Calibri" w:hAnsi="Calibri" w:cs="Calibri"/>
                <w:color w:val="000000"/>
                <w:sz w:val="20"/>
                <w:szCs w:val="20"/>
              </w:rPr>
              <w:lastRenderedPageBreak/>
              <w:t xml:space="preserve">Gmina Miejska Hrubieszów, </w:t>
            </w:r>
            <w:r w:rsidRPr="00E50733">
              <w:rPr>
                <w:rFonts w:ascii="Calibri" w:hAnsi="Calibri" w:cs="Calibri"/>
                <w:color w:val="000000"/>
                <w:sz w:val="20"/>
                <w:szCs w:val="20"/>
              </w:rPr>
              <w:lastRenderedPageBreak/>
              <w:t>Gmina Hrubieszów</w:t>
            </w:r>
            <w:r>
              <w:rPr>
                <w:rFonts w:ascii="Calibri" w:hAnsi="Calibri" w:cs="Calibri"/>
                <w:color w:val="000000"/>
                <w:sz w:val="20"/>
                <w:szCs w:val="20"/>
              </w:rPr>
              <w:t xml:space="preserve">, </w:t>
            </w:r>
            <w:r w:rsidRPr="00794592">
              <w:rPr>
                <w:sz w:val="20"/>
                <w:szCs w:val="20"/>
              </w:rPr>
              <w:t>GOPS</w:t>
            </w:r>
            <w:r>
              <w:rPr>
                <w:sz w:val="20"/>
                <w:szCs w:val="20"/>
              </w:rPr>
              <w:t>/ MOPS</w:t>
            </w:r>
          </w:p>
        </w:tc>
        <w:tc>
          <w:tcPr>
            <w:tcW w:w="2409" w:type="dxa"/>
            <w:vAlign w:val="center"/>
          </w:tcPr>
          <w:p w:rsidR="008672C8" w:rsidRPr="00794592" w:rsidRDefault="00FD16DF"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8672C8">
              <w:rPr>
                <w:sz w:val="20"/>
                <w:szCs w:val="20"/>
              </w:rPr>
              <w:lastRenderedPageBreak/>
              <w:t>Organizacje pozarządowe</w:t>
            </w:r>
            <w:r>
              <w:rPr>
                <w:sz w:val="20"/>
                <w:szCs w:val="20"/>
              </w:rPr>
              <w:t xml:space="preserve">, </w:t>
            </w:r>
            <w:r>
              <w:rPr>
                <w:sz w:val="20"/>
                <w:szCs w:val="20"/>
              </w:rPr>
              <w:lastRenderedPageBreak/>
              <w:t xml:space="preserve">przedsiębiorcy, </w:t>
            </w:r>
            <w:r w:rsidRPr="008672C8">
              <w:rPr>
                <w:sz w:val="20"/>
                <w:szCs w:val="20"/>
              </w:rPr>
              <w:t>mieszkańcy - osoby fizyczne</w:t>
            </w:r>
          </w:p>
        </w:tc>
        <w:tc>
          <w:tcPr>
            <w:tcW w:w="1418" w:type="dxa"/>
            <w:vAlign w:val="center"/>
          </w:tcPr>
          <w:p w:rsidR="008672C8" w:rsidRPr="00932C0C" w:rsidRDefault="008672C8"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2D73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8672C8" w:rsidRPr="005B406F" w:rsidRDefault="008672C8" w:rsidP="005B406F">
            <w:pPr>
              <w:spacing w:before="0"/>
              <w:ind w:firstLine="0"/>
              <w:jc w:val="left"/>
              <w:rPr>
                <w:rFonts w:cstheme="minorHAnsi"/>
                <w:b w:val="0"/>
                <w:color w:val="000000"/>
                <w:sz w:val="20"/>
                <w:szCs w:val="20"/>
              </w:rPr>
            </w:pPr>
          </w:p>
        </w:tc>
        <w:tc>
          <w:tcPr>
            <w:tcW w:w="4394" w:type="dxa"/>
            <w:vAlign w:val="center"/>
          </w:tcPr>
          <w:p w:rsidR="008672C8" w:rsidRPr="005B406F" w:rsidRDefault="00FD16DF" w:rsidP="00FD16DF">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Pr>
                <w:sz w:val="20"/>
                <w:szCs w:val="20"/>
              </w:rPr>
              <w:t>Wsparcie</w:t>
            </w:r>
            <w:r w:rsidR="008672C8" w:rsidRPr="005B406F">
              <w:rPr>
                <w:sz w:val="20"/>
                <w:szCs w:val="20"/>
              </w:rPr>
              <w:t xml:space="preserve"> opiekunów faktycznych (nieformalnych) osób potrzebujących wsparcia w codziennym funkcjonowaniu, w tym opieka </w:t>
            </w:r>
            <w:proofErr w:type="spellStart"/>
            <w:r w:rsidR="008672C8" w:rsidRPr="005B406F">
              <w:rPr>
                <w:sz w:val="20"/>
                <w:szCs w:val="20"/>
              </w:rPr>
              <w:t>wytchnieniowa</w:t>
            </w:r>
            <w:proofErr w:type="spellEnd"/>
            <w:r w:rsidR="008672C8" w:rsidRPr="005B406F">
              <w:rPr>
                <w:sz w:val="20"/>
                <w:szCs w:val="20"/>
              </w:rPr>
              <w:t>, poradnictwo, kształcenie potrzebne do opieki</w:t>
            </w:r>
          </w:p>
        </w:tc>
        <w:tc>
          <w:tcPr>
            <w:tcW w:w="2977" w:type="dxa"/>
            <w:vAlign w:val="center"/>
          </w:tcPr>
          <w:p w:rsidR="008672C8" w:rsidRPr="00794592" w:rsidRDefault="00FD16DF"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50733">
              <w:rPr>
                <w:rFonts w:ascii="Calibri" w:hAnsi="Calibri" w:cs="Calibri"/>
                <w:color w:val="000000"/>
                <w:sz w:val="20"/>
                <w:szCs w:val="20"/>
              </w:rPr>
              <w:t>Gmina Miejska Hrubieszów, Gmina Hrubieszów</w:t>
            </w:r>
            <w:r>
              <w:rPr>
                <w:rFonts w:ascii="Calibri" w:hAnsi="Calibri" w:cs="Calibri"/>
                <w:color w:val="000000"/>
                <w:sz w:val="20"/>
                <w:szCs w:val="20"/>
              </w:rPr>
              <w:t xml:space="preserve">, </w:t>
            </w:r>
            <w:r w:rsidRPr="00794592">
              <w:rPr>
                <w:sz w:val="20"/>
                <w:szCs w:val="20"/>
              </w:rPr>
              <w:t>GOPS</w:t>
            </w:r>
            <w:r>
              <w:rPr>
                <w:sz w:val="20"/>
                <w:szCs w:val="20"/>
              </w:rPr>
              <w:t>/ MOPS</w:t>
            </w:r>
          </w:p>
        </w:tc>
        <w:tc>
          <w:tcPr>
            <w:tcW w:w="2409" w:type="dxa"/>
            <w:vAlign w:val="center"/>
          </w:tcPr>
          <w:p w:rsidR="008672C8" w:rsidRPr="00794592" w:rsidRDefault="00FD16DF" w:rsidP="00FD16DF">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8672C8">
              <w:rPr>
                <w:sz w:val="20"/>
                <w:szCs w:val="20"/>
              </w:rPr>
              <w:t>Powiatowe Centrum Pomocy Rodzinie</w:t>
            </w:r>
            <w:r>
              <w:rPr>
                <w:sz w:val="20"/>
                <w:szCs w:val="20"/>
              </w:rPr>
              <w:t>, o</w:t>
            </w:r>
            <w:r w:rsidRPr="008672C8">
              <w:rPr>
                <w:sz w:val="20"/>
                <w:szCs w:val="20"/>
              </w:rPr>
              <w:t>rganizacje pozarządowe</w:t>
            </w:r>
            <w:r>
              <w:rPr>
                <w:sz w:val="20"/>
                <w:szCs w:val="20"/>
              </w:rPr>
              <w:t>, przedsiębiorcy,</w:t>
            </w:r>
            <w:r w:rsidRPr="008672C8">
              <w:rPr>
                <w:sz w:val="20"/>
                <w:szCs w:val="20"/>
              </w:rPr>
              <w:t xml:space="preserve"> GOK, Hrubieszowski Dom Kultury, Biblioteka Publiczna, mieszkańcy - osoby fizyczne</w:t>
            </w:r>
          </w:p>
        </w:tc>
        <w:tc>
          <w:tcPr>
            <w:tcW w:w="1418" w:type="dxa"/>
            <w:vAlign w:val="center"/>
          </w:tcPr>
          <w:p w:rsidR="008672C8" w:rsidRPr="00932C0C" w:rsidRDefault="008672C8"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2D73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8672C8" w:rsidRPr="005B406F" w:rsidRDefault="008672C8" w:rsidP="005B406F">
            <w:pPr>
              <w:spacing w:before="0"/>
              <w:ind w:firstLine="0"/>
              <w:jc w:val="left"/>
              <w:rPr>
                <w:rFonts w:cstheme="minorHAnsi"/>
                <w:b w:val="0"/>
                <w:color w:val="000000"/>
                <w:sz w:val="20"/>
                <w:szCs w:val="20"/>
              </w:rPr>
            </w:pPr>
          </w:p>
        </w:tc>
        <w:tc>
          <w:tcPr>
            <w:tcW w:w="4394" w:type="dxa"/>
            <w:vAlign w:val="center"/>
          </w:tcPr>
          <w:p w:rsidR="008672C8" w:rsidRPr="005B406F" w:rsidRDefault="00FD16DF" w:rsidP="00FD16DF">
            <w:pPr>
              <w:spacing w:before="0"/>
              <w:ind w:left="33" w:firstLine="0"/>
              <w:jc w:val="left"/>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w:t>
            </w:r>
            <w:r w:rsidR="008672C8" w:rsidRPr="005B406F">
              <w:rPr>
                <w:sz w:val="20"/>
                <w:szCs w:val="20"/>
              </w:rPr>
              <w:t>zkoleni</w:t>
            </w:r>
            <w:r>
              <w:rPr>
                <w:sz w:val="20"/>
                <w:szCs w:val="20"/>
              </w:rPr>
              <w:t>e</w:t>
            </w:r>
            <w:r w:rsidR="008672C8" w:rsidRPr="005B406F">
              <w:rPr>
                <w:sz w:val="20"/>
                <w:szCs w:val="20"/>
              </w:rPr>
              <w:t xml:space="preserve"> kadr na potrzeby świadczenia usług w społeczności lokalnej</w:t>
            </w:r>
          </w:p>
        </w:tc>
        <w:tc>
          <w:tcPr>
            <w:tcW w:w="2977" w:type="dxa"/>
            <w:vAlign w:val="center"/>
          </w:tcPr>
          <w:p w:rsidR="008672C8" w:rsidRPr="00794592" w:rsidRDefault="00FD16DF"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E50733">
              <w:rPr>
                <w:rFonts w:ascii="Calibri" w:hAnsi="Calibri" w:cs="Calibri"/>
                <w:color w:val="000000"/>
                <w:sz w:val="20"/>
                <w:szCs w:val="20"/>
              </w:rPr>
              <w:t>Gmina Miejska Hrubieszów, Gmina Hrubieszów</w:t>
            </w:r>
            <w:r>
              <w:rPr>
                <w:rFonts w:ascii="Calibri" w:hAnsi="Calibri" w:cs="Calibri"/>
                <w:color w:val="000000"/>
                <w:sz w:val="20"/>
                <w:szCs w:val="20"/>
              </w:rPr>
              <w:t xml:space="preserve">, </w:t>
            </w:r>
            <w:r w:rsidRPr="00794592">
              <w:rPr>
                <w:sz w:val="20"/>
                <w:szCs w:val="20"/>
              </w:rPr>
              <w:t>GOPS</w:t>
            </w:r>
            <w:r>
              <w:rPr>
                <w:sz w:val="20"/>
                <w:szCs w:val="20"/>
              </w:rPr>
              <w:t>/ MOPS</w:t>
            </w:r>
          </w:p>
        </w:tc>
        <w:tc>
          <w:tcPr>
            <w:tcW w:w="2409" w:type="dxa"/>
            <w:vAlign w:val="center"/>
          </w:tcPr>
          <w:p w:rsidR="008672C8" w:rsidRPr="00794592" w:rsidRDefault="00FD16DF"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8672C8">
              <w:rPr>
                <w:sz w:val="20"/>
                <w:szCs w:val="20"/>
              </w:rPr>
              <w:t>Powiatowe Centrum Pomocy Rodzinie</w:t>
            </w:r>
            <w:r>
              <w:rPr>
                <w:sz w:val="20"/>
                <w:szCs w:val="20"/>
              </w:rPr>
              <w:t>, o</w:t>
            </w:r>
            <w:r w:rsidRPr="008672C8">
              <w:rPr>
                <w:sz w:val="20"/>
                <w:szCs w:val="20"/>
              </w:rPr>
              <w:t>rganizacje pozarządowe</w:t>
            </w:r>
            <w:r>
              <w:rPr>
                <w:sz w:val="20"/>
                <w:szCs w:val="20"/>
              </w:rPr>
              <w:t xml:space="preserve">, </w:t>
            </w:r>
            <w:r w:rsidRPr="008672C8">
              <w:rPr>
                <w:sz w:val="20"/>
                <w:szCs w:val="20"/>
              </w:rPr>
              <w:t>GOK, Hrubieszowski Dom Kultury</w:t>
            </w:r>
          </w:p>
        </w:tc>
        <w:tc>
          <w:tcPr>
            <w:tcW w:w="1418" w:type="dxa"/>
            <w:vAlign w:val="center"/>
          </w:tcPr>
          <w:p w:rsidR="008672C8" w:rsidRPr="00932C0C" w:rsidRDefault="008672C8"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2D73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8672C8" w:rsidRPr="005B406F" w:rsidRDefault="008672C8" w:rsidP="005B406F">
            <w:pPr>
              <w:spacing w:before="0"/>
              <w:ind w:firstLine="0"/>
              <w:jc w:val="left"/>
              <w:rPr>
                <w:rFonts w:cstheme="minorHAnsi"/>
                <w:b w:val="0"/>
                <w:color w:val="000000"/>
                <w:sz w:val="20"/>
                <w:szCs w:val="20"/>
              </w:rPr>
            </w:pPr>
          </w:p>
        </w:tc>
        <w:tc>
          <w:tcPr>
            <w:tcW w:w="4394" w:type="dxa"/>
            <w:vAlign w:val="center"/>
          </w:tcPr>
          <w:p w:rsidR="008672C8" w:rsidRPr="005B406F" w:rsidRDefault="00FD16DF" w:rsidP="00FD16DF">
            <w:pPr>
              <w:spacing w:before="0"/>
              <w:ind w:left="33" w:firstLine="0"/>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Wsparcie</w:t>
            </w:r>
            <w:r w:rsidR="008672C8" w:rsidRPr="005B406F">
              <w:rPr>
                <w:sz w:val="20"/>
                <w:szCs w:val="20"/>
              </w:rPr>
              <w:t xml:space="preserve"> dla tworzenia lub funkcjonowania placówek świadczących usługi społeczne w społeczności lokalnej i ich usług, w tym CUS</w:t>
            </w:r>
          </w:p>
        </w:tc>
        <w:tc>
          <w:tcPr>
            <w:tcW w:w="2977" w:type="dxa"/>
            <w:vAlign w:val="center"/>
          </w:tcPr>
          <w:p w:rsidR="008672C8" w:rsidRPr="00794592" w:rsidRDefault="00F224F0"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50733">
              <w:rPr>
                <w:rFonts w:ascii="Calibri" w:hAnsi="Calibri" w:cs="Calibri"/>
                <w:color w:val="000000"/>
                <w:sz w:val="20"/>
                <w:szCs w:val="20"/>
              </w:rPr>
              <w:t>Gmina Miejska Hrubieszów, Gmina Hrubieszów</w:t>
            </w:r>
            <w:r>
              <w:rPr>
                <w:rFonts w:ascii="Calibri" w:hAnsi="Calibri" w:cs="Calibri"/>
                <w:color w:val="000000"/>
                <w:sz w:val="20"/>
                <w:szCs w:val="20"/>
              </w:rPr>
              <w:t xml:space="preserve">, </w:t>
            </w:r>
            <w:r w:rsidRPr="00794592">
              <w:rPr>
                <w:sz w:val="20"/>
                <w:szCs w:val="20"/>
              </w:rPr>
              <w:t>GOPS</w:t>
            </w:r>
            <w:r>
              <w:rPr>
                <w:sz w:val="20"/>
                <w:szCs w:val="20"/>
              </w:rPr>
              <w:t>/ MOPS</w:t>
            </w:r>
          </w:p>
        </w:tc>
        <w:tc>
          <w:tcPr>
            <w:tcW w:w="2409" w:type="dxa"/>
            <w:vAlign w:val="center"/>
          </w:tcPr>
          <w:p w:rsidR="008672C8" w:rsidRPr="00794592" w:rsidRDefault="00F224F0"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94592">
              <w:rPr>
                <w:sz w:val="20"/>
                <w:szCs w:val="20"/>
              </w:rPr>
              <w:t>Powiatowe Centrum Pomocy Rodzinie, organizacje pozarządowe</w:t>
            </w:r>
          </w:p>
        </w:tc>
        <w:tc>
          <w:tcPr>
            <w:tcW w:w="1418" w:type="dxa"/>
            <w:vAlign w:val="center"/>
          </w:tcPr>
          <w:p w:rsidR="008672C8" w:rsidRPr="00932C0C" w:rsidRDefault="008672C8"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8672C8" w:rsidTr="002D73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8672C8" w:rsidRPr="005B406F" w:rsidRDefault="008672C8" w:rsidP="005B406F">
            <w:pPr>
              <w:spacing w:before="0"/>
              <w:ind w:firstLine="0"/>
              <w:jc w:val="left"/>
              <w:rPr>
                <w:rFonts w:cstheme="minorHAnsi"/>
                <w:b w:val="0"/>
                <w:color w:val="000000"/>
                <w:sz w:val="20"/>
                <w:szCs w:val="20"/>
              </w:rPr>
            </w:pPr>
          </w:p>
        </w:tc>
        <w:tc>
          <w:tcPr>
            <w:tcW w:w="4394" w:type="dxa"/>
            <w:vAlign w:val="center"/>
          </w:tcPr>
          <w:p w:rsidR="008672C8" w:rsidRPr="005B406F" w:rsidRDefault="00F224F0" w:rsidP="00F224F0">
            <w:pPr>
              <w:spacing w:before="0"/>
              <w:ind w:firstLine="0"/>
              <w:jc w:val="left"/>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Wsparcie</w:t>
            </w:r>
            <w:r w:rsidR="008672C8" w:rsidRPr="005B406F">
              <w:rPr>
                <w:sz w:val="20"/>
                <w:szCs w:val="20"/>
              </w:rPr>
              <w:t xml:space="preserve"> procesu </w:t>
            </w:r>
            <w:proofErr w:type="spellStart"/>
            <w:r w:rsidR="008672C8" w:rsidRPr="005B406F">
              <w:rPr>
                <w:sz w:val="20"/>
                <w:szCs w:val="20"/>
              </w:rPr>
              <w:t>deinstytucjona</w:t>
            </w:r>
            <w:r>
              <w:rPr>
                <w:sz w:val="20"/>
                <w:szCs w:val="20"/>
              </w:rPr>
              <w:t>lizacji</w:t>
            </w:r>
            <w:proofErr w:type="spellEnd"/>
            <w:r>
              <w:rPr>
                <w:sz w:val="20"/>
                <w:szCs w:val="20"/>
              </w:rPr>
              <w:t xml:space="preserve"> instytucji całodobowych</w:t>
            </w:r>
          </w:p>
        </w:tc>
        <w:tc>
          <w:tcPr>
            <w:tcW w:w="2977" w:type="dxa"/>
            <w:vAlign w:val="center"/>
          </w:tcPr>
          <w:p w:rsidR="008672C8" w:rsidRPr="00794592" w:rsidRDefault="00F224F0"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E50733">
              <w:rPr>
                <w:rFonts w:ascii="Calibri" w:hAnsi="Calibri" w:cs="Calibri"/>
                <w:color w:val="000000"/>
                <w:sz w:val="20"/>
                <w:szCs w:val="20"/>
              </w:rPr>
              <w:t>Gmina Miejska Hrubieszów, Gmina Hrubieszów</w:t>
            </w:r>
            <w:r>
              <w:rPr>
                <w:rFonts w:ascii="Calibri" w:hAnsi="Calibri" w:cs="Calibri"/>
                <w:color w:val="000000"/>
                <w:sz w:val="20"/>
                <w:szCs w:val="20"/>
              </w:rPr>
              <w:t xml:space="preserve">, </w:t>
            </w:r>
            <w:r w:rsidRPr="00794592">
              <w:rPr>
                <w:sz w:val="20"/>
                <w:szCs w:val="20"/>
              </w:rPr>
              <w:t>GOPS</w:t>
            </w:r>
            <w:r>
              <w:rPr>
                <w:sz w:val="20"/>
                <w:szCs w:val="20"/>
              </w:rPr>
              <w:t>/ MOPS</w:t>
            </w:r>
          </w:p>
        </w:tc>
        <w:tc>
          <w:tcPr>
            <w:tcW w:w="2409" w:type="dxa"/>
            <w:vAlign w:val="center"/>
          </w:tcPr>
          <w:p w:rsidR="008672C8" w:rsidRPr="00794592" w:rsidRDefault="00F224F0"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94592">
              <w:rPr>
                <w:sz w:val="20"/>
                <w:szCs w:val="20"/>
              </w:rPr>
              <w:t>Powiatowe Centrum Pomocy Rodzinie, organizacje pozarządowe</w:t>
            </w:r>
          </w:p>
        </w:tc>
        <w:tc>
          <w:tcPr>
            <w:tcW w:w="1418" w:type="dxa"/>
            <w:vAlign w:val="center"/>
          </w:tcPr>
          <w:p w:rsidR="008672C8" w:rsidRPr="00932C0C" w:rsidRDefault="008672C8"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F224F0" w:rsidTr="002D73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F224F0" w:rsidRPr="005B406F" w:rsidRDefault="00F224F0" w:rsidP="005B406F">
            <w:pPr>
              <w:spacing w:before="0"/>
              <w:ind w:firstLine="0"/>
              <w:jc w:val="left"/>
              <w:rPr>
                <w:rFonts w:cstheme="minorHAnsi"/>
                <w:b w:val="0"/>
                <w:color w:val="000000"/>
                <w:sz w:val="20"/>
                <w:szCs w:val="20"/>
              </w:rPr>
            </w:pPr>
          </w:p>
        </w:tc>
        <w:tc>
          <w:tcPr>
            <w:tcW w:w="4394" w:type="dxa"/>
            <w:vAlign w:val="center"/>
          </w:tcPr>
          <w:p w:rsidR="00F224F0" w:rsidRPr="005B406F" w:rsidRDefault="00F224F0" w:rsidP="00FD16DF">
            <w:pPr>
              <w:spacing w:before="0"/>
              <w:ind w:left="33"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5B406F">
              <w:rPr>
                <w:sz w:val="20"/>
                <w:szCs w:val="20"/>
              </w:rPr>
              <w:t>Rozwój usług asystenckich wspierających aktywność społeczną, edukacyjną lub zawodową osób z niepełnosprawnościami</w:t>
            </w:r>
          </w:p>
        </w:tc>
        <w:tc>
          <w:tcPr>
            <w:tcW w:w="2977" w:type="dxa"/>
            <w:vAlign w:val="center"/>
          </w:tcPr>
          <w:p w:rsidR="00F224F0" w:rsidRPr="00794592" w:rsidRDefault="00F224F0"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50733">
              <w:rPr>
                <w:rFonts w:ascii="Calibri" w:hAnsi="Calibri" w:cs="Calibri"/>
                <w:color w:val="000000"/>
                <w:sz w:val="20"/>
                <w:szCs w:val="20"/>
              </w:rPr>
              <w:t>Gmina Miejska Hrubieszów, Gmina Hrubieszów</w:t>
            </w:r>
            <w:r>
              <w:rPr>
                <w:rFonts w:ascii="Calibri" w:hAnsi="Calibri" w:cs="Calibri"/>
                <w:color w:val="000000"/>
                <w:sz w:val="20"/>
                <w:szCs w:val="20"/>
              </w:rPr>
              <w:t xml:space="preserve">, </w:t>
            </w:r>
            <w:r w:rsidRPr="00794592">
              <w:rPr>
                <w:sz w:val="20"/>
                <w:szCs w:val="20"/>
              </w:rPr>
              <w:t>GOPS</w:t>
            </w:r>
            <w:r>
              <w:rPr>
                <w:sz w:val="20"/>
                <w:szCs w:val="20"/>
              </w:rPr>
              <w:t>/ MOPS</w:t>
            </w:r>
          </w:p>
        </w:tc>
        <w:tc>
          <w:tcPr>
            <w:tcW w:w="2409" w:type="dxa"/>
            <w:vAlign w:val="center"/>
          </w:tcPr>
          <w:p w:rsidR="00F224F0" w:rsidRPr="00794592" w:rsidRDefault="00F224F0"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94592">
              <w:rPr>
                <w:sz w:val="20"/>
                <w:szCs w:val="20"/>
              </w:rPr>
              <w:t>Powiatowe Centrum Pomocy Rodzinie, organizacje pozarządowe</w:t>
            </w:r>
          </w:p>
        </w:tc>
        <w:tc>
          <w:tcPr>
            <w:tcW w:w="1418" w:type="dxa"/>
            <w:vAlign w:val="center"/>
          </w:tcPr>
          <w:p w:rsidR="00F224F0" w:rsidRPr="00932C0C" w:rsidRDefault="00F224F0"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F224F0" w:rsidTr="002D737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F224F0" w:rsidRPr="005B406F" w:rsidRDefault="00F224F0" w:rsidP="005B406F">
            <w:pPr>
              <w:spacing w:before="0"/>
              <w:ind w:firstLine="0"/>
              <w:jc w:val="left"/>
              <w:rPr>
                <w:rFonts w:cstheme="minorHAnsi"/>
                <w:b w:val="0"/>
                <w:color w:val="000000"/>
                <w:sz w:val="20"/>
                <w:szCs w:val="20"/>
              </w:rPr>
            </w:pPr>
          </w:p>
        </w:tc>
        <w:tc>
          <w:tcPr>
            <w:tcW w:w="4394" w:type="dxa"/>
            <w:vAlign w:val="center"/>
          </w:tcPr>
          <w:p w:rsidR="00F224F0" w:rsidRPr="005B406F" w:rsidRDefault="00F224F0" w:rsidP="00F224F0">
            <w:pPr>
              <w:spacing w:before="0"/>
              <w:ind w:firstLine="0"/>
              <w:jc w:val="left"/>
              <w:cnfStyle w:val="000000010000" w:firstRow="0" w:lastRow="0" w:firstColumn="0" w:lastColumn="0" w:oddVBand="0" w:evenVBand="0" w:oddHBand="0" w:evenHBand="1" w:firstRowFirstColumn="0" w:firstRowLastColumn="0" w:lastRowFirstColumn="0" w:lastRowLastColumn="0"/>
              <w:rPr>
                <w:b/>
                <w:sz w:val="20"/>
                <w:szCs w:val="20"/>
              </w:rPr>
            </w:pPr>
            <w:r w:rsidRPr="005B406F">
              <w:rPr>
                <w:sz w:val="20"/>
                <w:szCs w:val="20"/>
              </w:rPr>
              <w:t>Wsparcie w zakresie tworzenia i funkcjonowania mieszkań chronionych i wspomaganych, w tym wsparcie kadry tych mieszkań, rozwój mieszkalnictwa adaptowalnego oraz innych rozwiązań łączących ws</w:t>
            </w:r>
            <w:r>
              <w:rPr>
                <w:sz w:val="20"/>
                <w:szCs w:val="20"/>
              </w:rPr>
              <w:t>parcie społeczne i mieszkaniowe</w:t>
            </w:r>
          </w:p>
        </w:tc>
        <w:tc>
          <w:tcPr>
            <w:tcW w:w="2977" w:type="dxa"/>
            <w:vAlign w:val="center"/>
          </w:tcPr>
          <w:p w:rsidR="00F224F0" w:rsidRPr="00794592" w:rsidRDefault="00F224F0"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E50733">
              <w:rPr>
                <w:rFonts w:ascii="Calibri" w:hAnsi="Calibri" w:cs="Calibri"/>
                <w:color w:val="000000"/>
                <w:sz w:val="20"/>
                <w:szCs w:val="20"/>
              </w:rPr>
              <w:t>Gmina Miejska Hrubieszów, Gmina Hrubieszów</w:t>
            </w:r>
            <w:r>
              <w:rPr>
                <w:rFonts w:ascii="Calibri" w:hAnsi="Calibri" w:cs="Calibri"/>
                <w:color w:val="000000"/>
                <w:sz w:val="20"/>
                <w:szCs w:val="20"/>
              </w:rPr>
              <w:t xml:space="preserve">, </w:t>
            </w:r>
            <w:r w:rsidRPr="00794592">
              <w:rPr>
                <w:sz w:val="20"/>
                <w:szCs w:val="20"/>
              </w:rPr>
              <w:t>GOPS</w:t>
            </w:r>
            <w:r>
              <w:rPr>
                <w:sz w:val="20"/>
                <w:szCs w:val="20"/>
              </w:rPr>
              <w:t>/ MOPS</w:t>
            </w:r>
          </w:p>
        </w:tc>
        <w:tc>
          <w:tcPr>
            <w:tcW w:w="2409" w:type="dxa"/>
            <w:vAlign w:val="center"/>
          </w:tcPr>
          <w:p w:rsidR="00F224F0" w:rsidRPr="00794592" w:rsidRDefault="00F224F0"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94592">
              <w:rPr>
                <w:sz w:val="20"/>
                <w:szCs w:val="20"/>
              </w:rPr>
              <w:t>Powiatowe Centrum Pomocy Rodzinie, organizacje pozarządowe</w:t>
            </w:r>
          </w:p>
        </w:tc>
        <w:tc>
          <w:tcPr>
            <w:tcW w:w="1418" w:type="dxa"/>
            <w:vAlign w:val="center"/>
          </w:tcPr>
          <w:p w:rsidR="00F224F0" w:rsidRPr="00932C0C" w:rsidRDefault="00F224F0" w:rsidP="008672C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F224F0" w:rsidTr="002D73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F224F0" w:rsidRPr="005B406F" w:rsidRDefault="00F224F0" w:rsidP="005B406F">
            <w:pPr>
              <w:spacing w:before="0"/>
              <w:ind w:firstLine="0"/>
              <w:jc w:val="left"/>
              <w:rPr>
                <w:rFonts w:cstheme="minorHAnsi"/>
                <w:b w:val="0"/>
                <w:color w:val="000000"/>
                <w:sz w:val="20"/>
                <w:szCs w:val="20"/>
              </w:rPr>
            </w:pPr>
          </w:p>
        </w:tc>
        <w:tc>
          <w:tcPr>
            <w:tcW w:w="4394" w:type="dxa"/>
            <w:vAlign w:val="center"/>
          </w:tcPr>
          <w:p w:rsidR="00F224F0" w:rsidRPr="005B406F" w:rsidRDefault="00F224F0" w:rsidP="00FD16DF">
            <w:pPr>
              <w:spacing w:before="0"/>
              <w:ind w:left="33"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5B406F">
              <w:rPr>
                <w:sz w:val="20"/>
                <w:szCs w:val="20"/>
              </w:rPr>
              <w:t>Wsparcie procesu usamodzielniania osób przebywających w placówkach całodobowych.</w:t>
            </w:r>
          </w:p>
        </w:tc>
        <w:tc>
          <w:tcPr>
            <w:tcW w:w="2977" w:type="dxa"/>
            <w:vAlign w:val="center"/>
          </w:tcPr>
          <w:p w:rsidR="00F224F0" w:rsidRPr="00794592" w:rsidRDefault="00F224F0"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50733">
              <w:rPr>
                <w:rFonts w:ascii="Calibri" w:hAnsi="Calibri" w:cs="Calibri"/>
                <w:color w:val="000000"/>
                <w:sz w:val="20"/>
                <w:szCs w:val="20"/>
              </w:rPr>
              <w:t>Gmina Miejska Hrubieszów, Gmina Hrubieszów</w:t>
            </w:r>
            <w:r>
              <w:rPr>
                <w:rFonts w:ascii="Calibri" w:hAnsi="Calibri" w:cs="Calibri"/>
                <w:color w:val="000000"/>
                <w:sz w:val="20"/>
                <w:szCs w:val="20"/>
              </w:rPr>
              <w:t xml:space="preserve">, </w:t>
            </w:r>
            <w:r w:rsidRPr="00794592">
              <w:rPr>
                <w:sz w:val="20"/>
                <w:szCs w:val="20"/>
              </w:rPr>
              <w:t>GOPS</w:t>
            </w:r>
            <w:r>
              <w:rPr>
                <w:sz w:val="20"/>
                <w:szCs w:val="20"/>
              </w:rPr>
              <w:t>/ MOPS</w:t>
            </w:r>
          </w:p>
        </w:tc>
        <w:tc>
          <w:tcPr>
            <w:tcW w:w="2409" w:type="dxa"/>
            <w:vAlign w:val="center"/>
          </w:tcPr>
          <w:p w:rsidR="00F224F0" w:rsidRPr="00794592" w:rsidRDefault="00F224F0"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8672C8">
              <w:rPr>
                <w:sz w:val="20"/>
                <w:szCs w:val="20"/>
              </w:rPr>
              <w:t>Powiatowe Centrum Pomocy Rodzinie</w:t>
            </w:r>
            <w:r>
              <w:rPr>
                <w:sz w:val="20"/>
                <w:szCs w:val="20"/>
              </w:rPr>
              <w:t>, o</w:t>
            </w:r>
            <w:r w:rsidRPr="008672C8">
              <w:rPr>
                <w:sz w:val="20"/>
                <w:szCs w:val="20"/>
              </w:rPr>
              <w:t>rganizacje pozarządowe</w:t>
            </w:r>
            <w:r>
              <w:rPr>
                <w:sz w:val="20"/>
                <w:szCs w:val="20"/>
              </w:rPr>
              <w:t xml:space="preserve">, </w:t>
            </w:r>
            <w:r w:rsidRPr="008672C8">
              <w:rPr>
                <w:sz w:val="20"/>
                <w:szCs w:val="20"/>
              </w:rPr>
              <w:t>GOK, Hrubieszowski Dom Kultury</w:t>
            </w:r>
            <w:r>
              <w:rPr>
                <w:sz w:val="20"/>
                <w:szCs w:val="20"/>
              </w:rPr>
              <w:t xml:space="preserve">, </w:t>
            </w:r>
            <w:r w:rsidRPr="008672C8">
              <w:rPr>
                <w:sz w:val="20"/>
                <w:szCs w:val="20"/>
              </w:rPr>
              <w:t xml:space="preserve">Biblioteka </w:t>
            </w:r>
            <w:r w:rsidRPr="008672C8">
              <w:rPr>
                <w:sz w:val="20"/>
                <w:szCs w:val="20"/>
              </w:rPr>
              <w:lastRenderedPageBreak/>
              <w:t>Publiczna, mieszkańcy - osoby fizyczne</w:t>
            </w:r>
          </w:p>
        </w:tc>
        <w:tc>
          <w:tcPr>
            <w:tcW w:w="1418" w:type="dxa"/>
            <w:vAlign w:val="center"/>
          </w:tcPr>
          <w:p w:rsidR="00F224F0" w:rsidRPr="00932C0C" w:rsidRDefault="00F224F0" w:rsidP="008672C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5B406F" w:rsidRPr="002F0C59" w:rsidRDefault="005B406F" w:rsidP="00D8684B">
      <w:pPr>
        <w:rPr>
          <w:b/>
        </w:rPr>
      </w:pPr>
      <w:r w:rsidRPr="002F0C59">
        <w:rPr>
          <w:b/>
        </w:rPr>
        <w:lastRenderedPageBreak/>
        <w:t>Cel operacyjny 1.9 Zintegrowane wzmocnienie potencjału edukacyjnego i kulturowego HOF</w:t>
      </w:r>
    </w:p>
    <w:p w:rsidR="005B406F" w:rsidRPr="002F0C59" w:rsidRDefault="00F224F0" w:rsidP="002D7375">
      <w:pPr>
        <w:spacing w:after="0"/>
      </w:pPr>
      <w:r w:rsidRPr="002F0C59">
        <w:t xml:space="preserve">Cel polityki: CP4 - Europa o silniejszym wymiarze społecznym, bardziej sprzyjająca włączeniu społecznemu i wdrażająca Europejski filar </w:t>
      </w:r>
      <w:proofErr w:type="gramStart"/>
      <w:r w:rsidRPr="002F0C59">
        <w:t>praw</w:t>
      </w:r>
      <w:proofErr w:type="gramEnd"/>
      <w:r w:rsidRPr="002F0C59">
        <w:t xml:space="preserve"> socjalnych</w:t>
      </w:r>
      <w:r w:rsidR="00B2618B" w:rsidRPr="002F0C59">
        <w:t>.</w:t>
      </w:r>
    </w:p>
    <w:p w:rsidR="00F224F0" w:rsidRPr="002F0C59" w:rsidRDefault="00F224F0" w:rsidP="00B21F45">
      <w:pPr>
        <w:spacing w:after="0"/>
      </w:pPr>
      <w:r w:rsidRPr="002F0C59">
        <w:t xml:space="preserve">EFRR.CP4.II - Poprawa równego dostępu do </w:t>
      </w:r>
      <w:proofErr w:type="gramStart"/>
      <w:r w:rsidRPr="002F0C59">
        <w:t>wysokiej jakości</w:t>
      </w:r>
      <w:proofErr w:type="gramEnd"/>
      <w:r w:rsidRPr="002F0C59">
        <w:t xml:space="preserve"> usług sprzyjających włączeniu społecznemu w zakresie kształcenia, szkoleń i uczenia się przez całe życie poprzez rozwój łatwo dostępnej infrastruktury, w tym poprzez wspieranie odporności w zakresie kształcenia i szkolenia na odległość oraz online</w:t>
      </w:r>
      <w:r w:rsidR="00B2618B" w:rsidRPr="002F0C59">
        <w:t>.</w:t>
      </w:r>
    </w:p>
    <w:p w:rsidR="00B21F45" w:rsidRPr="002F0C59" w:rsidRDefault="00B21F45" w:rsidP="00B21F45">
      <w:pPr>
        <w:spacing w:before="0"/>
      </w:pPr>
      <w:r w:rsidRPr="002F0C59">
        <w:t xml:space="preserve">EFS+.CP4.F - Wspieranie równego dostępu do </w:t>
      </w:r>
      <w:proofErr w:type="gramStart"/>
      <w:r w:rsidRPr="002F0C59">
        <w:t>dobrej jakości</w:t>
      </w:r>
      <w:proofErr w:type="gramEnd"/>
      <w:r w:rsidRPr="002F0C59">
        <w:t>, włączającego kształcenia i szkolenia oraz możliwości ich ukończenia, w szczególności w odniesieniu do grup w niekorzystnej sytuacji, od wczesnej edukacji i opieki nad dzieckiem przez ogólne i zawodowe kształcenie i szkolenie, po szkolnictwo wyższe, a także kształcenie i uczenie się dorosłych, w tym ułatwianie mobilności edukacyjnej dla wszystkich i dostępności dla osób z niepełnosprawnościami</w:t>
      </w:r>
      <w:r w:rsidR="00B2618B" w:rsidRPr="002F0C59">
        <w:t>.</w:t>
      </w:r>
    </w:p>
    <w:p w:rsidR="00B21F45" w:rsidRPr="002F0C59" w:rsidRDefault="00B21F45" w:rsidP="002D7375">
      <w:pPr>
        <w:spacing w:before="0" w:after="0"/>
      </w:pPr>
      <w:r w:rsidRPr="002F0C59">
        <w:t>CP 5 – Europa bliższa obywatelom dzięki wspieraniu zrównoważonego i zintegrowanego rozwoju wszystkich rodzajów terytoriów i inicjatyw lokalnych</w:t>
      </w:r>
    </w:p>
    <w:p w:rsidR="00B21F45" w:rsidRPr="002F0C59" w:rsidRDefault="00B21F45" w:rsidP="00B21F45">
      <w:pPr>
        <w:spacing w:before="0"/>
      </w:pPr>
      <w:r w:rsidRPr="002F0C59">
        <w:t>EFRR.CP5.I - Wspieranie zintegrowanego i sprzyjającego włączeniu społecznemu rozwoju społecznego, gospodarczego i środowiskowego, kultury, dziedzictwa naturalnego, zrównoważonej turystyki i bezpieczeństwa na obszarach miejskich</w:t>
      </w:r>
      <w:r w:rsidR="00B2618B" w:rsidRPr="002F0C59">
        <w:t>.</w:t>
      </w:r>
    </w:p>
    <w:p w:rsidR="005B406F" w:rsidRPr="002F0C59" w:rsidRDefault="00C3715A" w:rsidP="005B406F">
      <w:r w:rsidRPr="002F0C59">
        <w:t>Cel realizuje wymiar społeczny i przestrzenny.</w:t>
      </w:r>
    </w:p>
    <w:p w:rsidR="00A92471" w:rsidRPr="002F0C59" w:rsidRDefault="00F55421" w:rsidP="009C67E7">
      <w:r w:rsidRPr="002F0C59">
        <w:t xml:space="preserve">Opis celu: </w:t>
      </w:r>
      <w:r w:rsidR="00AF6BDC" w:rsidRPr="002F0C59">
        <w:t>Dostęp do edukacji i kultury spełnia jedną z najważniejszych ról zarówno dla jednostki jak i lokalnej społeczności. Możliwość uczestniczenia w nauczaniu, opiece, wychowaniu w instytucjach edukacyjnych, na poszczególnych szczeblach systemu oświaty daje szansę na rozwój</w:t>
      </w:r>
      <w:r w:rsidR="00B2618B" w:rsidRPr="002F0C59">
        <w:t xml:space="preserve"> osobisty</w:t>
      </w:r>
      <w:r w:rsidR="00AF6BDC" w:rsidRPr="002F0C59">
        <w:t xml:space="preserve"> mieszkańcom już od najwcześniejszych lat życia. Prawidłowo prowadzona edukacja może </w:t>
      </w:r>
      <w:r w:rsidR="00B2618B" w:rsidRPr="002F0C59">
        <w:t>przyczynić się do walki z negatywnymi</w:t>
      </w:r>
      <w:r w:rsidR="00AF6BDC" w:rsidRPr="002F0C59">
        <w:t xml:space="preserve"> zjawiskami społecznymi jak</w:t>
      </w:r>
      <w:r w:rsidR="00A92471" w:rsidRPr="002F0C59">
        <w:t>:</w:t>
      </w:r>
      <w:r w:rsidR="00AF6BDC" w:rsidRPr="002F0C59">
        <w:t xml:space="preserve"> ubóstwo, wykluczenie społeczne, bezrobocie oraz problem niedostosowania kwalifikacji </w:t>
      </w:r>
      <w:r w:rsidR="00A92471" w:rsidRPr="002F0C59">
        <w:t xml:space="preserve">zawodowych </w:t>
      </w:r>
      <w:r w:rsidR="00AF6BDC" w:rsidRPr="002F0C59">
        <w:t>mieszkańców</w:t>
      </w:r>
      <w:r w:rsidR="00A92471" w:rsidRPr="002F0C59">
        <w:t xml:space="preserve"> do rynku pracy</w:t>
      </w:r>
      <w:r w:rsidR="00AF6BDC" w:rsidRPr="002F0C59">
        <w:t>, co w dłuższej perspektywie czasowej bezpośrednio przełoży się na poprawę s</w:t>
      </w:r>
      <w:r w:rsidR="00A92471" w:rsidRPr="002F0C59">
        <w:t>ytuacji społeczno-gospodarczej.</w:t>
      </w:r>
    </w:p>
    <w:p w:rsidR="00A92471" w:rsidRPr="002F0C59" w:rsidRDefault="00A92471" w:rsidP="009C67E7">
      <w:r w:rsidRPr="002F0C59">
        <w:rPr>
          <w:rFonts w:cstheme="minorHAnsi"/>
        </w:rPr>
        <w:t xml:space="preserve">Z edukacji przedszkolnej korzysta </w:t>
      </w:r>
      <w:r w:rsidR="00AF6BDC" w:rsidRPr="002F0C59">
        <w:rPr>
          <w:rFonts w:cstheme="minorHAnsi"/>
        </w:rPr>
        <w:t>818 dzieci</w:t>
      </w:r>
      <w:r w:rsidRPr="002F0C59">
        <w:rPr>
          <w:rFonts w:cstheme="minorHAnsi"/>
        </w:rPr>
        <w:t xml:space="preserve"> (dane za rok 2019)</w:t>
      </w:r>
      <w:r w:rsidR="00AF6BDC" w:rsidRPr="002F0C59">
        <w:rPr>
          <w:rFonts w:cstheme="minorHAnsi"/>
        </w:rPr>
        <w:t xml:space="preserve"> w wieku 3 – 6 lat, co przekłada się na wysoki odsetek dzieci objętych wychowaniem przedszkolnym, który wynosi 89,9% dzieci w tym wieku. W porównaniu do 2014 r. ich liczba wzrosła o 55 dzieci, co stanowi wzrost o 7,21%.  </w:t>
      </w:r>
      <w:r w:rsidRPr="002F0C59">
        <w:rPr>
          <w:rFonts w:cstheme="minorHAnsi"/>
        </w:rPr>
        <w:t>Zauważalny jest jednak</w:t>
      </w:r>
      <w:r w:rsidR="00AF6BDC" w:rsidRPr="002F0C59">
        <w:rPr>
          <w:rFonts w:cstheme="minorHAnsi"/>
        </w:rPr>
        <w:t xml:space="preserve"> spadek liczby dzieci w wieku przedszkolnym, </w:t>
      </w:r>
      <w:r w:rsidRPr="002F0C59">
        <w:rPr>
          <w:rFonts w:cstheme="minorHAnsi"/>
        </w:rPr>
        <w:t xml:space="preserve">(o 72 osoby od 2014 </w:t>
      </w:r>
      <w:proofErr w:type="gramStart"/>
      <w:r w:rsidRPr="002F0C59">
        <w:rPr>
          <w:rFonts w:cstheme="minorHAnsi"/>
        </w:rPr>
        <w:t>r.) co</w:t>
      </w:r>
      <w:proofErr w:type="gramEnd"/>
      <w:r w:rsidRPr="002F0C59">
        <w:rPr>
          <w:rFonts w:cstheme="minorHAnsi"/>
        </w:rPr>
        <w:t xml:space="preserve"> </w:t>
      </w:r>
      <w:r w:rsidR="00AF6BDC" w:rsidRPr="002F0C59">
        <w:t>wpisuje się w</w:t>
      </w:r>
      <w:r w:rsidRPr="002F0C59">
        <w:t xml:space="preserve"> zjawisko depopulacji na obszarze HOF.</w:t>
      </w:r>
    </w:p>
    <w:p w:rsidR="00AF6BDC" w:rsidRPr="002F0C59" w:rsidRDefault="00AF6BDC" w:rsidP="009C67E7">
      <w:pPr>
        <w:rPr>
          <w:rFonts w:cs="Times New Roman"/>
        </w:rPr>
      </w:pPr>
      <w:r w:rsidRPr="002F0C59">
        <w:lastRenderedPageBreak/>
        <w:t xml:space="preserve">Jak wynika z analizy danych w diagnozie społecznej, gospodarczej i przestrzennej </w:t>
      </w:r>
      <w:r w:rsidR="00A92471" w:rsidRPr="002F0C59">
        <w:t>HOF</w:t>
      </w:r>
      <w:r w:rsidRPr="002F0C59">
        <w:t xml:space="preserve"> sieć punktów przedszkolnych i przedszkoli w Hrubieszowskim Obszarze Funkcjonalnym jest gęsta i zaspokaja potrzeby edukacyjne </w:t>
      </w:r>
      <w:proofErr w:type="gramStart"/>
      <w:r w:rsidRPr="002F0C59">
        <w:t xml:space="preserve">mieszkańców. </w:t>
      </w:r>
      <w:proofErr w:type="gramEnd"/>
      <w:r w:rsidRPr="002F0C59">
        <w:t>Jednakże placówki wymagają unowocześnienia i</w:t>
      </w:r>
      <w:r w:rsidR="00A92471" w:rsidRPr="002F0C59">
        <w:t xml:space="preserve"> modernizacji </w:t>
      </w:r>
      <w:r w:rsidRPr="002F0C59">
        <w:t xml:space="preserve">oraz </w:t>
      </w:r>
      <w:r w:rsidR="00A92471" w:rsidRPr="002F0C59">
        <w:t xml:space="preserve">doposażenia w </w:t>
      </w:r>
      <w:proofErr w:type="gramStart"/>
      <w:r w:rsidR="00A92471" w:rsidRPr="002F0C59">
        <w:t xml:space="preserve">sprzęt </w:t>
      </w:r>
      <w:r w:rsidRPr="002F0C59">
        <w:t xml:space="preserve"> </w:t>
      </w:r>
      <w:r w:rsidR="008F5043" w:rsidRPr="002F0C59">
        <w:t>gwarantujący</w:t>
      </w:r>
      <w:proofErr w:type="gramEnd"/>
      <w:r w:rsidR="008F5043" w:rsidRPr="002F0C59">
        <w:t xml:space="preserve"> wysoką jakość kształcenia, jak również przystosowania infrastruktury do potrzeb osób z niepełnosprawnościami.</w:t>
      </w:r>
      <w:r w:rsidR="00005488" w:rsidRPr="002F0C59">
        <w:t xml:space="preserve"> Istotne jest również prowadzenie rozwoju oferty programów edukacyjnych przedszkoli oraz programów rozwojowych szkół podstawowych</w:t>
      </w:r>
      <w:r w:rsidR="00B34EDD" w:rsidRPr="002F0C59">
        <w:t xml:space="preserve"> poprzez wprowadzenie do przedszkoli dodatkowych zajęć, zajęć specjalistycznych (np. psycholog, logopeda, terapeuta), doskonalenia zawodowego kadry oraz do szkół programów rozwijających umiejętności. Działania te </w:t>
      </w:r>
      <w:r w:rsidR="00005488" w:rsidRPr="002F0C59">
        <w:t>przełoż</w:t>
      </w:r>
      <w:r w:rsidR="00B34EDD" w:rsidRPr="002F0C59">
        <w:t>ą</w:t>
      </w:r>
      <w:r w:rsidR="00005488" w:rsidRPr="002F0C59">
        <w:t xml:space="preserve"> się na uatrakcyjnienie oferty oraz </w:t>
      </w:r>
      <w:proofErr w:type="gramStart"/>
      <w:r w:rsidR="00005488" w:rsidRPr="002F0C59">
        <w:t>wzrost jakości</w:t>
      </w:r>
      <w:proofErr w:type="gramEnd"/>
      <w:r w:rsidR="00005488" w:rsidRPr="002F0C59">
        <w:t xml:space="preserve"> kształcenia.</w:t>
      </w:r>
    </w:p>
    <w:p w:rsidR="009C67E7" w:rsidRPr="002F0C59" w:rsidRDefault="009C67E7" w:rsidP="009C67E7">
      <w:r w:rsidRPr="002F0C59">
        <w:rPr>
          <w:rFonts w:cs="Times New Roman"/>
        </w:rPr>
        <w:t>Młodzież szkolna jest jednym z kluczowych aktywów w rozwoju społeczno-gospodarczym</w:t>
      </w:r>
      <w:r w:rsidR="00A92471" w:rsidRPr="002F0C59">
        <w:rPr>
          <w:rFonts w:cs="Times New Roman"/>
        </w:rPr>
        <w:t xml:space="preserve"> HOF</w:t>
      </w:r>
      <w:r w:rsidRPr="002F0C59">
        <w:rPr>
          <w:rFonts w:cs="Times New Roman"/>
        </w:rPr>
        <w:t xml:space="preserve">. W wymiarze liczbowym zasoby młodzieży szkolnej (3-24 lata) wynosiły 6 054 </w:t>
      </w:r>
      <w:r w:rsidR="00A92471" w:rsidRPr="002F0C59">
        <w:rPr>
          <w:rFonts w:cs="Times New Roman"/>
        </w:rPr>
        <w:t>osób</w:t>
      </w:r>
      <w:r w:rsidRPr="002F0C59">
        <w:rPr>
          <w:rFonts w:cs="Times New Roman"/>
        </w:rPr>
        <w:t xml:space="preserve"> (22% mieszkańców).</w:t>
      </w:r>
      <w:r w:rsidR="00AF6BDC" w:rsidRPr="002F0C59">
        <w:t xml:space="preserve"> O ile sytuacja wygląda dość </w:t>
      </w:r>
      <w:r w:rsidR="00B91ED1" w:rsidRPr="002F0C59">
        <w:t>dobrze, jeśli</w:t>
      </w:r>
      <w:r w:rsidR="00AF6BDC" w:rsidRPr="002F0C59">
        <w:t xml:space="preserve"> chodzi o dostęp do samej infrastruktury szkolnej, </w:t>
      </w:r>
      <w:proofErr w:type="gramStart"/>
      <w:r w:rsidR="00AF6BDC" w:rsidRPr="002F0C59">
        <w:t>to</w:t>
      </w:r>
      <w:r w:rsidR="00AF6BDC" w:rsidRPr="002F0C59">
        <w:rPr>
          <w:rFonts w:eastAsia="Times New Roman" w:cstheme="minorHAnsi"/>
          <w:lang w:eastAsia="pl-PL"/>
        </w:rPr>
        <w:t xml:space="preserve"> ja</w:t>
      </w:r>
      <w:r w:rsidRPr="002F0C59">
        <w:rPr>
          <w:rFonts w:eastAsia="Times New Roman" w:cstheme="minorHAnsi"/>
          <w:lang w:eastAsia="pl-PL"/>
        </w:rPr>
        <w:t>kość</w:t>
      </w:r>
      <w:proofErr w:type="gramEnd"/>
      <w:r w:rsidRPr="002F0C59">
        <w:rPr>
          <w:rFonts w:eastAsia="Times New Roman" w:cstheme="minorHAnsi"/>
          <w:lang w:eastAsia="pl-PL"/>
        </w:rPr>
        <w:t xml:space="preserve"> kształcenia w szkołach podstawowych na podstawie wyników egzaminów gimnazjalnych można ocenić jako niezadowalającą. </w:t>
      </w:r>
      <w:r w:rsidRPr="002F0C59">
        <w:t xml:space="preserve">Generalnie dominują wyniki na poziomie średnim (52-65% wszystkich uczniów). Odsetek uczniów z wynikiem wysokim mieści się w przedziale 11-16%. Również liczba szkół z wynikiem średnim jest największa. </w:t>
      </w:r>
      <w:proofErr w:type="gramStart"/>
      <w:r w:rsidR="00A92471" w:rsidRPr="002F0C59">
        <w:t>Również j</w:t>
      </w:r>
      <w:r w:rsidRPr="002F0C59">
        <w:rPr>
          <w:rFonts w:cstheme="minorHAnsi"/>
        </w:rPr>
        <w:t>akość</w:t>
      </w:r>
      <w:proofErr w:type="gramEnd"/>
      <w:r w:rsidRPr="002F0C59">
        <w:rPr>
          <w:rFonts w:cstheme="minorHAnsi"/>
        </w:rPr>
        <w:t xml:space="preserve"> kształcenia </w:t>
      </w:r>
      <w:r w:rsidR="00A92471" w:rsidRPr="002F0C59">
        <w:rPr>
          <w:rFonts w:cstheme="minorHAnsi"/>
        </w:rPr>
        <w:t>na poziomie ponadpodstawowym</w:t>
      </w:r>
      <w:r w:rsidRPr="002F0C59">
        <w:rPr>
          <w:rFonts w:cstheme="minorHAnsi"/>
        </w:rPr>
        <w:t xml:space="preserve"> należ</w:t>
      </w:r>
      <w:r w:rsidR="00A92471" w:rsidRPr="002F0C59">
        <w:rPr>
          <w:rFonts w:cstheme="minorHAnsi"/>
        </w:rPr>
        <w:t>y ocenić jako niezadawalająca</w:t>
      </w:r>
      <w:r w:rsidRPr="002F0C59">
        <w:rPr>
          <w:rFonts w:cstheme="minorHAnsi"/>
        </w:rPr>
        <w:t>, szczególnie w odniesieniu do szkół zawodowych.</w:t>
      </w:r>
      <w:r w:rsidRPr="002F0C59">
        <w:rPr>
          <w:rFonts w:cstheme="minorHAnsi"/>
          <w:b/>
        </w:rPr>
        <w:t xml:space="preserve"> </w:t>
      </w:r>
      <w:r w:rsidRPr="002F0C59">
        <w:rPr>
          <w:rFonts w:cstheme="minorHAnsi"/>
        </w:rPr>
        <w:t xml:space="preserve">Analizując </w:t>
      </w:r>
      <w:proofErr w:type="gramStart"/>
      <w:r w:rsidRPr="002F0C59">
        <w:rPr>
          <w:rFonts w:cstheme="minorHAnsi"/>
        </w:rPr>
        <w:t>rankingi jakości</w:t>
      </w:r>
      <w:proofErr w:type="gramEnd"/>
      <w:r w:rsidRPr="002F0C59">
        <w:rPr>
          <w:rFonts w:cstheme="minorHAnsi"/>
        </w:rPr>
        <w:t xml:space="preserve"> kształcenia szkół średnich w kraju i województwie lubelskim można stwierdzić, że funkcjonujące w Hrubieszowie technika nie plasują się na czołowych miejscach w województwie, a tym bardziej w kraju</w:t>
      </w:r>
      <w:r w:rsidRPr="002F0C59">
        <w:rPr>
          <w:rStyle w:val="Odwoanieprzypisudolnego"/>
          <w:rFonts w:cstheme="minorHAnsi"/>
        </w:rPr>
        <w:footnoteReference w:id="24"/>
      </w:r>
      <w:r w:rsidRPr="002F0C59">
        <w:rPr>
          <w:rFonts w:cstheme="minorHAnsi"/>
        </w:rPr>
        <w:t>.</w:t>
      </w:r>
      <w:r w:rsidR="00AF6BDC" w:rsidRPr="002F0C59">
        <w:rPr>
          <w:rFonts w:cstheme="minorHAnsi"/>
        </w:rPr>
        <w:t xml:space="preserve"> </w:t>
      </w:r>
      <w:r w:rsidR="00AF6BDC" w:rsidRPr="002F0C59">
        <w:t>Zauważalny jest również problem dostosowania systemu kształcenia zawodowego do zapotrzebowania na lokalnym rynku pracy. Prowadzi to do nadwyżki i deficytów w niektórych zawodach, może się przyczynić do wzrostu bezrobocia wśród ludzi młodych.</w:t>
      </w:r>
    </w:p>
    <w:p w:rsidR="004828B5" w:rsidRPr="002F0C59" w:rsidRDefault="004828B5" w:rsidP="009C67E7">
      <w:r w:rsidRPr="002F0C59">
        <w:t xml:space="preserve">Na jakość życia mieszkańców oraz formy spędzania </w:t>
      </w:r>
      <w:r w:rsidR="00A92471" w:rsidRPr="002F0C59">
        <w:t xml:space="preserve">czasu </w:t>
      </w:r>
      <w:r w:rsidRPr="002F0C59">
        <w:t xml:space="preserve">wolnego ma również wpływ oferta kulturalna. Za pomocą działalności kulturalnej możliwe jest kształtowanie relacji społecznych, zapobieganie wykluczeniu społecznemu, integrowanie mieszkańców oraz ich kształcenie. Wpływa to również pozytywnie na podtrzymanie dziedzictwa kulturowego oraz kultywowanie lokalnych tradycji. </w:t>
      </w:r>
      <w:r w:rsidRPr="002F0C59">
        <w:rPr>
          <w:rFonts w:cstheme="minorHAnsi"/>
        </w:rPr>
        <w:t>Głównym organizatorem wydarzeń kulturalnych</w:t>
      </w:r>
      <w:r w:rsidR="003E29FD" w:rsidRPr="002F0C59">
        <w:rPr>
          <w:rFonts w:cstheme="minorHAnsi"/>
        </w:rPr>
        <w:t xml:space="preserve"> w HOF</w:t>
      </w:r>
      <w:r w:rsidRPr="002F0C59">
        <w:rPr>
          <w:rFonts w:cstheme="minorHAnsi"/>
        </w:rPr>
        <w:t xml:space="preserve"> jest Hrubieszowski Dom Kultury. </w:t>
      </w:r>
      <w:r w:rsidR="003E29FD" w:rsidRPr="002F0C59">
        <w:t>Wśród licznych wydarzeń (159 w roku 2019)</w:t>
      </w:r>
      <w:r w:rsidRPr="002F0C59">
        <w:t xml:space="preserve"> najwięcej </w:t>
      </w:r>
      <w:r w:rsidR="003E29FD" w:rsidRPr="002F0C59">
        <w:t>zorganizowano</w:t>
      </w:r>
      <w:r w:rsidRPr="002F0C59">
        <w:t xml:space="preserve"> imprez artystycznych w wykonaniu zespołów amatorskich (36); koncertów okolicznościowych (24), wystaw plastycznych (15), koncertów i spektakli teatralnych w wykonaniu artystów zawodowych (15) oraz seansów teatralnych. Większość z organizowanych wydarzeń odbywa się zgodnie z </w:t>
      </w:r>
      <w:proofErr w:type="gramStart"/>
      <w:r w:rsidRPr="002F0C59">
        <w:t>przyjmowanym co</w:t>
      </w:r>
      <w:proofErr w:type="gramEnd"/>
      <w:r w:rsidRPr="002F0C59">
        <w:t xml:space="preserve"> roku kalendarzem imprez kulturalnych. </w:t>
      </w:r>
      <w:r w:rsidR="00B91ED1" w:rsidRPr="002F0C59">
        <w:t xml:space="preserve">Hrubieszowski </w:t>
      </w:r>
      <w:r w:rsidRPr="002F0C59">
        <w:t xml:space="preserve">Dom Kultury prowadzi </w:t>
      </w:r>
      <w:r w:rsidR="00B91ED1" w:rsidRPr="002F0C59">
        <w:t xml:space="preserve">również </w:t>
      </w:r>
      <w:r w:rsidRPr="002F0C59">
        <w:t xml:space="preserve">działalność kulturowo-edukacyjną, w </w:t>
      </w:r>
      <w:proofErr w:type="gramStart"/>
      <w:r w:rsidRPr="002F0C59">
        <w:t>związku z czym</w:t>
      </w:r>
      <w:proofErr w:type="gramEnd"/>
      <w:r w:rsidRPr="002F0C59">
        <w:t xml:space="preserve"> posiada szeroką ofertę zajęć animacyjnych skierowanych do dzieci, młodzieży, ludzi dorosłych oraz seniorów. </w:t>
      </w:r>
      <w:r w:rsidR="003E29FD" w:rsidRPr="002F0C59">
        <w:t xml:space="preserve">Wsparciem w sferze usług kulturalnych dla HOK jest </w:t>
      </w:r>
      <w:r w:rsidRPr="002F0C59">
        <w:t xml:space="preserve">Gminny Ośrodek Kultury w Hrubieszowie z siedzibą w Wołajowicach. Ośrodek Kultury prowadzi szeroko zakrojoną działalność, współpracuje z Kołami Gospodyń Wiejskich, twórcami ludowymi, szkołami, </w:t>
      </w:r>
      <w:r w:rsidRPr="002F0C59">
        <w:lastRenderedPageBreak/>
        <w:t xml:space="preserve">stowarzyszeniami. </w:t>
      </w:r>
      <w:r w:rsidRPr="002F0C59">
        <w:rPr>
          <w:rFonts w:cstheme="minorHAnsi"/>
        </w:rPr>
        <w:t xml:space="preserve">Ważną rolę dla Hrubieszowskiego Obszaru Funkcjonalnego pełni również </w:t>
      </w:r>
      <w:proofErr w:type="spellStart"/>
      <w:r w:rsidRPr="002F0C59">
        <w:rPr>
          <w:rFonts w:cstheme="minorHAnsi"/>
        </w:rPr>
        <w:t>Masłomęckie</w:t>
      </w:r>
      <w:proofErr w:type="spellEnd"/>
      <w:r w:rsidRPr="002F0C59">
        <w:rPr>
          <w:rFonts w:cstheme="minorHAnsi"/>
        </w:rPr>
        <w:t xml:space="preserve"> Stowarzyszenie Wioska Gotów.</w:t>
      </w:r>
      <w:r w:rsidR="008E0304" w:rsidRPr="002F0C59">
        <w:rPr>
          <w:rFonts w:cstheme="minorHAnsi"/>
        </w:rPr>
        <w:t xml:space="preserve"> </w:t>
      </w:r>
      <w:r w:rsidR="003E29FD" w:rsidRPr="002F0C59">
        <w:rPr>
          <w:rFonts w:cstheme="minorHAnsi"/>
        </w:rPr>
        <w:t>Dużą rolę w rozwoju usług kulturowych pełnią również</w:t>
      </w:r>
      <w:r w:rsidR="003E29FD" w:rsidRPr="002F0C59">
        <w:t xml:space="preserve"> </w:t>
      </w:r>
      <w:r w:rsidR="008E0304" w:rsidRPr="002F0C59">
        <w:t>32 świetlice wiejskie.</w:t>
      </w:r>
    </w:p>
    <w:p w:rsidR="008E0304" w:rsidRPr="002F0C59" w:rsidRDefault="008E0304" w:rsidP="00F55421">
      <w:r w:rsidRPr="002F0C59">
        <w:t xml:space="preserve">Chociaż w ciągu ostatnich lat oferta kalendarza imprezowego obszaru HOF ciągle się poszerza i wprowadzane są nowe inicjatywy, to od 2016 roku zauważalny jest spadek wskaźnika liczby imprez na 1000 mieszkańców. </w:t>
      </w:r>
      <w:r w:rsidR="008F5043" w:rsidRPr="002F0C59">
        <w:t xml:space="preserve">Przypuszczalnie wynika to z niskiej atrakcyjności oferty kulturalnej miasta i gminy. </w:t>
      </w:r>
      <w:r w:rsidR="00B34EDD" w:rsidRPr="002F0C59">
        <w:t xml:space="preserve">Istotną kwestią jest również zły stan techniczny Hrubieszowskiego Domu </w:t>
      </w:r>
      <w:proofErr w:type="gramStart"/>
      <w:r w:rsidR="00B34EDD" w:rsidRPr="002F0C59">
        <w:t>Kultury  (jedynego</w:t>
      </w:r>
      <w:proofErr w:type="gramEnd"/>
      <w:r w:rsidR="00B34EDD" w:rsidRPr="002F0C59">
        <w:t xml:space="preserve"> takiego obiektu na obszarze powiatu hrubieszowskiego), który pełni funkcje </w:t>
      </w:r>
      <w:r w:rsidR="00B34EDD" w:rsidRPr="002F0C59">
        <w:rPr>
          <w:rFonts w:cstheme="minorHAnsi"/>
        </w:rPr>
        <w:t>społeczno-kulturalne, edukacyjne, szkoleniowe i wystawiennicze</w:t>
      </w:r>
      <w:r w:rsidR="00990495" w:rsidRPr="002F0C59">
        <w:rPr>
          <w:rFonts w:cstheme="minorHAnsi"/>
        </w:rPr>
        <w:t xml:space="preserve">. </w:t>
      </w:r>
      <w:r w:rsidR="00B34EDD" w:rsidRPr="002F0C59">
        <w:t>Budynek, w którym mieści się Hrubieszowski Dom Kultury obecnie jest w złym stanie technicznym i obiekt znacznie stracił na swojej atrakcyjności. Brakuje w nim również nowoczesnego wyposażenia. Coraz częściej staje się to barierą zamykającą drogę do innowacyjnych form kulturalnych. Aktualny stan techniczny obiektu uniemożliwia  wykorzystanie jego pełnego potencjału lokalowego i kulturowego, a to przekłada się na mało atrakcyjną ofertę kulturową</w:t>
      </w:r>
      <w:r w:rsidR="00990495" w:rsidRPr="002F0C59">
        <w:t xml:space="preserve">. Na spadek wskaźnika wpływ może mieć również </w:t>
      </w:r>
      <w:r w:rsidR="00B91ED1" w:rsidRPr="002F0C59">
        <w:t>słabe promowanie</w:t>
      </w:r>
      <w:r w:rsidRPr="002F0C59">
        <w:t xml:space="preserve"> imprez wśród mieszkańców, co skutkuje biernością do uczestnictwa</w:t>
      </w:r>
      <w:r w:rsidR="00B1039E" w:rsidRPr="002F0C59">
        <w:t xml:space="preserve">. </w:t>
      </w:r>
      <w:r w:rsidRPr="002F0C59">
        <w:t xml:space="preserve">Należy mieć na uwadze fakt, iż opisywany stan rzeczy dotyczy okresu z przed pandemii COVID-19. W latach 2020-2021 większość imprez ze względu na wprowadzone obostrzenia nie mogła się odbyć. Mieszkańcy HOF w badaniach ankietowych wyrażają opinię o niewystarczającej liczbie miejsc spędzania </w:t>
      </w:r>
      <w:r w:rsidR="00B1039E" w:rsidRPr="002F0C59">
        <w:t xml:space="preserve">czasu </w:t>
      </w:r>
      <w:r w:rsidRPr="002F0C59">
        <w:t>wolnego oraz o słabej ofercie spędzana wolnego czasu. Istotna wydaje się konieczność podjęcia działań w zakresie branży czasu wolnego.</w:t>
      </w:r>
      <w:r w:rsidR="00B91ED1" w:rsidRPr="002F0C59">
        <w:t xml:space="preserve"> Niezwykle istotne wydają się również działania zmierzające do ochrony, promowania, poprawy stanu technicznego ruchomych i nieruchomych zabytków na terenie HOF, </w:t>
      </w:r>
      <w:r w:rsidR="00205B54" w:rsidRPr="002F0C59">
        <w:t>z</w:t>
      </w:r>
      <w:r w:rsidR="00B91ED1" w:rsidRPr="002F0C59">
        <w:t>achowanie, upowszechnianie i ochrona dziedzictwa niematerialnego czy tworzenie nowych szlaków. HOF odznacza się dużym potencjałem historyczno-kulturowym oraz znacznym nagromadzeniem interesujących obiektów.  Duży wpływ na ten stan rzeczy miało przenikanie się trzech kultur i tradycji religijnych (katolicyzm, prawosławie i judaizm), które w procesie współistnienia, przenik</w:t>
      </w:r>
      <w:r w:rsidR="000A2EB9" w:rsidRPr="002F0C59">
        <w:t>ały się i s</w:t>
      </w:r>
      <w:r w:rsidR="00B91ED1" w:rsidRPr="002F0C59">
        <w:t xml:space="preserve">tworzyły </w:t>
      </w:r>
      <w:proofErr w:type="gramStart"/>
      <w:r w:rsidR="00B91ED1" w:rsidRPr="002F0C59">
        <w:t>nową jakość</w:t>
      </w:r>
      <w:proofErr w:type="gramEnd"/>
      <w:r w:rsidR="00B91ED1" w:rsidRPr="002F0C59">
        <w:t>. Duże znaczenie miały też czasy dawne, gdy obszar był zamieszkany przez plemiona wschodniogermańskie</w:t>
      </w:r>
      <w:r w:rsidR="000A2EB9" w:rsidRPr="002F0C59">
        <w:t xml:space="preserve">. </w:t>
      </w:r>
      <w:r w:rsidR="00B1039E" w:rsidRPr="002F0C59">
        <w:t>P</w:t>
      </w:r>
      <w:r w:rsidR="000A2EB9" w:rsidRPr="002F0C59">
        <w:t>ozostały liczne ślady – zespół osad i cmentarzysk Gotów, które stanowią niezwykły element historyczny, walor i potencjał.</w:t>
      </w:r>
    </w:p>
    <w:p w:rsidR="00205B54" w:rsidRPr="002F0C59" w:rsidRDefault="00205B54" w:rsidP="00F55421">
      <w:r w:rsidRPr="002F0C59">
        <w:t>Ze względu na utrudniony dostęp do miejsc oferujących profesjonalny dostęp do usług i wydarzeń kulturowych – szczególnie na terenie Gminy Hrubieszów, jak również na wykluczenie komunikacyjne utrudniające dotarcie do oferty osobom nieposiadającym środka transportu, w szczególności osobom starszym i młodzieży oraz osobom z niepełnosprawnościami, istotn</w:t>
      </w:r>
      <w:r w:rsidR="00B1039E" w:rsidRPr="002F0C59">
        <w:t>a</w:t>
      </w:r>
      <w:r w:rsidRPr="002F0C59">
        <w:t xml:space="preserve"> jest </w:t>
      </w:r>
      <w:r w:rsidR="00B1039E" w:rsidRPr="002F0C59">
        <w:t>poprawa dostępności i jakości oferty kulturowej.</w:t>
      </w:r>
    </w:p>
    <w:p w:rsidR="00815039" w:rsidRPr="002F0C59" w:rsidRDefault="00815039" w:rsidP="00AF6BDC">
      <w:r w:rsidRPr="002F0C59">
        <w:t xml:space="preserve">Zakres tematyczny działań zmierzających do realizacji celu zakłada: poprawę dostępności do usług opieki nad dziećmi w wieku przedszkolnym i jakości kształcenia młodzieży na poziomie podstawowym, </w:t>
      </w:r>
      <w:r w:rsidRPr="002F0C59">
        <w:rPr>
          <w:rFonts w:ascii="Calibri" w:hAnsi="Calibri" w:cs="Calibri"/>
        </w:rPr>
        <w:t xml:space="preserve">zapewnienie równego dostępu do </w:t>
      </w:r>
      <w:proofErr w:type="gramStart"/>
      <w:r w:rsidRPr="002F0C59">
        <w:rPr>
          <w:rFonts w:ascii="Calibri" w:hAnsi="Calibri" w:cs="Calibri"/>
        </w:rPr>
        <w:t>dobrej jakości</w:t>
      </w:r>
      <w:proofErr w:type="gramEnd"/>
      <w:r w:rsidRPr="002F0C59">
        <w:rPr>
          <w:rFonts w:ascii="Calibri" w:hAnsi="Calibri" w:cs="Calibri"/>
        </w:rPr>
        <w:t xml:space="preserve"> kształcenia, rozwój niezbędnej infrastruktury poprawiającej dostęp do usług kultury oraz kreowanie i rozwój wspólnej oferty kulturalnej.</w:t>
      </w:r>
      <w:r w:rsidRPr="002F0C59">
        <w:rPr>
          <w:rFonts w:cstheme="minorHAnsi"/>
        </w:rPr>
        <w:t xml:space="preserve"> Realizacja celu zakłada objęcie efektami całego obszaru HOF. </w:t>
      </w:r>
      <w:r w:rsidRPr="002F0C59">
        <w:t>Głównymi odbiorcami interwencji są mieszkańcy Gminy Hrubieszów oraz Miasta Hrubieszów stanowiącego rdzeń obszaru funkcjonalnego. Beneficjentami końcowymi działań realizujących zamierzenia celu w zakresie edukacji będą dzieci w wieku przedszkolnym, uczniowie szkół, rodzice, opiekunowie prawni oraz kadra jednostek edukacyjnych.</w:t>
      </w:r>
      <w:r w:rsidR="00AF6BDC" w:rsidRPr="002F0C59">
        <w:t xml:space="preserve"> </w:t>
      </w:r>
      <w:r w:rsidR="00AF6BDC" w:rsidRPr="002F0C59">
        <w:rPr>
          <w:lang w:eastAsia="pl-PL"/>
        </w:rPr>
        <w:t xml:space="preserve">Dane statystyczne potwierdzają, że istniejące granice administracyjne między Gminami nie mają przełożenia na </w:t>
      </w:r>
      <w:r w:rsidR="00AF6BDC" w:rsidRPr="002F0C59">
        <w:rPr>
          <w:lang w:eastAsia="pl-PL"/>
        </w:rPr>
        <w:lastRenderedPageBreak/>
        <w:t>wykorzystanie przez mieszkańców HOF infrastruktury edukacji przedszkolnej. O miejscu uczęszczania dzieci do placówki przedszkolnej nie zawsze decyzje miejsce zamieszkania, a coraz częściej miejsce pracy rodziców lub poziom nauczania w placówce</w:t>
      </w:r>
      <w:r w:rsidR="00DA4CCA" w:rsidRPr="002F0C59">
        <w:rPr>
          <w:lang w:eastAsia="pl-PL"/>
        </w:rPr>
        <w:t xml:space="preserve"> (ponad 2% to dzieci z gminy wiejskiej uczęszczające do przedszkoli na obszarze miasta)</w:t>
      </w:r>
      <w:r w:rsidR="00AF6BDC" w:rsidRPr="002F0C59">
        <w:rPr>
          <w:lang w:eastAsia="pl-PL"/>
        </w:rPr>
        <w:t xml:space="preserve">. </w:t>
      </w:r>
      <w:r w:rsidRPr="002F0C59">
        <w:t>Założenia celu są zgodne z „Mapą potrzeb w zakresie infrastruktury edukacyjnej i społecznej</w:t>
      </w:r>
      <w:r w:rsidR="005965D9" w:rsidRPr="002F0C59">
        <w:t xml:space="preserve"> w województwie lubelskim”,</w:t>
      </w:r>
      <w:r w:rsidRPr="002F0C59">
        <w:t xml:space="preserve"> zakłada</w:t>
      </w:r>
      <w:r w:rsidR="005965D9" w:rsidRPr="002F0C59">
        <w:t>ją</w:t>
      </w:r>
      <w:r w:rsidRPr="002F0C59">
        <w:t xml:space="preserve"> utrzymanie powstałego zasobu infrastruktury i liczby</w:t>
      </w:r>
      <w:r w:rsidR="005965D9" w:rsidRPr="002F0C59">
        <w:t xml:space="preserve"> użytkowników</w:t>
      </w:r>
      <w:r w:rsidRPr="002F0C59">
        <w:t>. Rekomendacje opracowane w dokumencie „Mapa potrzeb…” zwracają uwagę na potrzeby w obszarze prac remontowych i termomodernizacyjnych u podstawy, których leżą głównie aspekty ekonomiczne. Równocześnie dokument ten rekomenduje działania zmierzające do zaspokojenia wysokiego zapotrzebowania na wyposażenie informatyczne placówek edukacyjnych.</w:t>
      </w:r>
      <w:r w:rsidR="005965D9" w:rsidRPr="002F0C59">
        <w:t xml:space="preserve"> Wszystkie te założenia zostały uwzględnione w planowanych zagadnieniach przekrojowych celu.</w:t>
      </w:r>
    </w:p>
    <w:p w:rsidR="000A2EB9" w:rsidRPr="002F0C59" w:rsidRDefault="000A2EB9" w:rsidP="00AF6BDC">
      <w:r w:rsidRPr="002F0C59">
        <w:t xml:space="preserve">Beneficjentami końcowymi działań realizujących zamierzenia celu w zakresie kultury </w:t>
      </w:r>
      <w:r w:rsidR="00205B54" w:rsidRPr="002F0C59">
        <w:t xml:space="preserve">będą mieszkańcy całego obszaru HOF oraz osoby z poza HOF (turyści, mieszkańcy powiatu hrubieszowskiego). </w:t>
      </w:r>
      <w:r w:rsidR="00205B54" w:rsidRPr="002F0C59">
        <w:rPr>
          <w:rFonts w:cstheme="minorHAnsi"/>
        </w:rPr>
        <w:t xml:space="preserve">HDK jest obiektem odwiedzanym przez mieszkańców całego powiatu hrubieszowskiego, ze względu na bezkonkurencyjną na tym obszarze ofertę kulturową. Obiekt HDK jest jedynym miejscem profesjonalnych </w:t>
      </w:r>
      <w:r w:rsidR="008F5043" w:rsidRPr="002F0C59">
        <w:rPr>
          <w:rFonts w:cstheme="minorHAnsi"/>
        </w:rPr>
        <w:t>przedstawień teatralnych</w:t>
      </w:r>
      <w:r w:rsidR="00D837F7" w:rsidRPr="002F0C59">
        <w:rPr>
          <w:rFonts w:cstheme="minorHAnsi"/>
        </w:rPr>
        <w:t>, artystycznych (koncerty)</w:t>
      </w:r>
      <w:r w:rsidR="008F5043" w:rsidRPr="002F0C59">
        <w:rPr>
          <w:rFonts w:cstheme="minorHAnsi"/>
        </w:rPr>
        <w:t xml:space="preserve"> </w:t>
      </w:r>
      <w:r w:rsidR="00205B54" w:rsidRPr="002F0C59">
        <w:rPr>
          <w:rFonts w:cstheme="minorHAnsi"/>
        </w:rPr>
        <w:t>i projekcji kinowych na terenie powiatu.</w:t>
      </w:r>
    </w:p>
    <w:p w:rsidR="009C67E7" w:rsidRPr="002F0C59" w:rsidRDefault="005965D9" w:rsidP="005B406F">
      <w:pPr>
        <w:rPr>
          <w:sz w:val="20"/>
          <w:szCs w:val="20"/>
        </w:rPr>
      </w:pPr>
      <w:r w:rsidRPr="002F0C59">
        <w:t xml:space="preserve">Za realizację celu odpowiedzialne są Gmina Miejska Hrubieszów, Gmina Hrubieszów, organizacje pozarządowe i przedsiębiorcy. Natomiast niezwykle istotne jest zaangażowanie partnerów merytorycznych, organizacyjnych i finansowych z różnych sektorów. </w:t>
      </w:r>
      <w:r w:rsidRPr="002F0C59">
        <w:rPr>
          <w:rFonts w:cstheme="minorHAnsi"/>
          <w:color w:val="000000"/>
          <w:sz w:val="20"/>
          <w:szCs w:val="20"/>
        </w:rPr>
        <w:t>Potencjalne podmioty biorące udział w realizacji celu, to głównie</w:t>
      </w:r>
      <w:r w:rsidR="009C67E7" w:rsidRPr="002F0C59">
        <w:rPr>
          <w:rFonts w:cstheme="minorHAnsi"/>
          <w:color w:val="000000"/>
          <w:sz w:val="20"/>
          <w:szCs w:val="20"/>
        </w:rPr>
        <w:t xml:space="preserve"> </w:t>
      </w:r>
      <w:r w:rsidR="009C67E7" w:rsidRPr="002F0C59">
        <w:rPr>
          <w:rFonts w:ascii="Calibri" w:hAnsi="Calibri" w:cs="Calibri"/>
          <w:color w:val="000000"/>
          <w:sz w:val="20"/>
          <w:szCs w:val="20"/>
        </w:rPr>
        <w:t xml:space="preserve">przedszkola, szkoły, kuratorium oświaty, organizacje pozarządowe, przedsiębiorcy, </w:t>
      </w:r>
      <w:r w:rsidR="009C67E7" w:rsidRPr="002F0C59">
        <w:rPr>
          <w:sz w:val="20"/>
          <w:szCs w:val="20"/>
        </w:rPr>
        <w:t>GOK, Hrubieszowski Dom Kultury, Biblioteka Publiczna oraz mieszkańcy – osoby fizyczne.</w:t>
      </w:r>
    </w:p>
    <w:p w:rsidR="00654551" w:rsidRPr="002F0C59" w:rsidRDefault="00654551" w:rsidP="005B406F">
      <w:r w:rsidRPr="002F0C59">
        <w:t>Propozycje projektów, które będą przyczyniały się do realizowania celu opisanego powyżej stanowią kierunki działań zaprezentowane w tabeli poniżej.</w:t>
      </w:r>
    </w:p>
    <w:tbl>
      <w:tblPr>
        <w:tblStyle w:val="Jasnasiatkaakcent23"/>
        <w:tblW w:w="0" w:type="auto"/>
        <w:tblLook w:val="04A0" w:firstRow="1" w:lastRow="0" w:firstColumn="1" w:lastColumn="0" w:noHBand="0" w:noVBand="1"/>
      </w:tblPr>
      <w:tblGrid>
        <w:gridCol w:w="2802"/>
        <w:gridCol w:w="4394"/>
        <w:gridCol w:w="2977"/>
        <w:gridCol w:w="2409"/>
        <w:gridCol w:w="1418"/>
      </w:tblGrid>
      <w:tr w:rsidR="005B406F" w:rsidTr="002A65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5B406F" w:rsidRPr="003F543C" w:rsidRDefault="005B406F" w:rsidP="002A6598">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394" w:type="dxa"/>
          </w:tcPr>
          <w:p w:rsidR="005B406F" w:rsidRPr="003F543C" w:rsidRDefault="005B406F" w:rsidP="002A6598">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977" w:type="dxa"/>
          </w:tcPr>
          <w:p w:rsidR="005B406F" w:rsidRPr="003F543C" w:rsidRDefault="005B406F" w:rsidP="002A6598">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5B406F" w:rsidRPr="003F543C" w:rsidRDefault="005B406F" w:rsidP="002A6598">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8" w:type="dxa"/>
          </w:tcPr>
          <w:p w:rsidR="005B406F" w:rsidRPr="003F543C" w:rsidRDefault="005B406F" w:rsidP="002A6598">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5B406F" w:rsidTr="003F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5B406F" w:rsidRDefault="005B406F" w:rsidP="002D7375">
            <w:pPr>
              <w:spacing w:before="0"/>
              <w:ind w:firstLine="0"/>
              <w:jc w:val="left"/>
              <w:rPr>
                <w:rFonts w:ascii="Calibri" w:hAnsi="Calibri" w:cs="Calibri"/>
                <w:b w:val="0"/>
                <w:color w:val="000000"/>
                <w:sz w:val="20"/>
                <w:szCs w:val="20"/>
              </w:rPr>
            </w:pPr>
          </w:p>
          <w:p w:rsidR="005B406F" w:rsidRPr="005B406F" w:rsidRDefault="005B406F" w:rsidP="002D7375">
            <w:pPr>
              <w:spacing w:before="0"/>
              <w:ind w:firstLine="0"/>
              <w:jc w:val="left"/>
              <w:rPr>
                <w:rFonts w:ascii="Calibri" w:hAnsi="Calibri" w:cs="Calibri"/>
                <w:b w:val="0"/>
                <w:color w:val="000000"/>
                <w:sz w:val="20"/>
                <w:szCs w:val="20"/>
              </w:rPr>
            </w:pPr>
            <w:r w:rsidRPr="005B406F">
              <w:rPr>
                <w:rFonts w:ascii="Calibri" w:hAnsi="Calibri" w:cs="Calibri"/>
                <w:b w:val="0"/>
                <w:color w:val="000000"/>
                <w:sz w:val="20"/>
                <w:szCs w:val="20"/>
              </w:rPr>
              <w:t>Poprawa dostępności do usług opieki nad dziećmi w wieku przedszkolnym</w:t>
            </w:r>
            <w:r>
              <w:rPr>
                <w:rFonts w:ascii="Calibri" w:hAnsi="Calibri" w:cs="Calibri"/>
                <w:b w:val="0"/>
                <w:color w:val="000000"/>
                <w:sz w:val="20"/>
                <w:szCs w:val="20"/>
              </w:rPr>
              <w:t xml:space="preserve"> i </w:t>
            </w:r>
            <w:proofErr w:type="gramStart"/>
            <w:r>
              <w:rPr>
                <w:rFonts w:ascii="Calibri" w:hAnsi="Calibri" w:cs="Calibri"/>
                <w:b w:val="0"/>
                <w:color w:val="000000"/>
                <w:sz w:val="20"/>
                <w:szCs w:val="20"/>
              </w:rPr>
              <w:t>p</w:t>
            </w:r>
            <w:r w:rsidRPr="005B406F">
              <w:rPr>
                <w:rFonts w:ascii="Calibri" w:hAnsi="Calibri" w:cs="Calibri"/>
                <w:b w:val="0"/>
                <w:color w:val="000000"/>
                <w:sz w:val="20"/>
                <w:szCs w:val="20"/>
              </w:rPr>
              <w:t>oprawa jakości</w:t>
            </w:r>
            <w:proofErr w:type="gramEnd"/>
            <w:r w:rsidRPr="005B406F">
              <w:rPr>
                <w:rFonts w:ascii="Calibri" w:hAnsi="Calibri" w:cs="Calibri"/>
                <w:b w:val="0"/>
                <w:color w:val="000000"/>
                <w:sz w:val="20"/>
                <w:szCs w:val="20"/>
              </w:rPr>
              <w:t xml:space="preserve"> kształcenia młodzieży na poziomie podstawowym</w:t>
            </w:r>
          </w:p>
          <w:p w:rsidR="005B406F" w:rsidRPr="009562AF" w:rsidRDefault="005B406F" w:rsidP="002D7375">
            <w:pPr>
              <w:spacing w:before="0"/>
              <w:ind w:firstLine="0"/>
              <w:jc w:val="left"/>
              <w:rPr>
                <w:rFonts w:ascii="Calibri" w:hAnsi="Calibri" w:cs="Calibri"/>
                <w:b w:val="0"/>
                <w:color w:val="000000"/>
                <w:sz w:val="20"/>
                <w:szCs w:val="20"/>
              </w:rPr>
            </w:pPr>
          </w:p>
        </w:tc>
        <w:tc>
          <w:tcPr>
            <w:tcW w:w="4394" w:type="dxa"/>
            <w:vAlign w:val="center"/>
          </w:tcPr>
          <w:p w:rsidR="005B406F" w:rsidRPr="005B406F" w:rsidRDefault="005B406F" w:rsidP="003F0FE4">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B406F">
              <w:rPr>
                <w:sz w:val="20"/>
                <w:szCs w:val="20"/>
              </w:rPr>
              <w:t xml:space="preserve">Inwestycje w infrastrukturę edukacji przedszkolnej, w tym w szczególności na obszarach deficytowych, m. in.: budowa, rozbudowa, przebudowa, adaptacja i modernizacja obiektów na potrzeby prowadzenia działalności edukacyjnej, w tym m.in. place zabaw wraz z zapewnieniem niezbędnego wyposażenia gwarantującego </w:t>
            </w:r>
            <w:proofErr w:type="gramStart"/>
            <w:r w:rsidRPr="005B406F">
              <w:rPr>
                <w:sz w:val="20"/>
                <w:szCs w:val="20"/>
              </w:rPr>
              <w:t>wysoką jakość</w:t>
            </w:r>
            <w:proofErr w:type="gramEnd"/>
            <w:r w:rsidRPr="005B406F">
              <w:rPr>
                <w:sz w:val="20"/>
                <w:szCs w:val="20"/>
              </w:rPr>
              <w:t xml:space="preserve"> kształcenia.</w:t>
            </w:r>
          </w:p>
        </w:tc>
        <w:tc>
          <w:tcPr>
            <w:tcW w:w="2977" w:type="dxa"/>
            <w:vAlign w:val="center"/>
          </w:tcPr>
          <w:p w:rsidR="003F0FE4" w:rsidRPr="005C196E" w:rsidRDefault="003F0FE4"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 xml:space="preserve">Gmina Miejska Hrubieszów, Gmina Hrubieszów, </w:t>
            </w:r>
          </w:p>
          <w:p w:rsidR="005B406F" w:rsidRPr="005C196E" w:rsidRDefault="003F0FE4" w:rsidP="005C196E">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Organizacje pozarządowe, przedsiębiorcy</w:t>
            </w:r>
            <w:r w:rsidRPr="005C196E">
              <w:rPr>
                <w:rFonts w:ascii="Calibri" w:hAnsi="Calibri" w:cs="Calibri"/>
                <w:color w:val="000000"/>
                <w:sz w:val="20"/>
                <w:szCs w:val="20"/>
              </w:rPr>
              <w:tab/>
            </w:r>
          </w:p>
        </w:tc>
        <w:tc>
          <w:tcPr>
            <w:tcW w:w="2409" w:type="dxa"/>
            <w:vAlign w:val="center"/>
          </w:tcPr>
          <w:p w:rsidR="005B406F" w:rsidRPr="005C196E" w:rsidRDefault="005C196E"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Przedszkola, organizacje pozarządowe, przedsiębiorcy</w:t>
            </w:r>
          </w:p>
        </w:tc>
        <w:tc>
          <w:tcPr>
            <w:tcW w:w="1418" w:type="dxa"/>
            <w:vAlign w:val="center"/>
          </w:tcPr>
          <w:p w:rsidR="005B406F" w:rsidRDefault="003F0FE4"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5C196E" w:rsidTr="003F0F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EFD3D2"/>
            <w:vAlign w:val="center"/>
          </w:tcPr>
          <w:p w:rsidR="005C196E" w:rsidRPr="009562AF" w:rsidRDefault="005C196E" w:rsidP="002D7375">
            <w:pPr>
              <w:spacing w:before="0"/>
              <w:ind w:firstLine="0"/>
              <w:jc w:val="left"/>
              <w:rPr>
                <w:rFonts w:ascii="Calibri" w:hAnsi="Calibri" w:cs="Calibri"/>
                <w:b w:val="0"/>
                <w:color w:val="000000"/>
                <w:sz w:val="20"/>
                <w:szCs w:val="20"/>
              </w:rPr>
            </w:pPr>
          </w:p>
        </w:tc>
        <w:tc>
          <w:tcPr>
            <w:tcW w:w="4394" w:type="dxa"/>
            <w:vAlign w:val="center"/>
          </w:tcPr>
          <w:p w:rsidR="005C196E" w:rsidRPr="005B406F" w:rsidRDefault="005C196E" w:rsidP="003F0FE4">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B406F">
              <w:rPr>
                <w:sz w:val="20"/>
                <w:szCs w:val="20"/>
              </w:rPr>
              <w:t xml:space="preserve">Inwestycje w infrastrukturę włączającą dla osób ze </w:t>
            </w:r>
            <w:r w:rsidRPr="005B406F">
              <w:rPr>
                <w:sz w:val="20"/>
                <w:szCs w:val="20"/>
              </w:rPr>
              <w:lastRenderedPageBreak/>
              <w:t>spec</w:t>
            </w:r>
            <w:r>
              <w:rPr>
                <w:sz w:val="20"/>
                <w:szCs w:val="20"/>
              </w:rPr>
              <w:t>jalnymi potrzebami edukacyjnymi</w:t>
            </w:r>
          </w:p>
        </w:tc>
        <w:tc>
          <w:tcPr>
            <w:tcW w:w="2977" w:type="dxa"/>
            <w:vAlign w:val="center"/>
          </w:tcPr>
          <w:p w:rsidR="005C196E" w:rsidRPr="005C196E" w:rsidRDefault="005C196E"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lastRenderedPageBreak/>
              <w:t xml:space="preserve">Gmina Miejska Hrubieszów, </w:t>
            </w:r>
            <w:r w:rsidRPr="005C196E">
              <w:rPr>
                <w:rFonts w:ascii="Calibri" w:hAnsi="Calibri" w:cs="Calibri"/>
                <w:color w:val="000000"/>
                <w:sz w:val="20"/>
                <w:szCs w:val="20"/>
              </w:rPr>
              <w:lastRenderedPageBreak/>
              <w:t xml:space="preserve">Gmina Hrubieszów, </w:t>
            </w:r>
          </w:p>
          <w:p w:rsidR="005C196E" w:rsidRPr="005C196E" w:rsidRDefault="005C196E"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Organizacje pozarządowe, przedsiębiorcy</w:t>
            </w:r>
            <w:r w:rsidRPr="005C196E">
              <w:rPr>
                <w:rFonts w:ascii="Calibri" w:hAnsi="Calibri" w:cs="Calibri"/>
                <w:color w:val="000000"/>
                <w:sz w:val="20"/>
                <w:szCs w:val="20"/>
              </w:rPr>
              <w:tab/>
            </w:r>
          </w:p>
        </w:tc>
        <w:tc>
          <w:tcPr>
            <w:tcW w:w="2409" w:type="dxa"/>
            <w:vAlign w:val="center"/>
          </w:tcPr>
          <w:p w:rsidR="005C196E" w:rsidRPr="005C196E" w:rsidRDefault="005C196E"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lastRenderedPageBreak/>
              <w:t>O</w:t>
            </w:r>
            <w:r w:rsidRPr="005C196E">
              <w:rPr>
                <w:rFonts w:ascii="Calibri" w:hAnsi="Calibri" w:cs="Calibri"/>
                <w:color w:val="000000"/>
                <w:sz w:val="20"/>
                <w:szCs w:val="20"/>
              </w:rPr>
              <w:t xml:space="preserve">rganizacje pozarządowe, </w:t>
            </w:r>
            <w:r w:rsidRPr="005C196E">
              <w:rPr>
                <w:rFonts w:ascii="Calibri" w:hAnsi="Calibri" w:cs="Calibri"/>
                <w:color w:val="000000"/>
                <w:sz w:val="20"/>
                <w:szCs w:val="20"/>
              </w:rPr>
              <w:lastRenderedPageBreak/>
              <w:t>przedsiębiorcy</w:t>
            </w:r>
          </w:p>
        </w:tc>
        <w:tc>
          <w:tcPr>
            <w:tcW w:w="1418" w:type="dxa"/>
            <w:vAlign w:val="center"/>
          </w:tcPr>
          <w:p w:rsidR="005C196E" w:rsidRDefault="005C196E"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5C196E" w:rsidTr="003F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5C196E" w:rsidRPr="009562AF" w:rsidRDefault="005C196E" w:rsidP="002D7375">
            <w:pPr>
              <w:spacing w:before="0"/>
              <w:ind w:firstLine="0"/>
              <w:jc w:val="left"/>
              <w:rPr>
                <w:rFonts w:ascii="Calibri" w:hAnsi="Calibri" w:cs="Calibri"/>
                <w:b w:val="0"/>
                <w:color w:val="000000"/>
                <w:sz w:val="20"/>
                <w:szCs w:val="20"/>
              </w:rPr>
            </w:pPr>
          </w:p>
        </w:tc>
        <w:tc>
          <w:tcPr>
            <w:tcW w:w="4394" w:type="dxa"/>
            <w:vAlign w:val="center"/>
          </w:tcPr>
          <w:p w:rsidR="005C196E" w:rsidRPr="005B406F" w:rsidRDefault="005C196E" w:rsidP="003F0FE4">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rPr>
            </w:pPr>
            <w:r w:rsidRPr="005B406F">
              <w:rPr>
                <w:sz w:val="20"/>
              </w:rPr>
              <w:t>Adaptacja pracowni symulujących rzeczywiste warunki pracy do potrzeb osób ze specjalnymi potrzebami w szkołach/placówkach ogólnodostępnych.</w:t>
            </w:r>
          </w:p>
        </w:tc>
        <w:tc>
          <w:tcPr>
            <w:tcW w:w="2977" w:type="dxa"/>
            <w:vAlign w:val="center"/>
          </w:tcPr>
          <w:p w:rsidR="005C196E" w:rsidRPr="005C196E" w:rsidRDefault="005C196E"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Gmina Miejska Hrubieszów, Gmina Hrubieszów</w:t>
            </w:r>
          </w:p>
        </w:tc>
        <w:tc>
          <w:tcPr>
            <w:tcW w:w="2409" w:type="dxa"/>
            <w:vAlign w:val="center"/>
          </w:tcPr>
          <w:p w:rsidR="005C196E" w:rsidRPr="005C196E" w:rsidRDefault="005C196E"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Szkoły, organizacje pozarządowe, kuratorium oświaty, przedsiębiorcy</w:t>
            </w:r>
          </w:p>
        </w:tc>
        <w:tc>
          <w:tcPr>
            <w:tcW w:w="1418" w:type="dxa"/>
            <w:vAlign w:val="center"/>
          </w:tcPr>
          <w:p w:rsidR="005C196E" w:rsidRDefault="005C196E"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5C196E" w:rsidTr="003F0F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5C196E" w:rsidRDefault="005C196E" w:rsidP="002D7375">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 xml:space="preserve">Równy dostęp do </w:t>
            </w:r>
            <w:proofErr w:type="gramStart"/>
            <w:r>
              <w:rPr>
                <w:rFonts w:ascii="Calibri" w:hAnsi="Calibri" w:cs="Calibri"/>
                <w:b w:val="0"/>
                <w:color w:val="000000"/>
                <w:sz w:val="20"/>
                <w:szCs w:val="20"/>
              </w:rPr>
              <w:t>dobrej jakości</w:t>
            </w:r>
            <w:proofErr w:type="gramEnd"/>
            <w:r>
              <w:rPr>
                <w:rFonts w:ascii="Calibri" w:hAnsi="Calibri" w:cs="Calibri"/>
                <w:b w:val="0"/>
                <w:color w:val="000000"/>
                <w:sz w:val="20"/>
                <w:szCs w:val="20"/>
              </w:rPr>
              <w:t xml:space="preserve"> kształcenia</w:t>
            </w:r>
          </w:p>
          <w:p w:rsidR="005C196E" w:rsidRPr="005B406F" w:rsidRDefault="005C196E" w:rsidP="002D7375">
            <w:pPr>
              <w:spacing w:before="0"/>
              <w:ind w:firstLine="0"/>
              <w:jc w:val="left"/>
              <w:rPr>
                <w:rFonts w:ascii="Calibri" w:hAnsi="Calibri" w:cs="Calibri"/>
                <w:b w:val="0"/>
                <w:color w:val="000000"/>
                <w:sz w:val="20"/>
                <w:szCs w:val="20"/>
              </w:rPr>
            </w:pPr>
          </w:p>
        </w:tc>
        <w:tc>
          <w:tcPr>
            <w:tcW w:w="4394" w:type="dxa"/>
            <w:vAlign w:val="center"/>
          </w:tcPr>
          <w:p w:rsidR="005C196E" w:rsidRPr="005B406F" w:rsidRDefault="005C196E" w:rsidP="003F0FE4">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B406F">
              <w:rPr>
                <w:sz w:val="20"/>
                <w:szCs w:val="20"/>
              </w:rPr>
              <w:t>Tworzenie nowych miejsc wychowania przedszkolnego i związanej z tym bazy lokalowej i dydaktycznej.</w:t>
            </w:r>
          </w:p>
        </w:tc>
        <w:tc>
          <w:tcPr>
            <w:tcW w:w="2977" w:type="dxa"/>
            <w:vAlign w:val="center"/>
          </w:tcPr>
          <w:p w:rsidR="007E6A3E" w:rsidRPr="005C196E" w:rsidRDefault="007E6A3E" w:rsidP="007E6A3E">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 xml:space="preserve">Gmina Miejska Hrubieszów, Gmina Hrubieszów, </w:t>
            </w:r>
          </w:p>
          <w:p w:rsidR="005C196E" w:rsidRPr="00794592" w:rsidRDefault="007E6A3E" w:rsidP="007E6A3E">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5C196E">
              <w:rPr>
                <w:rFonts w:ascii="Calibri" w:hAnsi="Calibri" w:cs="Calibri"/>
                <w:color w:val="000000"/>
                <w:sz w:val="20"/>
                <w:szCs w:val="20"/>
              </w:rPr>
              <w:t>Organizacje pozarządowe, przedsiębiorcy</w:t>
            </w:r>
            <w:r w:rsidRPr="005C196E">
              <w:rPr>
                <w:rFonts w:ascii="Calibri" w:hAnsi="Calibri" w:cs="Calibri"/>
                <w:color w:val="000000"/>
                <w:sz w:val="20"/>
                <w:szCs w:val="20"/>
              </w:rPr>
              <w:tab/>
            </w:r>
          </w:p>
        </w:tc>
        <w:tc>
          <w:tcPr>
            <w:tcW w:w="2409" w:type="dxa"/>
            <w:vAlign w:val="center"/>
          </w:tcPr>
          <w:p w:rsidR="005C196E" w:rsidRPr="00794592" w:rsidRDefault="007E6A3E"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Pr>
                <w:rFonts w:ascii="Calibri" w:hAnsi="Calibri" w:cs="Calibri"/>
                <w:color w:val="000000"/>
                <w:sz w:val="20"/>
                <w:szCs w:val="20"/>
              </w:rPr>
              <w:t>O</w:t>
            </w:r>
            <w:r w:rsidRPr="005C196E">
              <w:rPr>
                <w:rFonts w:ascii="Calibri" w:hAnsi="Calibri" w:cs="Calibri"/>
                <w:color w:val="000000"/>
                <w:sz w:val="20"/>
                <w:szCs w:val="20"/>
              </w:rPr>
              <w:t>rganizacje pozarządowe, przedsiębiorcy</w:t>
            </w:r>
          </w:p>
        </w:tc>
        <w:tc>
          <w:tcPr>
            <w:tcW w:w="1418" w:type="dxa"/>
            <w:vAlign w:val="center"/>
          </w:tcPr>
          <w:p w:rsidR="005C196E" w:rsidRDefault="005C196E"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E6A3E" w:rsidTr="003F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E6A3E" w:rsidRPr="005B406F" w:rsidRDefault="007E6A3E" w:rsidP="002A6598">
            <w:pPr>
              <w:spacing w:before="0"/>
              <w:ind w:firstLine="0"/>
              <w:jc w:val="left"/>
              <w:rPr>
                <w:rFonts w:ascii="Calibri" w:hAnsi="Calibri" w:cs="Calibri"/>
                <w:b w:val="0"/>
                <w:color w:val="000000"/>
                <w:sz w:val="20"/>
                <w:szCs w:val="20"/>
              </w:rPr>
            </w:pPr>
          </w:p>
        </w:tc>
        <w:tc>
          <w:tcPr>
            <w:tcW w:w="4394" w:type="dxa"/>
            <w:vAlign w:val="center"/>
          </w:tcPr>
          <w:p w:rsidR="007E6A3E" w:rsidRPr="005B406F" w:rsidRDefault="007E6A3E" w:rsidP="007E6A3E">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sidRPr="005B406F">
              <w:rPr>
                <w:sz w:val="20"/>
                <w:szCs w:val="20"/>
              </w:rPr>
              <w:t>Unowocześnianie istniejącej bazy lokalowej i dydaktycznej w zakresie edukacji włączającej przedszkolnej.</w:t>
            </w:r>
          </w:p>
          <w:p w:rsidR="007E6A3E" w:rsidRPr="005B406F" w:rsidRDefault="007E6A3E" w:rsidP="003F0FE4">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c>
          <w:tcPr>
            <w:tcW w:w="2977" w:type="dxa"/>
            <w:vAlign w:val="center"/>
          </w:tcPr>
          <w:p w:rsidR="007E6A3E" w:rsidRPr="005C196E" w:rsidRDefault="007E6A3E"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 xml:space="preserve">Gmina Miejska Hrubieszów, Gmina Hrubieszów, </w:t>
            </w:r>
          </w:p>
          <w:p w:rsidR="007E6A3E" w:rsidRPr="00794592" w:rsidRDefault="007E6A3E"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5C196E">
              <w:rPr>
                <w:rFonts w:ascii="Calibri" w:hAnsi="Calibri" w:cs="Calibri"/>
                <w:color w:val="000000"/>
                <w:sz w:val="20"/>
                <w:szCs w:val="20"/>
              </w:rPr>
              <w:t>Organizacje pozarządowe, przedsiębiorcy</w:t>
            </w:r>
            <w:r w:rsidRPr="005C196E">
              <w:rPr>
                <w:rFonts w:ascii="Calibri" w:hAnsi="Calibri" w:cs="Calibri"/>
                <w:color w:val="000000"/>
                <w:sz w:val="20"/>
                <w:szCs w:val="20"/>
              </w:rPr>
              <w:tab/>
            </w:r>
          </w:p>
        </w:tc>
        <w:tc>
          <w:tcPr>
            <w:tcW w:w="2409" w:type="dxa"/>
            <w:vAlign w:val="center"/>
          </w:tcPr>
          <w:p w:rsidR="007E6A3E" w:rsidRPr="00794592" w:rsidRDefault="007E6A3E"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Pr>
                <w:rFonts w:ascii="Calibri" w:hAnsi="Calibri" w:cs="Calibri"/>
                <w:color w:val="000000"/>
                <w:sz w:val="20"/>
                <w:szCs w:val="20"/>
              </w:rPr>
              <w:t>O</w:t>
            </w:r>
            <w:r w:rsidRPr="005C196E">
              <w:rPr>
                <w:rFonts w:ascii="Calibri" w:hAnsi="Calibri" w:cs="Calibri"/>
                <w:color w:val="000000"/>
                <w:sz w:val="20"/>
                <w:szCs w:val="20"/>
              </w:rPr>
              <w:t>rganizacje pozarządowe, przedsiębiorcy</w:t>
            </w:r>
            <w:r>
              <w:rPr>
                <w:rFonts w:ascii="Calibri" w:hAnsi="Calibri" w:cs="Calibri"/>
                <w:color w:val="000000"/>
                <w:sz w:val="20"/>
                <w:szCs w:val="20"/>
              </w:rPr>
              <w:t xml:space="preserve">, </w:t>
            </w:r>
            <w:r w:rsidRPr="005C196E">
              <w:rPr>
                <w:rFonts w:ascii="Calibri" w:hAnsi="Calibri" w:cs="Calibri"/>
                <w:color w:val="000000"/>
                <w:sz w:val="20"/>
                <w:szCs w:val="20"/>
              </w:rPr>
              <w:t>kuratorium oświaty</w:t>
            </w:r>
            <w:r>
              <w:rPr>
                <w:rFonts w:ascii="Calibri" w:hAnsi="Calibri" w:cs="Calibri"/>
                <w:color w:val="000000"/>
                <w:sz w:val="20"/>
                <w:szCs w:val="20"/>
              </w:rPr>
              <w:t>, przedszkola, szkoły</w:t>
            </w:r>
          </w:p>
        </w:tc>
        <w:tc>
          <w:tcPr>
            <w:tcW w:w="1418" w:type="dxa"/>
            <w:vAlign w:val="center"/>
          </w:tcPr>
          <w:p w:rsidR="007E6A3E" w:rsidRDefault="007E6A3E"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E6A3E" w:rsidTr="003F0F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E6A3E" w:rsidRPr="005B406F" w:rsidRDefault="007E6A3E" w:rsidP="002A6598">
            <w:pPr>
              <w:spacing w:before="0"/>
              <w:ind w:firstLine="0"/>
              <w:jc w:val="left"/>
              <w:rPr>
                <w:rFonts w:ascii="Calibri" w:hAnsi="Calibri" w:cs="Calibri"/>
                <w:b w:val="0"/>
                <w:color w:val="000000"/>
                <w:sz w:val="20"/>
                <w:szCs w:val="20"/>
              </w:rPr>
            </w:pPr>
          </w:p>
        </w:tc>
        <w:tc>
          <w:tcPr>
            <w:tcW w:w="4394" w:type="dxa"/>
            <w:vAlign w:val="center"/>
          </w:tcPr>
          <w:p w:rsidR="007E6A3E" w:rsidRPr="005B406F" w:rsidRDefault="007E6A3E" w:rsidP="003F0FE4">
            <w:pPr>
              <w:spacing w:before="0"/>
              <w:ind w:left="33" w:firstLine="0"/>
              <w:jc w:val="left"/>
              <w:cnfStyle w:val="000000010000" w:firstRow="0" w:lastRow="0" w:firstColumn="0" w:lastColumn="0" w:oddVBand="0" w:evenVBand="0" w:oddHBand="0" w:evenHBand="1" w:firstRowFirstColumn="0" w:firstRowLastColumn="0" w:lastRowFirstColumn="0" w:lastRowLastColumn="0"/>
              <w:rPr>
                <w:sz w:val="20"/>
                <w:szCs w:val="20"/>
              </w:rPr>
            </w:pPr>
            <w:r w:rsidRPr="005B406F">
              <w:rPr>
                <w:sz w:val="20"/>
                <w:szCs w:val="20"/>
              </w:rPr>
              <w:t>Programy rozwojowe ośrodków wsparcia przedszkolnego w zakresie:</w:t>
            </w:r>
          </w:p>
          <w:p w:rsidR="007E6A3E" w:rsidRPr="005B406F" w:rsidRDefault="007E6A3E" w:rsidP="00A13FA7">
            <w:pPr>
              <w:pStyle w:val="Akapitzlist"/>
              <w:numPr>
                <w:ilvl w:val="0"/>
                <w:numId w:val="84"/>
              </w:numPr>
              <w:spacing w:before="0"/>
              <w:ind w:left="459"/>
              <w:jc w:val="left"/>
              <w:cnfStyle w:val="000000010000" w:firstRow="0" w:lastRow="0" w:firstColumn="0" w:lastColumn="0" w:oddVBand="0" w:evenVBand="0" w:oddHBand="0" w:evenHBand="1" w:firstRowFirstColumn="0" w:firstRowLastColumn="0" w:lastRowFirstColumn="0" w:lastRowLastColumn="0"/>
              <w:rPr>
                <w:sz w:val="20"/>
                <w:szCs w:val="20"/>
              </w:rPr>
            </w:pPr>
            <w:r w:rsidRPr="005B406F">
              <w:rPr>
                <w:sz w:val="20"/>
                <w:szCs w:val="20"/>
              </w:rPr>
              <w:t>Poprawa dostępności</w:t>
            </w:r>
          </w:p>
          <w:p w:rsidR="007E6A3E" w:rsidRPr="005B406F" w:rsidRDefault="007E6A3E" w:rsidP="00A13FA7">
            <w:pPr>
              <w:pStyle w:val="Akapitzlist"/>
              <w:numPr>
                <w:ilvl w:val="0"/>
                <w:numId w:val="84"/>
              </w:numPr>
              <w:spacing w:before="0"/>
              <w:ind w:left="459"/>
              <w:jc w:val="left"/>
              <w:cnfStyle w:val="000000010000" w:firstRow="0" w:lastRow="0" w:firstColumn="0" w:lastColumn="0" w:oddVBand="0" w:evenVBand="0" w:oddHBand="0" w:evenHBand="1" w:firstRowFirstColumn="0" w:firstRowLastColumn="0" w:lastRowFirstColumn="0" w:lastRowLastColumn="0"/>
              <w:rPr>
                <w:sz w:val="20"/>
                <w:szCs w:val="20"/>
              </w:rPr>
            </w:pPr>
            <w:proofErr w:type="gramStart"/>
            <w:r w:rsidRPr="005B406F">
              <w:rPr>
                <w:sz w:val="20"/>
                <w:szCs w:val="20"/>
              </w:rPr>
              <w:t>dodatkowe</w:t>
            </w:r>
            <w:proofErr w:type="gramEnd"/>
            <w:r w:rsidRPr="005B406F">
              <w:rPr>
                <w:sz w:val="20"/>
                <w:szCs w:val="20"/>
              </w:rPr>
              <w:t xml:space="preserve"> zajęcia dydaktyczno-wychowawcze oraz specjalistyczne</w:t>
            </w:r>
          </w:p>
          <w:p w:rsidR="007E6A3E" w:rsidRPr="005B406F" w:rsidRDefault="007E6A3E" w:rsidP="00A13FA7">
            <w:pPr>
              <w:pStyle w:val="Akapitzlist"/>
              <w:numPr>
                <w:ilvl w:val="0"/>
                <w:numId w:val="84"/>
              </w:numPr>
              <w:spacing w:before="0"/>
              <w:ind w:left="459"/>
              <w:jc w:val="left"/>
              <w:cnfStyle w:val="000000010000" w:firstRow="0" w:lastRow="0" w:firstColumn="0" w:lastColumn="0" w:oddVBand="0" w:evenVBand="0" w:oddHBand="0" w:evenHBand="1" w:firstRowFirstColumn="0" w:firstRowLastColumn="0" w:lastRowFirstColumn="0" w:lastRowLastColumn="0"/>
              <w:rPr>
                <w:sz w:val="20"/>
                <w:szCs w:val="20"/>
              </w:rPr>
            </w:pPr>
            <w:proofErr w:type="gramStart"/>
            <w:r w:rsidRPr="005B406F">
              <w:rPr>
                <w:sz w:val="20"/>
                <w:szCs w:val="20"/>
              </w:rPr>
              <w:t>pomoc</w:t>
            </w:r>
            <w:proofErr w:type="gramEnd"/>
            <w:r w:rsidRPr="005B406F">
              <w:rPr>
                <w:sz w:val="20"/>
                <w:szCs w:val="20"/>
              </w:rPr>
              <w:t xml:space="preserve"> psychologiczno-pedagogiczną dla dzieci, rodziców/opiekunów i nauczycieli</w:t>
            </w:r>
          </w:p>
          <w:p w:rsidR="007E6A3E" w:rsidRPr="005B406F" w:rsidRDefault="007E6A3E" w:rsidP="00A13FA7">
            <w:pPr>
              <w:pStyle w:val="Akapitzlist"/>
              <w:numPr>
                <w:ilvl w:val="0"/>
                <w:numId w:val="84"/>
              </w:numPr>
              <w:spacing w:before="0"/>
              <w:ind w:left="459"/>
              <w:jc w:val="left"/>
              <w:cnfStyle w:val="000000010000" w:firstRow="0" w:lastRow="0" w:firstColumn="0" w:lastColumn="0" w:oddVBand="0" w:evenVBand="0" w:oddHBand="0" w:evenHBand="1" w:firstRowFirstColumn="0" w:firstRowLastColumn="0" w:lastRowFirstColumn="0" w:lastRowLastColumn="0"/>
              <w:rPr>
                <w:rFonts w:cs="Calibri"/>
                <w:color w:val="000000"/>
                <w:sz w:val="20"/>
                <w:szCs w:val="20"/>
              </w:rPr>
            </w:pPr>
            <w:proofErr w:type="gramStart"/>
            <w:r w:rsidRPr="005B406F">
              <w:rPr>
                <w:sz w:val="20"/>
                <w:szCs w:val="20"/>
              </w:rPr>
              <w:t>doskonalenie</w:t>
            </w:r>
            <w:proofErr w:type="gramEnd"/>
            <w:r w:rsidRPr="005B406F">
              <w:rPr>
                <w:sz w:val="20"/>
                <w:szCs w:val="20"/>
              </w:rPr>
              <w:t xml:space="preserve"> zawodowe kadry</w:t>
            </w:r>
          </w:p>
        </w:tc>
        <w:tc>
          <w:tcPr>
            <w:tcW w:w="2977" w:type="dxa"/>
            <w:vAlign w:val="center"/>
          </w:tcPr>
          <w:p w:rsidR="007E6A3E" w:rsidRPr="007E6A3E" w:rsidRDefault="007E6A3E" w:rsidP="007E6A3E">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Gmina Miejska</w:t>
            </w:r>
            <w:r>
              <w:rPr>
                <w:rFonts w:ascii="Calibri" w:hAnsi="Calibri" w:cs="Calibri"/>
                <w:color w:val="000000"/>
                <w:sz w:val="20"/>
                <w:szCs w:val="20"/>
              </w:rPr>
              <w:t xml:space="preserve"> Hrubieszów, Gmina Hrubieszów</w:t>
            </w:r>
          </w:p>
        </w:tc>
        <w:tc>
          <w:tcPr>
            <w:tcW w:w="2409" w:type="dxa"/>
            <w:vAlign w:val="center"/>
          </w:tcPr>
          <w:p w:rsidR="007E6A3E" w:rsidRPr="007E6A3E" w:rsidRDefault="007E6A3E"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E6A3E">
              <w:rPr>
                <w:rFonts w:ascii="Calibri" w:hAnsi="Calibri" w:cs="Calibri"/>
                <w:color w:val="000000"/>
                <w:sz w:val="20"/>
                <w:szCs w:val="20"/>
              </w:rPr>
              <w:t xml:space="preserve">Przedszkola, szkoły, </w:t>
            </w:r>
            <w:r>
              <w:rPr>
                <w:rFonts w:ascii="Calibri" w:hAnsi="Calibri" w:cs="Calibri"/>
                <w:color w:val="000000"/>
                <w:sz w:val="20"/>
                <w:szCs w:val="20"/>
              </w:rPr>
              <w:t>o</w:t>
            </w:r>
            <w:r w:rsidRPr="007E6A3E">
              <w:rPr>
                <w:rFonts w:ascii="Calibri" w:hAnsi="Calibri" w:cs="Calibri"/>
                <w:color w:val="000000"/>
                <w:sz w:val="20"/>
                <w:szCs w:val="20"/>
              </w:rPr>
              <w:t>rganizacje pozarządowe, przedsiębiorcy, kuratorium oświaty</w:t>
            </w:r>
          </w:p>
        </w:tc>
        <w:tc>
          <w:tcPr>
            <w:tcW w:w="1418" w:type="dxa"/>
            <w:vAlign w:val="center"/>
          </w:tcPr>
          <w:p w:rsidR="007E6A3E" w:rsidRDefault="007E6A3E"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E6A3E" w:rsidTr="003F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E6A3E" w:rsidRPr="005B406F" w:rsidRDefault="007E6A3E" w:rsidP="002A6598">
            <w:pPr>
              <w:spacing w:before="0"/>
              <w:ind w:firstLine="0"/>
              <w:jc w:val="left"/>
              <w:rPr>
                <w:rFonts w:ascii="Calibri" w:hAnsi="Calibri" w:cs="Calibri"/>
                <w:b w:val="0"/>
                <w:color w:val="000000"/>
                <w:sz w:val="20"/>
                <w:szCs w:val="20"/>
              </w:rPr>
            </w:pPr>
          </w:p>
        </w:tc>
        <w:tc>
          <w:tcPr>
            <w:tcW w:w="4394" w:type="dxa"/>
            <w:vAlign w:val="center"/>
          </w:tcPr>
          <w:p w:rsidR="007E6A3E" w:rsidRPr="005B406F" w:rsidRDefault="007E6A3E" w:rsidP="003F0FE4">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sz w:val="20"/>
                <w:szCs w:val="20"/>
              </w:rPr>
              <w:t>D</w:t>
            </w:r>
            <w:r w:rsidRPr="005B406F">
              <w:rPr>
                <w:sz w:val="20"/>
                <w:szCs w:val="20"/>
              </w:rPr>
              <w:t>ostosowanie szkół i realizowanego nauczania do specjalnych potrzeb edukacyjnych uczniów oraz do potrzeb nauczycieli z niepełnosprawnościami, w tym upowszechnienie modelu dostępnej szkoły</w:t>
            </w:r>
            <w:r w:rsidRPr="005B406F">
              <w:rPr>
                <w:rFonts w:ascii="Calibri" w:hAnsi="Calibri" w:cs="Calibri"/>
                <w:color w:val="000000"/>
                <w:sz w:val="20"/>
                <w:szCs w:val="20"/>
              </w:rPr>
              <w:t xml:space="preserve"> </w:t>
            </w:r>
          </w:p>
        </w:tc>
        <w:tc>
          <w:tcPr>
            <w:tcW w:w="2977" w:type="dxa"/>
            <w:vAlign w:val="center"/>
          </w:tcPr>
          <w:p w:rsidR="007E6A3E" w:rsidRPr="007E6A3E" w:rsidRDefault="007E6A3E"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Gmina Miejska</w:t>
            </w:r>
            <w:r>
              <w:rPr>
                <w:rFonts w:ascii="Calibri" w:hAnsi="Calibri" w:cs="Calibri"/>
                <w:color w:val="000000"/>
                <w:sz w:val="20"/>
                <w:szCs w:val="20"/>
              </w:rPr>
              <w:t xml:space="preserve"> Hrubieszów, Gmina Hrubieszów</w:t>
            </w:r>
          </w:p>
        </w:tc>
        <w:tc>
          <w:tcPr>
            <w:tcW w:w="2409" w:type="dxa"/>
            <w:vAlign w:val="center"/>
          </w:tcPr>
          <w:p w:rsidR="007E6A3E" w:rsidRPr="007E6A3E" w:rsidRDefault="007E6A3E"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S</w:t>
            </w:r>
            <w:r w:rsidRPr="007E6A3E">
              <w:rPr>
                <w:rFonts w:ascii="Calibri" w:hAnsi="Calibri" w:cs="Calibri"/>
                <w:color w:val="000000"/>
                <w:sz w:val="20"/>
                <w:szCs w:val="20"/>
              </w:rPr>
              <w:t xml:space="preserve">zkoły, </w:t>
            </w:r>
            <w:r>
              <w:rPr>
                <w:rFonts w:ascii="Calibri" w:hAnsi="Calibri" w:cs="Calibri"/>
                <w:color w:val="000000"/>
                <w:sz w:val="20"/>
                <w:szCs w:val="20"/>
              </w:rPr>
              <w:t>o</w:t>
            </w:r>
            <w:r w:rsidRPr="007E6A3E">
              <w:rPr>
                <w:rFonts w:ascii="Calibri" w:hAnsi="Calibri" w:cs="Calibri"/>
                <w:color w:val="000000"/>
                <w:sz w:val="20"/>
                <w:szCs w:val="20"/>
              </w:rPr>
              <w:t>rganizacje pozarządowe, przedsiębiorcy, kuratorium oświaty</w:t>
            </w:r>
          </w:p>
        </w:tc>
        <w:tc>
          <w:tcPr>
            <w:tcW w:w="1418" w:type="dxa"/>
            <w:vAlign w:val="center"/>
          </w:tcPr>
          <w:p w:rsidR="007E6A3E" w:rsidRDefault="007E6A3E"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E6A3E" w:rsidTr="003F0F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E6A3E" w:rsidRPr="005B406F" w:rsidRDefault="007E6A3E" w:rsidP="002A6598">
            <w:pPr>
              <w:spacing w:before="0"/>
              <w:ind w:firstLine="0"/>
              <w:jc w:val="left"/>
              <w:rPr>
                <w:rFonts w:ascii="Calibri" w:hAnsi="Calibri" w:cs="Calibri"/>
                <w:b w:val="0"/>
                <w:color w:val="000000"/>
                <w:sz w:val="20"/>
                <w:szCs w:val="20"/>
              </w:rPr>
            </w:pPr>
          </w:p>
        </w:tc>
        <w:tc>
          <w:tcPr>
            <w:tcW w:w="4394" w:type="dxa"/>
            <w:vAlign w:val="center"/>
          </w:tcPr>
          <w:p w:rsidR="007E6A3E" w:rsidRPr="005B406F" w:rsidRDefault="007E6A3E" w:rsidP="007E6A3E">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sz w:val="20"/>
                <w:szCs w:val="20"/>
              </w:rPr>
              <w:t>Organizacja</w:t>
            </w:r>
            <w:r w:rsidRPr="005B406F">
              <w:rPr>
                <w:sz w:val="20"/>
                <w:szCs w:val="20"/>
              </w:rPr>
              <w:t xml:space="preserve"> i realizacj</w:t>
            </w:r>
            <w:r>
              <w:rPr>
                <w:sz w:val="20"/>
                <w:szCs w:val="20"/>
              </w:rPr>
              <w:t>a</w:t>
            </w:r>
            <w:r w:rsidRPr="005B406F">
              <w:rPr>
                <w:sz w:val="20"/>
                <w:szCs w:val="20"/>
              </w:rPr>
              <w:t xml:space="preserve"> dodatkowej oferty dydaktycznej, przyczyniającej się do rozwoju kompetencji społeczno-emocjonalnych, umiejętności podstawowych, przekrojowych i zawodowych niezbędnych na rynku pracy, w tym kompetencji cyfrowych, zielonych oraz rozwijającej talenty i zainteresowania uczniów (w tym uczniów ze środowi</w:t>
            </w:r>
            <w:r>
              <w:rPr>
                <w:sz w:val="20"/>
                <w:szCs w:val="20"/>
              </w:rPr>
              <w:t xml:space="preserve">sk </w:t>
            </w:r>
            <w:proofErr w:type="spellStart"/>
            <w:r>
              <w:rPr>
                <w:sz w:val="20"/>
                <w:szCs w:val="20"/>
              </w:rPr>
              <w:t>defaworyzowanych</w:t>
            </w:r>
            <w:proofErr w:type="spellEnd"/>
            <w:r>
              <w:rPr>
                <w:sz w:val="20"/>
                <w:szCs w:val="20"/>
              </w:rPr>
              <w:t xml:space="preserve"> i </w:t>
            </w:r>
            <w:r>
              <w:rPr>
                <w:sz w:val="20"/>
                <w:szCs w:val="20"/>
              </w:rPr>
              <w:lastRenderedPageBreak/>
              <w:t>zdolnych)</w:t>
            </w:r>
          </w:p>
        </w:tc>
        <w:tc>
          <w:tcPr>
            <w:tcW w:w="2977" w:type="dxa"/>
            <w:vAlign w:val="center"/>
          </w:tcPr>
          <w:p w:rsidR="007E6A3E" w:rsidRPr="007E6A3E" w:rsidRDefault="007E6A3E"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lastRenderedPageBreak/>
              <w:t>Gmina Miejska</w:t>
            </w:r>
            <w:r>
              <w:rPr>
                <w:rFonts w:ascii="Calibri" w:hAnsi="Calibri" w:cs="Calibri"/>
                <w:color w:val="000000"/>
                <w:sz w:val="20"/>
                <w:szCs w:val="20"/>
              </w:rPr>
              <w:t xml:space="preserve"> Hrubieszów, Gmina Hrubieszów</w:t>
            </w:r>
          </w:p>
        </w:tc>
        <w:tc>
          <w:tcPr>
            <w:tcW w:w="2409" w:type="dxa"/>
            <w:vAlign w:val="center"/>
          </w:tcPr>
          <w:p w:rsidR="007E6A3E" w:rsidRPr="007E6A3E" w:rsidRDefault="007E6A3E"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S</w:t>
            </w:r>
            <w:r w:rsidRPr="007E6A3E">
              <w:rPr>
                <w:rFonts w:ascii="Calibri" w:hAnsi="Calibri" w:cs="Calibri"/>
                <w:color w:val="000000"/>
                <w:sz w:val="20"/>
                <w:szCs w:val="20"/>
              </w:rPr>
              <w:t xml:space="preserve">zkoły, </w:t>
            </w:r>
            <w:r>
              <w:rPr>
                <w:rFonts w:ascii="Calibri" w:hAnsi="Calibri" w:cs="Calibri"/>
                <w:color w:val="000000"/>
                <w:sz w:val="20"/>
                <w:szCs w:val="20"/>
              </w:rPr>
              <w:t>o</w:t>
            </w:r>
            <w:r w:rsidRPr="007E6A3E">
              <w:rPr>
                <w:rFonts w:ascii="Calibri" w:hAnsi="Calibri" w:cs="Calibri"/>
                <w:color w:val="000000"/>
                <w:sz w:val="20"/>
                <w:szCs w:val="20"/>
              </w:rPr>
              <w:t>rganizacje pozarządowe, przedsiębiorcy, kuratorium oświaty</w:t>
            </w:r>
          </w:p>
        </w:tc>
        <w:tc>
          <w:tcPr>
            <w:tcW w:w="1418" w:type="dxa"/>
            <w:vAlign w:val="center"/>
          </w:tcPr>
          <w:p w:rsidR="007E6A3E" w:rsidRDefault="007E6A3E"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E6A3E" w:rsidTr="003F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E6A3E" w:rsidRPr="005B406F" w:rsidRDefault="007E6A3E" w:rsidP="002A6598">
            <w:pPr>
              <w:spacing w:before="0"/>
              <w:ind w:firstLine="0"/>
              <w:jc w:val="left"/>
              <w:rPr>
                <w:rFonts w:ascii="Calibri" w:hAnsi="Calibri" w:cs="Calibri"/>
                <w:b w:val="0"/>
                <w:color w:val="000000"/>
                <w:sz w:val="20"/>
                <w:szCs w:val="20"/>
              </w:rPr>
            </w:pPr>
          </w:p>
        </w:tc>
        <w:tc>
          <w:tcPr>
            <w:tcW w:w="4394" w:type="dxa"/>
            <w:vAlign w:val="center"/>
          </w:tcPr>
          <w:p w:rsidR="007E6A3E" w:rsidRPr="005B406F" w:rsidRDefault="007E6A3E" w:rsidP="003F0FE4">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sz w:val="20"/>
                <w:szCs w:val="20"/>
              </w:rPr>
              <w:t>R</w:t>
            </w:r>
            <w:r w:rsidRPr="005B406F">
              <w:rPr>
                <w:sz w:val="20"/>
                <w:szCs w:val="20"/>
              </w:rPr>
              <w:t>ozwój umiejętności uczniów poprzez wsparcie</w:t>
            </w:r>
            <w:r>
              <w:rPr>
                <w:sz w:val="20"/>
                <w:szCs w:val="20"/>
              </w:rPr>
              <w:t xml:space="preserve"> potencjału dydaktycznego szkół</w:t>
            </w:r>
          </w:p>
        </w:tc>
        <w:tc>
          <w:tcPr>
            <w:tcW w:w="2977" w:type="dxa"/>
            <w:vAlign w:val="center"/>
          </w:tcPr>
          <w:p w:rsidR="007E6A3E" w:rsidRPr="007E6A3E" w:rsidRDefault="007E6A3E"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Gmina Miejska</w:t>
            </w:r>
            <w:r>
              <w:rPr>
                <w:rFonts w:ascii="Calibri" w:hAnsi="Calibri" w:cs="Calibri"/>
                <w:color w:val="000000"/>
                <w:sz w:val="20"/>
                <w:szCs w:val="20"/>
              </w:rPr>
              <w:t xml:space="preserve"> Hrubieszów, Gmina Hrubieszów</w:t>
            </w:r>
          </w:p>
        </w:tc>
        <w:tc>
          <w:tcPr>
            <w:tcW w:w="2409" w:type="dxa"/>
            <w:vAlign w:val="center"/>
          </w:tcPr>
          <w:p w:rsidR="007E6A3E" w:rsidRPr="007E6A3E" w:rsidRDefault="007E6A3E"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S</w:t>
            </w:r>
            <w:r w:rsidRPr="007E6A3E">
              <w:rPr>
                <w:rFonts w:ascii="Calibri" w:hAnsi="Calibri" w:cs="Calibri"/>
                <w:color w:val="000000"/>
                <w:sz w:val="20"/>
                <w:szCs w:val="20"/>
              </w:rPr>
              <w:t xml:space="preserve">zkoły, </w:t>
            </w:r>
            <w:r>
              <w:rPr>
                <w:rFonts w:ascii="Calibri" w:hAnsi="Calibri" w:cs="Calibri"/>
                <w:color w:val="000000"/>
                <w:sz w:val="20"/>
                <w:szCs w:val="20"/>
              </w:rPr>
              <w:t>o</w:t>
            </w:r>
            <w:r w:rsidRPr="007E6A3E">
              <w:rPr>
                <w:rFonts w:ascii="Calibri" w:hAnsi="Calibri" w:cs="Calibri"/>
                <w:color w:val="000000"/>
                <w:sz w:val="20"/>
                <w:szCs w:val="20"/>
              </w:rPr>
              <w:t>rganizacje pozarządowe, przedsiębiorcy, kuratorium oświaty</w:t>
            </w:r>
          </w:p>
        </w:tc>
        <w:tc>
          <w:tcPr>
            <w:tcW w:w="1418" w:type="dxa"/>
            <w:vAlign w:val="center"/>
          </w:tcPr>
          <w:p w:rsidR="007E6A3E" w:rsidRDefault="007E6A3E"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E6A3E" w:rsidTr="003F0F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E6A3E" w:rsidRPr="005B406F" w:rsidRDefault="007E6A3E" w:rsidP="002A6598">
            <w:pPr>
              <w:spacing w:before="0"/>
              <w:ind w:firstLine="0"/>
              <w:jc w:val="left"/>
              <w:rPr>
                <w:rFonts w:ascii="Calibri" w:hAnsi="Calibri" w:cs="Calibri"/>
                <w:b w:val="0"/>
                <w:color w:val="000000"/>
                <w:sz w:val="20"/>
                <w:szCs w:val="20"/>
              </w:rPr>
            </w:pPr>
          </w:p>
        </w:tc>
        <w:tc>
          <w:tcPr>
            <w:tcW w:w="4394" w:type="dxa"/>
            <w:vAlign w:val="center"/>
          </w:tcPr>
          <w:p w:rsidR="007E6A3E" w:rsidRPr="005B406F" w:rsidRDefault="007E6A3E" w:rsidP="007E6A3E">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sz w:val="20"/>
                <w:szCs w:val="20"/>
              </w:rPr>
              <w:t>O</w:t>
            </w:r>
            <w:r w:rsidRPr="005B406F">
              <w:rPr>
                <w:sz w:val="20"/>
                <w:szCs w:val="20"/>
              </w:rPr>
              <w:t>rganizacj</w:t>
            </w:r>
            <w:r>
              <w:rPr>
                <w:sz w:val="20"/>
                <w:szCs w:val="20"/>
              </w:rPr>
              <w:t>a</w:t>
            </w:r>
            <w:r w:rsidRPr="005B406F">
              <w:rPr>
                <w:sz w:val="20"/>
                <w:szCs w:val="20"/>
              </w:rPr>
              <w:t xml:space="preserve"> i udzielanie pomocy psychologiczno-pedagogicznej dla uczniów (w tym realizacj</w:t>
            </w:r>
            <w:r>
              <w:rPr>
                <w:sz w:val="20"/>
                <w:szCs w:val="20"/>
              </w:rPr>
              <w:t>a</w:t>
            </w:r>
            <w:r w:rsidRPr="005B406F">
              <w:rPr>
                <w:sz w:val="20"/>
                <w:szCs w:val="20"/>
              </w:rPr>
              <w:t xml:space="preserve"> zajęć rewalidacyjnych), wsparcie rodziców/opiekunów prawnych uczniów i nauczycieli w zakresie stymulowania rozwoju ucznia oraz doskonalenia umiejętności wychowawczych, a także zwiększenie kompetencji kadr oświaty w zakresie zapobi</w:t>
            </w:r>
            <w:r>
              <w:rPr>
                <w:sz w:val="20"/>
                <w:szCs w:val="20"/>
              </w:rPr>
              <w:t>egania przemocy i dyskryminacji</w:t>
            </w:r>
          </w:p>
        </w:tc>
        <w:tc>
          <w:tcPr>
            <w:tcW w:w="2977" w:type="dxa"/>
            <w:vAlign w:val="center"/>
          </w:tcPr>
          <w:p w:rsidR="007E6A3E" w:rsidRPr="007E6A3E" w:rsidRDefault="007E6A3E"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Gmina Miejska</w:t>
            </w:r>
            <w:r>
              <w:rPr>
                <w:rFonts w:ascii="Calibri" w:hAnsi="Calibri" w:cs="Calibri"/>
                <w:color w:val="000000"/>
                <w:sz w:val="20"/>
                <w:szCs w:val="20"/>
              </w:rPr>
              <w:t xml:space="preserve"> Hrubieszów, Gmina Hrubieszów</w:t>
            </w:r>
          </w:p>
        </w:tc>
        <w:tc>
          <w:tcPr>
            <w:tcW w:w="2409" w:type="dxa"/>
            <w:vAlign w:val="center"/>
          </w:tcPr>
          <w:p w:rsidR="007E6A3E" w:rsidRPr="007E6A3E" w:rsidRDefault="007E6A3E"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S</w:t>
            </w:r>
            <w:r w:rsidRPr="007E6A3E">
              <w:rPr>
                <w:rFonts w:ascii="Calibri" w:hAnsi="Calibri" w:cs="Calibri"/>
                <w:color w:val="000000"/>
                <w:sz w:val="20"/>
                <w:szCs w:val="20"/>
              </w:rPr>
              <w:t xml:space="preserve">zkoły, </w:t>
            </w:r>
            <w:r>
              <w:rPr>
                <w:rFonts w:ascii="Calibri" w:hAnsi="Calibri" w:cs="Calibri"/>
                <w:color w:val="000000"/>
                <w:sz w:val="20"/>
                <w:szCs w:val="20"/>
              </w:rPr>
              <w:t>o</w:t>
            </w:r>
            <w:r w:rsidRPr="007E6A3E">
              <w:rPr>
                <w:rFonts w:ascii="Calibri" w:hAnsi="Calibri" w:cs="Calibri"/>
                <w:color w:val="000000"/>
                <w:sz w:val="20"/>
                <w:szCs w:val="20"/>
              </w:rPr>
              <w:t>rganizacje pozarządowe, przedsiębiorcy, kuratorium oświaty</w:t>
            </w:r>
          </w:p>
        </w:tc>
        <w:tc>
          <w:tcPr>
            <w:tcW w:w="1418" w:type="dxa"/>
            <w:vAlign w:val="center"/>
          </w:tcPr>
          <w:p w:rsidR="007E6A3E" w:rsidRDefault="007E6A3E"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E6A3E" w:rsidTr="003F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E6A3E" w:rsidRPr="005B406F" w:rsidRDefault="007E6A3E" w:rsidP="002A6598">
            <w:pPr>
              <w:spacing w:before="0"/>
              <w:ind w:firstLine="0"/>
              <w:jc w:val="left"/>
              <w:rPr>
                <w:rFonts w:ascii="Calibri" w:hAnsi="Calibri" w:cs="Calibri"/>
                <w:b w:val="0"/>
                <w:color w:val="000000"/>
                <w:sz w:val="20"/>
                <w:szCs w:val="20"/>
              </w:rPr>
            </w:pPr>
          </w:p>
        </w:tc>
        <w:tc>
          <w:tcPr>
            <w:tcW w:w="4394" w:type="dxa"/>
            <w:vAlign w:val="center"/>
          </w:tcPr>
          <w:p w:rsidR="007E6A3E" w:rsidRPr="005B406F" w:rsidRDefault="007E6A3E" w:rsidP="007E6A3E">
            <w:pPr>
              <w:spacing w:before="0"/>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w:t>
            </w:r>
            <w:r w:rsidRPr="005B406F">
              <w:rPr>
                <w:sz w:val="20"/>
                <w:szCs w:val="20"/>
              </w:rPr>
              <w:t xml:space="preserve">oradztwo edukacyjno-zawodowe lub zawodowe dla uczniów (w tym indywidualne oraz na każdym etapie kształcenia zajęcia </w:t>
            </w:r>
            <w:proofErr w:type="spellStart"/>
            <w:r w:rsidRPr="005B406F">
              <w:rPr>
                <w:sz w:val="20"/>
                <w:szCs w:val="20"/>
              </w:rPr>
              <w:t>zawodoznawcze</w:t>
            </w:r>
            <w:proofErr w:type="spellEnd"/>
            <w:r w:rsidRPr="005B406F">
              <w:rPr>
                <w:sz w:val="20"/>
                <w:szCs w:val="20"/>
              </w:rPr>
              <w:t xml:space="preserve"> u </w:t>
            </w:r>
            <w:r>
              <w:rPr>
                <w:sz w:val="20"/>
                <w:szCs w:val="20"/>
              </w:rPr>
              <w:t>pracodawców)</w:t>
            </w:r>
          </w:p>
        </w:tc>
        <w:tc>
          <w:tcPr>
            <w:tcW w:w="2977" w:type="dxa"/>
            <w:vAlign w:val="center"/>
          </w:tcPr>
          <w:p w:rsidR="007E6A3E" w:rsidRPr="007E6A3E" w:rsidRDefault="007E6A3E"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C196E">
              <w:rPr>
                <w:rFonts w:ascii="Calibri" w:hAnsi="Calibri" w:cs="Calibri"/>
                <w:color w:val="000000"/>
                <w:sz w:val="20"/>
                <w:szCs w:val="20"/>
              </w:rPr>
              <w:t>Gmina Miejska</w:t>
            </w:r>
            <w:r>
              <w:rPr>
                <w:rFonts w:ascii="Calibri" w:hAnsi="Calibri" w:cs="Calibri"/>
                <w:color w:val="000000"/>
                <w:sz w:val="20"/>
                <w:szCs w:val="20"/>
              </w:rPr>
              <w:t xml:space="preserve"> Hrubieszów, Gmina Hrubieszów</w:t>
            </w:r>
          </w:p>
        </w:tc>
        <w:tc>
          <w:tcPr>
            <w:tcW w:w="2409" w:type="dxa"/>
            <w:vAlign w:val="center"/>
          </w:tcPr>
          <w:p w:rsidR="007E6A3E" w:rsidRPr="007E6A3E" w:rsidRDefault="007E6A3E"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S</w:t>
            </w:r>
            <w:r w:rsidRPr="007E6A3E">
              <w:rPr>
                <w:rFonts w:ascii="Calibri" w:hAnsi="Calibri" w:cs="Calibri"/>
                <w:color w:val="000000"/>
                <w:sz w:val="20"/>
                <w:szCs w:val="20"/>
              </w:rPr>
              <w:t xml:space="preserve">zkoły, </w:t>
            </w:r>
            <w:r>
              <w:rPr>
                <w:rFonts w:ascii="Calibri" w:hAnsi="Calibri" w:cs="Calibri"/>
                <w:color w:val="000000"/>
                <w:sz w:val="20"/>
                <w:szCs w:val="20"/>
              </w:rPr>
              <w:t>o</w:t>
            </w:r>
            <w:r w:rsidRPr="007E6A3E">
              <w:rPr>
                <w:rFonts w:ascii="Calibri" w:hAnsi="Calibri" w:cs="Calibri"/>
                <w:color w:val="000000"/>
                <w:sz w:val="20"/>
                <w:szCs w:val="20"/>
              </w:rPr>
              <w:t>rganizacje pozarządowe, przedsiębiorcy, kuratorium oświaty</w:t>
            </w:r>
          </w:p>
        </w:tc>
        <w:tc>
          <w:tcPr>
            <w:tcW w:w="1418" w:type="dxa"/>
            <w:vAlign w:val="center"/>
          </w:tcPr>
          <w:p w:rsidR="007E6A3E" w:rsidRDefault="007E6A3E"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B5F82" w:rsidTr="003F0F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3D1D3"/>
            <w:vAlign w:val="center"/>
          </w:tcPr>
          <w:p w:rsidR="00BB5F82" w:rsidRPr="009562AF" w:rsidRDefault="00BB5F82" w:rsidP="003F0FE4">
            <w:pPr>
              <w:spacing w:before="0"/>
              <w:ind w:firstLine="0"/>
              <w:jc w:val="left"/>
              <w:rPr>
                <w:rFonts w:ascii="Calibri" w:hAnsi="Calibri" w:cs="Calibri"/>
                <w:b w:val="0"/>
                <w:color w:val="000000"/>
                <w:sz w:val="20"/>
                <w:szCs w:val="20"/>
              </w:rPr>
            </w:pPr>
            <w:r w:rsidRPr="00C612E6">
              <w:rPr>
                <w:rFonts w:ascii="Calibri" w:hAnsi="Calibri" w:cs="Calibri"/>
                <w:b w:val="0"/>
                <w:color w:val="000000"/>
                <w:sz w:val="20"/>
                <w:szCs w:val="20"/>
              </w:rPr>
              <w:t xml:space="preserve">Rozwój niezbędnej infrastruktury poprawiającej dostęp do usług kultury </w:t>
            </w:r>
            <w:r>
              <w:rPr>
                <w:rFonts w:ascii="Calibri" w:hAnsi="Calibri" w:cs="Calibri"/>
                <w:b w:val="0"/>
                <w:color w:val="000000"/>
                <w:sz w:val="20"/>
                <w:szCs w:val="20"/>
              </w:rPr>
              <w:t>oraz k</w:t>
            </w:r>
            <w:r w:rsidRPr="00C612E6">
              <w:rPr>
                <w:rFonts w:ascii="Calibri" w:hAnsi="Calibri" w:cs="Calibri"/>
                <w:b w:val="0"/>
                <w:color w:val="000000"/>
                <w:sz w:val="20"/>
                <w:szCs w:val="20"/>
              </w:rPr>
              <w:t>reowanie i rozwój wspólnej oferty kulturalnej</w:t>
            </w:r>
          </w:p>
        </w:tc>
        <w:tc>
          <w:tcPr>
            <w:tcW w:w="4394" w:type="dxa"/>
            <w:vAlign w:val="center"/>
          </w:tcPr>
          <w:p w:rsidR="00BB5F82" w:rsidRPr="009562AF" w:rsidRDefault="00BB5F82" w:rsidP="003F0FE4">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sz w:val="20"/>
              </w:rPr>
              <w:t>R</w:t>
            </w:r>
            <w:r w:rsidRPr="005B406F">
              <w:rPr>
                <w:sz w:val="20"/>
              </w:rPr>
              <w:t xml:space="preserve">oboty budowlane i modernizacyjne dotyczące zabytków i zespołów zabytkowych wraz z otoczeniem (m.in. mała architektura, tereny zielone, ścieżki piesze) oraz </w:t>
            </w:r>
            <w:r>
              <w:rPr>
                <w:sz w:val="20"/>
              </w:rPr>
              <w:t>obiektów infrastruktury kultury</w:t>
            </w:r>
          </w:p>
        </w:tc>
        <w:tc>
          <w:tcPr>
            <w:tcW w:w="2977" w:type="dxa"/>
            <w:vAlign w:val="center"/>
          </w:tcPr>
          <w:p w:rsidR="00BB5F82" w:rsidRPr="00794592" w:rsidRDefault="00BB5F82"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p>
        </w:tc>
        <w:tc>
          <w:tcPr>
            <w:tcW w:w="2409" w:type="dxa"/>
            <w:vAlign w:val="center"/>
          </w:tcPr>
          <w:p w:rsidR="00BB5F82" w:rsidRPr="00794592" w:rsidRDefault="00BB5F82"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 xml:space="preserve">GOK, Hrubieszowski Dom Kultury, Biblioteka Publiczna, organizacje pozarządowe, </w:t>
            </w:r>
            <w:r w:rsidRPr="00794592">
              <w:rPr>
                <w:bCs/>
                <w:sz w:val="20"/>
                <w:szCs w:val="20"/>
              </w:rPr>
              <w:t>mieszkańcy – osoby fizyczne</w:t>
            </w:r>
          </w:p>
        </w:tc>
        <w:tc>
          <w:tcPr>
            <w:tcW w:w="1418" w:type="dxa"/>
            <w:vAlign w:val="center"/>
          </w:tcPr>
          <w:p w:rsidR="00BB5F82" w:rsidRDefault="00BB5F82"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B5F82" w:rsidTr="003F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3D1D3"/>
          </w:tcPr>
          <w:p w:rsidR="00BB5F82" w:rsidRDefault="00BB5F82" w:rsidP="002A6598">
            <w:pPr>
              <w:spacing w:before="0"/>
              <w:ind w:firstLine="0"/>
              <w:rPr>
                <w:rFonts w:ascii="Calibri" w:hAnsi="Calibri" w:cs="Calibri"/>
                <w:b w:val="0"/>
                <w:color w:val="000000"/>
              </w:rPr>
            </w:pPr>
          </w:p>
        </w:tc>
        <w:tc>
          <w:tcPr>
            <w:tcW w:w="4394" w:type="dxa"/>
            <w:vAlign w:val="center"/>
          </w:tcPr>
          <w:p w:rsidR="00BB5F82" w:rsidRPr="005B406F" w:rsidRDefault="00BB5F82" w:rsidP="00CC449E">
            <w:pPr>
              <w:ind w:firstLine="0"/>
              <w:jc w:val="left"/>
              <w:cnfStyle w:val="000000100000" w:firstRow="0" w:lastRow="0" w:firstColumn="0" w:lastColumn="0" w:oddVBand="0" w:evenVBand="0" w:oddHBand="1" w:evenHBand="0" w:firstRowFirstColumn="0" w:firstRowLastColumn="0" w:lastRowFirstColumn="0" w:lastRowLastColumn="0"/>
              <w:rPr>
                <w:b/>
                <w:sz w:val="20"/>
              </w:rPr>
            </w:pPr>
            <w:r>
              <w:rPr>
                <w:sz w:val="20"/>
              </w:rPr>
              <w:t>T</w:t>
            </w:r>
            <w:r w:rsidRPr="005B406F">
              <w:rPr>
                <w:sz w:val="20"/>
              </w:rPr>
              <w:t>worzenie, rozwój i udostępnianie oraz promocja parków ku</w:t>
            </w:r>
            <w:r>
              <w:rPr>
                <w:sz w:val="20"/>
              </w:rPr>
              <w:t>lturowych i szlaków kulturowych</w:t>
            </w:r>
          </w:p>
          <w:p w:rsidR="00BB5F82" w:rsidRPr="005B406F" w:rsidRDefault="00BB5F82" w:rsidP="003F0FE4">
            <w:pPr>
              <w:spacing w:before="0"/>
              <w:ind w:left="33"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
        </w:tc>
        <w:tc>
          <w:tcPr>
            <w:tcW w:w="2977" w:type="dxa"/>
            <w:vAlign w:val="center"/>
          </w:tcPr>
          <w:p w:rsidR="00BB5F82" w:rsidRPr="00794592" w:rsidRDefault="00BB5F82"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p>
        </w:tc>
        <w:tc>
          <w:tcPr>
            <w:tcW w:w="2409" w:type="dxa"/>
            <w:vAlign w:val="center"/>
          </w:tcPr>
          <w:p w:rsidR="00BB5F82" w:rsidRPr="00794592" w:rsidRDefault="00BB5F82"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 xml:space="preserve">GOK, Hrubieszowski Dom Kultury, Biblioteka Publiczna, organizacje pozarządowe, </w:t>
            </w:r>
            <w:r w:rsidRPr="00794592">
              <w:rPr>
                <w:bCs/>
                <w:sz w:val="20"/>
                <w:szCs w:val="20"/>
              </w:rPr>
              <w:t>mieszkańcy – osoby fizyczne</w:t>
            </w:r>
          </w:p>
        </w:tc>
        <w:tc>
          <w:tcPr>
            <w:tcW w:w="1418" w:type="dxa"/>
            <w:vAlign w:val="center"/>
          </w:tcPr>
          <w:p w:rsidR="00BB5F82" w:rsidRDefault="00BB5F82"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B5F82" w:rsidTr="003F0F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3D1D3"/>
          </w:tcPr>
          <w:p w:rsidR="00BB5F82" w:rsidRDefault="00BB5F82" w:rsidP="002A6598">
            <w:pPr>
              <w:spacing w:before="0"/>
              <w:ind w:firstLine="0"/>
              <w:rPr>
                <w:rFonts w:ascii="Calibri" w:hAnsi="Calibri" w:cs="Calibri"/>
                <w:b w:val="0"/>
                <w:color w:val="000000"/>
              </w:rPr>
            </w:pPr>
          </w:p>
        </w:tc>
        <w:tc>
          <w:tcPr>
            <w:tcW w:w="4394" w:type="dxa"/>
            <w:vAlign w:val="center"/>
          </w:tcPr>
          <w:p w:rsidR="00BB5F82" w:rsidRPr="005B406F" w:rsidRDefault="00BB5F82" w:rsidP="003F0FE4">
            <w:pPr>
              <w:spacing w:before="0"/>
              <w:ind w:left="33"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sz w:val="20"/>
              </w:rPr>
              <w:t>Z</w:t>
            </w:r>
            <w:r w:rsidRPr="005B406F">
              <w:rPr>
                <w:sz w:val="20"/>
              </w:rPr>
              <w:t>acho</w:t>
            </w:r>
            <w:r>
              <w:rPr>
                <w:sz w:val="20"/>
              </w:rPr>
              <w:t>wanie, upowszechnianie i ochrona dziedzictwa niematerialnego</w:t>
            </w:r>
          </w:p>
        </w:tc>
        <w:tc>
          <w:tcPr>
            <w:tcW w:w="2977" w:type="dxa"/>
            <w:vAlign w:val="center"/>
          </w:tcPr>
          <w:p w:rsidR="00BB5F82" w:rsidRPr="00794592" w:rsidRDefault="00BB5F82"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p>
        </w:tc>
        <w:tc>
          <w:tcPr>
            <w:tcW w:w="2409" w:type="dxa"/>
            <w:vAlign w:val="center"/>
          </w:tcPr>
          <w:p w:rsidR="00BB5F82" w:rsidRPr="00794592" w:rsidRDefault="00BB5F82"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 xml:space="preserve">GOK, Hrubieszowski Dom Kultury, Biblioteka Publiczna, organizacje pozarządowe, </w:t>
            </w:r>
            <w:r w:rsidRPr="00794592">
              <w:rPr>
                <w:bCs/>
                <w:sz w:val="20"/>
                <w:szCs w:val="20"/>
              </w:rPr>
              <w:t>mieszkańcy – osoby fizyczne</w:t>
            </w:r>
          </w:p>
        </w:tc>
        <w:tc>
          <w:tcPr>
            <w:tcW w:w="1418" w:type="dxa"/>
            <w:vAlign w:val="center"/>
          </w:tcPr>
          <w:p w:rsidR="00BB5F82" w:rsidRDefault="00BB5F82"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B5F82" w:rsidTr="003F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3D1D3"/>
          </w:tcPr>
          <w:p w:rsidR="00BB5F82" w:rsidRDefault="00BB5F82" w:rsidP="002A6598">
            <w:pPr>
              <w:spacing w:before="0"/>
              <w:ind w:firstLine="0"/>
              <w:rPr>
                <w:rFonts w:ascii="Calibri" w:hAnsi="Calibri" w:cs="Calibri"/>
                <w:b w:val="0"/>
                <w:color w:val="000000"/>
              </w:rPr>
            </w:pPr>
          </w:p>
        </w:tc>
        <w:tc>
          <w:tcPr>
            <w:tcW w:w="4394" w:type="dxa"/>
            <w:vAlign w:val="center"/>
          </w:tcPr>
          <w:p w:rsidR="00BB5F82" w:rsidRPr="005B406F" w:rsidRDefault="00BB5F82" w:rsidP="00BB5F82">
            <w:pPr>
              <w:spacing w:before="0"/>
              <w:ind w:firstLine="0"/>
              <w:jc w:val="left"/>
              <w:cnfStyle w:val="000000100000" w:firstRow="0" w:lastRow="0" w:firstColumn="0" w:lastColumn="0" w:oddVBand="0" w:evenVBand="0" w:oddHBand="1" w:evenHBand="0" w:firstRowFirstColumn="0" w:firstRowLastColumn="0" w:lastRowFirstColumn="0" w:lastRowLastColumn="0"/>
              <w:rPr>
                <w:sz w:val="20"/>
              </w:rPr>
            </w:pPr>
            <w:r>
              <w:rPr>
                <w:sz w:val="20"/>
              </w:rPr>
              <w:t>D</w:t>
            </w:r>
            <w:r w:rsidRPr="005B406F">
              <w:rPr>
                <w:sz w:val="20"/>
              </w:rPr>
              <w:t>ziałania na rzecz ochrony zabytków ruchomych (</w:t>
            </w:r>
            <w:proofErr w:type="gramStart"/>
            <w:r w:rsidRPr="005B406F">
              <w:rPr>
                <w:sz w:val="20"/>
              </w:rPr>
              <w:t>wyłącznie jako</w:t>
            </w:r>
            <w:proofErr w:type="gramEnd"/>
            <w:r w:rsidRPr="005B406F">
              <w:rPr>
                <w:sz w:val="20"/>
              </w:rPr>
              <w:t xml:space="preserve"> element projektów), tj.m.in.: konserwacja muzealiów, starodruków, archiwaliów, księgozbiorów oraz innych zabytków </w:t>
            </w:r>
            <w:r w:rsidRPr="005B406F">
              <w:rPr>
                <w:sz w:val="20"/>
              </w:rPr>
              <w:lastRenderedPageBreak/>
              <w:t>ruchomych wraz z dostosowaniem pomieszczeń do właściwego eksponowania i przechowywania zbiorów, ich zabezpieczenia i utrzymania właściwych warunków termicznych (klimatyzacja, urządzenia do sterowania wilgotnością i ogrzewania) oraz zakupem wyposażenia</w:t>
            </w:r>
          </w:p>
        </w:tc>
        <w:tc>
          <w:tcPr>
            <w:tcW w:w="2977" w:type="dxa"/>
            <w:vAlign w:val="center"/>
          </w:tcPr>
          <w:p w:rsidR="00BB5F82" w:rsidRPr="00794592" w:rsidRDefault="00BB5F82"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lastRenderedPageBreak/>
              <w:t>Gmina Miejska Hrubieszów, Gmina Hrubieszów</w:t>
            </w:r>
          </w:p>
        </w:tc>
        <w:tc>
          <w:tcPr>
            <w:tcW w:w="2409" w:type="dxa"/>
            <w:vAlign w:val="center"/>
          </w:tcPr>
          <w:p w:rsidR="00BB5F82" w:rsidRPr="00794592" w:rsidRDefault="00BB5F82" w:rsidP="00BB5F8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 xml:space="preserve">GOK, Hrubieszowski Dom Kultury, Biblioteka Publiczna, </w:t>
            </w:r>
            <w:r>
              <w:rPr>
                <w:sz w:val="20"/>
                <w:szCs w:val="20"/>
              </w:rPr>
              <w:t xml:space="preserve">inne instytucje kultury, </w:t>
            </w:r>
            <w:r w:rsidRPr="00794592">
              <w:rPr>
                <w:sz w:val="20"/>
                <w:szCs w:val="20"/>
              </w:rPr>
              <w:t xml:space="preserve">organizacje </w:t>
            </w:r>
            <w:r w:rsidRPr="00794592">
              <w:rPr>
                <w:sz w:val="20"/>
                <w:szCs w:val="20"/>
              </w:rPr>
              <w:lastRenderedPageBreak/>
              <w:t xml:space="preserve">pozarządowe, </w:t>
            </w:r>
            <w:r w:rsidRPr="00794592">
              <w:rPr>
                <w:bCs/>
                <w:sz w:val="20"/>
                <w:szCs w:val="20"/>
              </w:rPr>
              <w:t>mieszkańcy – osoby fizyczne</w:t>
            </w:r>
          </w:p>
        </w:tc>
        <w:tc>
          <w:tcPr>
            <w:tcW w:w="1418" w:type="dxa"/>
            <w:vAlign w:val="center"/>
          </w:tcPr>
          <w:p w:rsidR="00BB5F82" w:rsidRDefault="00BB5F82"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B5F82" w:rsidTr="003F0FE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3D1D3"/>
          </w:tcPr>
          <w:p w:rsidR="00BB5F82" w:rsidRDefault="00BB5F82" w:rsidP="002A6598">
            <w:pPr>
              <w:spacing w:before="0"/>
              <w:ind w:firstLine="0"/>
              <w:rPr>
                <w:rFonts w:ascii="Calibri" w:hAnsi="Calibri" w:cs="Calibri"/>
                <w:b w:val="0"/>
                <w:color w:val="000000"/>
              </w:rPr>
            </w:pPr>
          </w:p>
        </w:tc>
        <w:tc>
          <w:tcPr>
            <w:tcW w:w="4394" w:type="dxa"/>
            <w:vAlign w:val="center"/>
          </w:tcPr>
          <w:p w:rsidR="00BB5F82" w:rsidRPr="005B406F" w:rsidRDefault="00BB5F82" w:rsidP="00BB5F82">
            <w:pPr>
              <w:spacing w:before="0"/>
              <w:ind w:firstLine="0"/>
              <w:jc w:val="left"/>
              <w:cnfStyle w:val="000000010000" w:firstRow="0" w:lastRow="0" w:firstColumn="0" w:lastColumn="0" w:oddVBand="0" w:evenVBand="0" w:oddHBand="0" w:evenHBand="1" w:firstRowFirstColumn="0" w:firstRowLastColumn="0" w:lastRowFirstColumn="0" w:lastRowLastColumn="0"/>
              <w:rPr>
                <w:sz w:val="20"/>
              </w:rPr>
            </w:pPr>
            <w:r>
              <w:rPr>
                <w:sz w:val="20"/>
              </w:rPr>
              <w:t>Digitalizacja dóbr kultury</w:t>
            </w:r>
          </w:p>
        </w:tc>
        <w:tc>
          <w:tcPr>
            <w:tcW w:w="2977" w:type="dxa"/>
            <w:vAlign w:val="center"/>
          </w:tcPr>
          <w:p w:rsidR="00BB5F82" w:rsidRPr="00794592" w:rsidRDefault="00BB5F82"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p>
        </w:tc>
        <w:tc>
          <w:tcPr>
            <w:tcW w:w="2409" w:type="dxa"/>
            <w:vAlign w:val="center"/>
          </w:tcPr>
          <w:p w:rsidR="00BB5F82" w:rsidRPr="00794592" w:rsidRDefault="00BB5F82"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sz w:val="20"/>
                <w:szCs w:val="20"/>
              </w:rPr>
            </w:pPr>
            <w:r w:rsidRPr="00794592">
              <w:rPr>
                <w:sz w:val="20"/>
                <w:szCs w:val="20"/>
              </w:rPr>
              <w:t xml:space="preserve">GOK, Hrubieszowski Dom Kultury, Biblioteka Publiczna, organizacje pozarządowe, </w:t>
            </w:r>
            <w:r w:rsidRPr="00794592">
              <w:rPr>
                <w:bCs/>
                <w:sz w:val="20"/>
                <w:szCs w:val="20"/>
              </w:rPr>
              <w:t>mieszkańcy – osoby fizyczne</w:t>
            </w:r>
          </w:p>
        </w:tc>
        <w:tc>
          <w:tcPr>
            <w:tcW w:w="1418" w:type="dxa"/>
            <w:vAlign w:val="center"/>
          </w:tcPr>
          <w:p w:rsidR="00BB5F82" w:rsidRDefault="00BB5F82" w:rsidP="003F0FE4">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B5F82" w:rsidTr="003F0F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3D1D3"/>
          </w:tcPr>
          <w:p w:rsidR="00BB5F82" w:rsidRDefault="00BB5F82" w:rsidP="002A6598">
            <w:pPr>
              <w:spacing w:before="0"/>
              <w:ind w:firstLine="0"/>
              <w:rPr>
                <w:rFonts w:ascii="Calibri" w:hAnsi="Calibri" w:cs="Calibri"/>
                <w:b w:val="0"/>
                <w:color w:val="000000"/>
              </w:rPr>
            </w:pPr>
          </w:p>
        </w:tc>
        <w:tc>
          <w:tcPr>
            <w:tcW w:w="4394" w:type="dxa"/>
            <w:vAlign w:val="center"/>
          </w:tcPr>
          <w:p w:rsidR="00BB5F82" w:rsidRPr="005B406F" w:rsidRDefault="00BB5F82" w:rsidP="00BB5F82">
            <w:pPr>
              <w:spacing w:before="0"/>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Pr>
                <w:sz w:val="20"/>
                <w:szCs w:val="20"/>
              </w:rPr>
              <w:t>R</w:t>
            </w:r>
            <w:r w:rsidRPr="005B406F">
              <w:rPr>
                <w:sz w:val="20"/>
                <w:szCs w:val="20"/>
              </w:rPr>
              <w:t>ozwijanie aktywności społecznej m.in. poprzez tworzenie/adaptację/ dostosowanie budynków i przestrzeni do realizacji oferty kulturalno-edukacyjnej, rozwój innowacji społecznych</w:t>
            </w:r>
          </w:p>
        </w:tc>
        <w:tc>
          <w:tcPr>
            <w:tcW w:w="2977" w:type="dxa"/>
            <w:vAlign w:val="center"/>
          </w:tcPr>
          <w:p w:rsidR="00BB5F82" w:rsidRPr="00794592" w:rsidRDefault="00BB5F82"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Gmina Miejska Hrubieszów, Gmina Hrubieszów</w:t>
            </w:r>
          </w:p>
        </w:tc>
        <w:tc>
          <w:tcPr>
            <w:tcW w:w="2409" w:type="dxa"/>
            <w:vAlign w:val="center"/>
          </w:tcPr>
          <w:p w:rsidR="00BB5F82" w:rsidRPr="00794592" w:rsidRDefault="00BB5F82"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sz w:val="20"/>
                <w:szCs w:val="20"/>
              </w:rPr>
            </w:pPr>
            <w:r w:rsidRPr="00794592">
              <w:rPr>
                <w:sz w:val="20"/>
                <w:szCs w:val="20"/>
              </w:rPr>
              <w:t xml:space="preserve">GOK, Hrubieszowski Dom Kultury, Biblioteka Publiczna, organizacje pozarządowe, </w:t>
            </w:r>
            <w:r w:rsidRPr="00794592">
              <w:rPr>
                <w:bCs/>
                <w:sz w:val="20"/>
                <w:szCs w:val="20"/>
              </w:rPr>
              <w:t>mieszkańcy – osoby fizyczne</w:t>
            </w:r>
          </w:p>
        </w:tc>
        <w:tc>
          <w:tcPr>
            <w:tcW w:w="1418" w:type="dxa"/>
            <w:vAlign w:val="center"/>
          </w:tcPr>
          <w:p w:rsidR="00BB5F82" w:rsidRDefault="00BB5F82" w:rsidP="003F0FE4">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E7014F" w:rsidRPr="00574FE5" w:rsidRDefault="00E7014F" w:rsidP="00D8684B">
      <w:r w:rsidRPr="00574FE5">
        <w:t>Indykatywny wykaz wstępnie zidentyfikowanych projektów i przedsięwzięć inwestycyjnych wpisujący się w zakres celu strategicznego 1</w:t>
      </w:r>
      <w:r w:rsidR="00CC449E">
        <w:t xml:space="preserve"> w pozakonkursowych celach operacyjnych</w:t>
      </w:r>
      <w:r w:rsidRPr="00574FE5">
        <w:t>:</w:t>
      </w:r>
    </w:p>
    <w:tbl>
      <w:tblPr>
        <w:tblStyle w:val="Jasnasiatkaakcent5"/>
        <w:tblW w:w="0" w:type="auto"/>
        <w:tblLook w:val="04A0" w:firstRow="1" w:lastRow="0" w:firstColumn="1" w:lastColumn="0" w:noHBand="0" w:noVBand="1"/>
      </w:tblPr>
      <w:tblGrid>
        <w:gridCol w:w="7338"/>
        <w:gridCol w:w="3827"/>
        <w:gridCol w:w="2835"/>
      </w:tblGrid>
      <w:tr w:rsidR="002D1E35" w:rsidTr="00574F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2D1E35" w:rsidRPr="005A3422" w:rsidRDefault="002D1E35" w:rsidP="000A1324">
            <w:pPr>
              <w:spacing w:before="0"/>
              <w:ind w:firstLine="0"/>
              <w:jc w:val="center"/>
              <w:rPr>
                <w:rFonts w:cs="Times New Roman"/>
                <w:b w:val="0"/>
                <w:bCs w:val="0"/>
                <w:sz w:val="20"/>
                <w:szCs w:val="20"/>
              </w:rPr>
            </w:pPr>
            <w:r w:rsidRPr="005A3422">
              <w:rPr>
                <w:rFonts w:cs="Times New Roman"/>
                <w:sz w:val="20"/>
                <w:szCs w:val="20"/>
              </w:rPr>
              <w:t>Projekty</w:t>
            </w:r>
            <w:r w:rsidRPr="005A3422">
              <w:rPr>
                <w:rFonts w:cs="Times New Roman"/>
                <w:bCs w:val="0"/>
                <w:sz w:val="20"/>
                <w:szCs w:val="20"/>
              </w:rPr>
              <w:t xml:space="preserve"> / przedsięwzięcia </w:t>
            </w:r>
          </w:p>
        </w:tc>
        <w:tc>
          <w:tcPr>
            <w:tcW w:w="3827" w:type="dxa"/>
          </w:tcPr>
          <w:p w:rsidR="002D1E35" w:rsidRPr="005A3422" w:rsidRDefault="002D1E35" w:rsidP="000A1324">
            <w:pPr>
              <w:spacing w:before="0"/>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5A3422">
              <w:rPr>
                <w:rFonts w:cs="Times New Roman"/>
                <w:bCs w:val="0"/>
                <w:sz w:val="20"/>
                <w:szCs w:val="20"/>
              </w:rPr>
              <w:t>Podmiot odpowiedzialny za realizacj</w:t>
            </w:r>
            <w:r>
              <w:rPr>
                <w:rFonts w:cs="Times New Roman"/>
                <w:bCs w:val="0"/>
                <w:sz w:val="20"/>
                <w:szCs w:val="20"/>
              </w:rPr>
              <w:t>ę</w:t>
            </w:r>
            <w:r w:rsidRPr="005A3422">
              <w:rPr>
                <w:rFonts w:cs="Times New Roman"/>
                <w:bCs w:val="0"/>
                <w:sz w:val="20"/>
                <w:szCs w:val="20"/>
              </w:rPr>
              <w:t xml:space="preserve"> </w:t>
            </w:r>
          </w:p>
        </w:tc>
        <w:tc>
          <w:tcPr>
            <w:tcW w:w="2835" w:type="dxa"/>
          </w:tcPr>
          <w:p w:rsidR="002D1E35" w:rsidRPr="005A3422" w:rsidRDefault="002D1E35" w:rsidP="000A1324">
            <w:pPr>
              <w:spacing w:before="0"/>
              <w:ind w:firstLine="34"/>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5A3422">
              <w:rPr>
                <w:rFonts w:cs="Times New Roman"/>
                <w:bCs w:val="0"/>
                <w:sz w:val="20"/>
                <w:szCs w:val="20"/>
              </w:rPr>
              <w:t>Szacowana wartość (</w:t>
            </w:r>
            <w:r w:rsidRPr="005A3422">
              <w:rPr>
                <w:rFonts w:cs="Times New Roman"/>
                <w:sz w:val="20"/>
                <w:szCs w:val="20"/>
              </w:rPr>
              <w:t>z</w:t>
            </w:r>
            <w:r w:rsidRPr="005A3422">
              <w:rPr>
                <w:rFonts w:cs="Times New Roman"/>
                <w:bCs w:val="0"/>
                <w:sz w:val="20"/>
                <w:szCs w:val="20"/>
              </w:rPr>
              <w:t xml:space="preserve">ł) </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Rozwój systemu komunikacji miasta</w:t>
            </w:r>
            <w:r>
              <w:rPr>
                <w:rFonts w:asciiTheme="minorHAnsi" w:hAnsiTheme="minorHAnsi" w:cstheme="minorHAnsi"/>
                <w:b w:val="0"/>
                <w:sz w:val="20"/>
                <w:szCs w:val="20"/>
              </w:rPr>
              <w:t>,</w:t>
            </w:r>
            <w:r w:rsidRPr="007866C8">
              <w:rPr>
                <w:rFonts w:asciiTheme="minorHAnsi" w:hAnsiTheme="minorHAnsi" w:cstheme="minorHAnsi"/>
                <w:b w:val="0"/>
                <w:sz w:val="20"/>
                <w:szCs w:val="20"/>
              </w:rPr>
              <w:t xml:space="preserve"> w tym zielona dostępność komunikacyjna</w:t>
            </w:r>
            <w:r>
              <w:rPr>
                <w:rFonts w:asciiTheme="minorHAnsi" w:hAnsiTheme="minorHAnsi" w:cstheme="minorHAnsi"/>
                <w:b w:val="0"/>
                <w:sz w:val="20"/>
                <w:szCs w:val="20"/>
              </w:rPr>
              <w:t>,</w:t>
            </w:r>
            <w:r w:rsidRPr="007866C8">
              <w:rPr>
                <w:rFonts w:asciiTheme="minorHAnsi" w:hAnsiTheme="minorHAnsi" w:cstheme="minorHAnsi"/>
                <w:b w:val="0"/>
                <w:sz w:val="20"/>
                <w:szCs w:val="20"/>
              </w:rPr>
              <w:t xml:space="preserve"> w zakresie remontu/budowy dróg powiatowych (ul. Piłsudskiego, ul. Polna, ul. Górna, ul. Wesoła, ul. Władysława Jagiełły (budowa), ul. Michałówka, ul. Grabowiecka, ul. Dwernickiego, ul. Konopnickiej, ul. Uchańska (budowa))</w:t>
            </w:r>
          </w:p>
        </w:tc>
        <w:tc>
          <w:tcPr>
            <w:tcW w:w="3827" w:type="dxa"/>
            <w:vAlign w:val="center"/>
          </w:tcPr>
          <w:p w:rsidR="006D7608" w:rsidRPr="007866C8" w:rsidRDefault="006D7608" w:rsidP="000A1324">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230904">
            <w:pPr>
              <w:jc w:val="right"/>
              <w:cnfStyle w:val="000000100000" w:firstRow="0" w:lastRow="0" w:firstColumn="0" w:lastColumn="0" w:oddVBand="0" w:evenVBand="0" w:oddHBand="1" w:evenHBand="0" w:firstRowFirstColumn="0" w:firstRowLastColumn="0" w:lastRowFirstColumn="0" w:lastRowLastColumn="0"/>
            </w:pPr>
            <w:r w:rsidRPr="00CC3682">
              <w:t>17 000 000,00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Rozwój systemu komunikacji miasta w tym zielona dostępność komunikacyjna w zakresie remontu/budowy dróg miejskich ul. Wodna, ul. Armii Krajowej (budowa), ul. Przemysłowa, ul. Reja</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866C8">
              <w:rPr>
                <w:sz w:val="20"/>
                <w:szCs w:val="20"/>
              </w:rPr>
              <w:t>Gmina Miejska Hrubieszów</w:t>
            </w:r>
          </w:p>
        </w:tc>
        <w:tc>
          <w:tcPr>
            <w:tcW w:w="2835" w:type="dxa"/>
            <w:vAlign w:val="center"/>
          </w:tcPr>
          <w:p w:rsidR="006D7608" w:rsidRPr="00CC3682" w:rsidRDefault="006D7608"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b/>
              </w:rPr>
            </w:pPr>
            <w:r w:rsidRPr="00CC3682">
              <w:rPr>
                <w:rFonts w:eastAsia="Calibri" w:cstheme="minorHAnsi"/>
              </w:rPr>
              <w:t>2 500 000,00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Rozwój systemu komunikacji miasta w tym zielona dostępność komunikacyjna w zakresie budowy ścieżek rowerowych ul. Nowa, ul. Gródecka, ul. Zamojska, ul. Wyzwolenia, ul. Basaja, ul. Żeromskiego, droga na Dziekanów, Grabowiecka </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7866C8">
              <w:rPr>
                <w:sz w:val="20"/>
                <w:szCs w:val="20"/>
              </w:rPr>
              <w:t>Gmina Miejska Hrubieszów</w:t>
            </w:r>
          </w:p>
        </w:tc>
        <w:tc>
          <w:tcPr>
            <w:tcW w:w="2835" w:type="dxa"/>
            <w:vAlign w:val="center"/>
          </w:tcPr>
          <w:p w:rsidR="006D7608" w:rsidRPr="00CC3682" w:rsidRDefault="006D7608" w:rsidP="000A1324">
            <w:pPr>
              <w:widowControl w:val="0"/>
              <w:tabs>
                <w:tab w:val="left" w:pos="825"/>
              </w:tabs>
              <w:spacing w:before="0"/>
              <w:jc w:val="right"/>
              <w:cnfStyle w:val="000000100000" w:firstRow="0" w:lastRow="0" w:firstColumn="0" w:lastColumn="0" w:oddVBand="0" w:evenVBand="0" w:oddHBand="1" w:evenHBand="0" w:firstRowFirstColumn="0" w:firstRowLastColumn="0" w:lastRowFirstColumn="0" w:lastRowLastColumn="0"/>
              <w:rPr>
                <w:bCs/>
              </w:rPr>
            </w:pPr>
            <w:r w:rsidRPr="00CC3682">
              <w:rPr>
                <w:bCs/>
              </w:rPr>
              <w:t>5 500 000,00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Rozwój infrastruktury teleinformatycznej na terenie Hrubieszowa</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866C8">
              <w:rPr>
                <w:sz w:val="20"/>
                <w:szCs w:val="20"/>
              </w:rPr>
              <w:t>Gmina Miejska Hrubieszów</w:t>
            </w:r>
          </w:p>
        </w:tc>
        <w:tc>
          <w:tcPr>
            <w:tcW w:w="2835" w:type="dxa"/>
            <w:vAlign w:val="center"/>
          </w:tcPr>
          <w:p w:rsidR="006D7608" w:rsidRPr="00CC3682" w:rsidRDefault="006D7608" w:rsidP="000A1324">
            <w:pPr>
              <w:spacing w:before="0"/>
              <w:jc w:val="right"/>
              <w:cnfStyle w:val="000000010000" w:firstRow="0" w:lastRow="0" w:firstColumn="0" w:lastColumn="0" w:oddVBand="0" w:evenVBand="0" w:oddHBand="0" w:evenHBand="1" w:firstRowFirstColumn="0" w:firstRowLastColumn="0" w:lastRowFirstColumn="0" w:lastRowLastColumn="0"/>
            </w:pPr>
            <w:r w:rsidRPr="00CC3682">
              <w:t>10 000 000.00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przebudowa i remonty dróg gminnych</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100000" w:firstRow="0" w:lastRow="0" w:firstColumn="0" w:lastColumn="0" w:oddVBand="0" w:evenVBand="0" w:oddHBand="1" w:evenHBand="0" w:firstRowFirstColumn="0" w:firstRowLastColumn="0" w:lastRowFirstColumn="0" w:lastRowLastColumn="0"/>
            </w:pPr>
            <w:r w:rsidRPr="00CC3682">
              <w:t>20 000 000,00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1F12FE">
              <w:rPr>
                <w:rFonts w:asciiTheme="minorHAnsi" w:hAnsiTheme="minorHAnsi" w:cstheme="minorHAnsi"/>
                <w:b w:val="0"/>
                <w:sz w:val="20"/>
                <w:szCs w:val="20"/>
              </w:rPr>
              <w:t>Budowa chodników i ścieżek rowerowych w ciągach drogowych na terenie Gminy Hrubieszów i współpraca w tym zakresie z zarządcami dróg wyższych kategorii</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010000" w:firstRow="0" w:lastRow="0" w:firstColumn="0" w:lastColumn="0" w:oddVBand="0" w:evenVBand="0" w:oddHBand="0" w:evenHBand="1" w:firstRowFirstColumn="0" w:firstRowLastColumn="0" w:lastRowFirstColumn="0" w:lastRowLastColumn="0"/>
            </w:pPr>
            <w:r w:rsidRPr="00CC3682">
              <w:t>3 000 000,00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lastRenderedPageBreak/>
              <w:t>Przebudowa budynku szkoły w Kosmowie na mieszkania socjalne (komunalne)</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100000" w:firstRow="0" w:lastRow="0" w:firstColumn="0" w:lastColumn="0" w:oddVBand="0" w:evenVBand="0" w:oddHBand="1" w:evenHBand="0" w:firstRowFirstColumn="0" w:firstRowLastColumn="0" w:lastRowFirstColumn="0" w:lastRowLastColumn="0"/>
            </w:pPr>
            <w:r w:rsidRPr="00CC3682">
              <w:t>1 500 000,00</w:t>
            </w:r>
          </w:p>
        </w:tc>
      </w:tr>
      <w:tr w:rsidR="006D7608" w:rsidRPr="003C0D13"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Modernizacja sieci wodociągowej oraz ujęć wody, monitoring sieci wodociągowej, zwiększenie wydajności ujęć wody, budowa zbiorników wody</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010000" w:firstRow="0" w:lastRow="0" w:firstColumn="0" w:lastColumn="0" w:oddVBand="0" w:evenVBand="0" w:oddHBand="0" w:evenHBand="1" w:firstRowFirstColumn="0" w:firstRowLastColumn="0" w:lastRowFirstColumn="0" w:lastRowLastColumn="0"/>
            </w:pPr>
            <w:r w:rsidRPr="00CC3682">
              <w:t>5 000 000,00</w:t>
            </w:r>
          </w:p>
        </w:tc>
      </w:tr>
      <w:tr w:rsidR="006D7608" w:rsidRPr="003C0D13"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Rozwój i poprawa infrastruktury edukacyjnej, opiekuńczej (w tym sportowej i rekreacyjnej) i rozwój kompetencji oraz innowacji w edukacji.  (</w:t>
            </w:r>
            <w:proofErr w:type="gramStart"/>
            <w:r w:rsidRPr="007866C8">
              <w:rPr>
                <w:rFonts w:asciiTheme="minorHAnsi" w:hAnsiTheme="minorHAnsi" w:cstheme="minorHAnsi"/>
                <w:b w:val="0"/>
                <w:sz w:val="20"/>
                <w:szCs w:val="20"/>
              </w:rPr>
              <w:t>m</w:t>
            </w:r>
            <w:proofErr w:type="gramEnd"/>
            <w:r w:rsidRPr="007866C8">
              <w:rPr>
                <w:rFonts w:asciiTheme="minorHAnsi" w:hAnsiTheme="minorHAnsi" w:cstheme="minorHAnsi"/>
                <w:b w:val="0"/>
                <w:sz w:val="20"/>
                <w:szCs w:val="20"/>
              </w:rPr>
              <w:t xml:space="preserve">.in. głęboka </w:t>
            </w:r>
            <w:proofErr w:type="spellStart"/>
            <w:r w:rsidRPr="007866C8">
              <w:rPr>
                <w:rFonts w:asciiTheme="minorHAnsi" w:hAnsiTheme="minorHAnsi" w:cstheme="minorHAnsi"/>
                <w:b w:val="0"/>
                <w:sz w:val="20"/>
                <w:szCs w:val="20"/>
              </w:rPr>
              <w:t>termodernizacja</w:t>
            </w:r>
            <w:proofErr w:type="spellEnd"/>
            <w:r w:rsidRPr="007866C8">
              <w:rPr>
                <w:rFonts w:asciiTheme="minorHAnsi" w:hAnsiTheme="minorHAnsi" w:cstheme="minorHAnsi"/>
                <w:b w:val="0"/>
                <w:sz w:val="20"/>
                <w:szCs w:val="20"/>
              </w:rPr>
              <w:t>, wyposażenie w urządzenia ITC, rozwój kadry oraz dzieci i uczniów – Szkoły Podstawowe, Przedszkola; Budowa żłobka samorządowego)</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0A1324">
            <w:pPr>
              <w:spacing w:before="0"/>
              <w:jc w:val="right"/>
              <w:cnfStyle w:val="000000100000" w:firstRow="0" w:lastRow="0" w:firstColumn="0" w:lastColumn="0" w:oddVBand="0" w:evenVBand="0" w:oddHBand="1" w:evenHBand="0" w:firstRowFirstColumn="0" w:firstRowLastColumn="0" w:lastRowFirstColumn="0" w:lastRowLastColumn="0"/>
              <w:rPr>
                <w:b/>
              </w:rPr>
            </w:pPr>
            <w:r w:rsidRPr="00CC3682">
              <w:rPr>
                <w:rFonts w:eastAsia="Calibri" w:cstheme="minorHAnsi"/>
              </w:rPr>
              <w:t>12 500 000,00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Utworzenie i rozwój Kreatywnego Centrum Edukacji i Współpracy Gospodarczej</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0A1324">
            <w:pPr>
              <w:spacing w:before="0"/>
              <w:jc w:val="right"/>
              <w:cnfStyle w:val="000000010000" w:firstRow="0" w:lastRow="0" w:firstColumn="0" w:lastColumn="0" w:oddVBand="0" w:evenVBand="0" w:oddHBand="0" w:evenHBand="1" w:firstRowFirstColumn="0" w:firstRowLastColumn="0" w:lastRowFirstColumn="0" w:lastRowLastColumn="0"/>
              <w:rPr>
                <w:b/>
              </w:rPr>
            </w:pPr>
            <w:r w:rsidRPr="00CC3682">
              <w:rPr>
                <w:rFonts w:eastAsia="Calibri"/>
                <w:bCs/>
              </w:rPr>
              <w:t>3 500 000,00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Rozwój kultury i dziedzictwa materialnego i niematerialnego (Remont HDK, obiektów sakralnych itd.)</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0A1324">
            <w:pPr>
              <w:spacing w:before="0"/>
              <w:jc w:val="right"/>
              <w:cnfStyle w:val="000000100000" w:firstRow="0" w:lastRow="0" w:firstColumn="0" w:lastColumn="0" w:oddVBand="0" w:evenVBand="0" w:oddHBand="1" w:evenHBand="0" w:firstRowFirstColumn="0" w:firstRowLastColumn="0" w:lastRowFirstColumn="0" w:lastRowLastColumn="0"/>
              <w:rPr>
                <w:b/>
              </w:rPr>
            </w:pPr>
            <w:r w:rsidRPr="00CC3682">
              <w:rPr>
                <w:rFonts w:eastAsia="Calibri"/>
                <w:bCs/>
              </w:rPr>
              <w:t>25 000 000,00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Rozszerzenie funkcji Hrubieszowskiego Ośrodka Sportu i Rekreacji</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bCs/>
              </w:rPr>
            </w:pPr>
            <w:r w:rsidRPr="00CC3682">
              <w:rPr>
                <w:rFonts w:eastAsia="Calibri"/>
                <w:bCs/>
              </w:rPr>
              <w:t>15 000 000,00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Modelowe rozwiązanie problemu hrubieszowskich Sutek</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bCs/>
              </w:rPr>
            </w:pPr>
            <w:r w:rsidRPr="00CC3682">
              <w:rPr>
                <w:rFonts w:eastAsia="Calibri"/>
                <w:bCs/>
              </w:rPr>
              <w:t>8 000 000,00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Centrum Komunikacyjnego Miasta Hrubieszów </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bCs/>
              </w:rPr>
            </w:pPr>
            <w:r w:rsidRPr="00CC3682">
              <w:rPr>
                <w:rFonts w:eastAsia="Calibri"/>
                <w:bCs/>
              </w:rPr>
              <w:t>2 500 000,00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 xml:space="preserve">Przebudowa budynku byłej szkoły w </w:t>
            </w:r>
            <w:proofErr w:type="spellStart"/>
            <w:r w:rsidRPr="007866C8">
              <w:rPr>
                <w:rFonts w:asciiTheme="minorHAnsi" w:hAnsiTheme="minorHAnsi" w:cstheme="minorHAnsi"/>
                <w:b w:val="0"/>
                <w:sz w:val="20"/>
                <w:szCs w:val="20"/>
              </w:rPr>
              <w:t>Moniatyczach</w:t>
            </w:r>
            <w:proofErr w:type="spellEnd"/>
            <w:r w:rsidRPr="007866C8">
              <w:rPr>
                <w:rFonts w:asciiTheme="minorHAnsi" w:hAnsiTheme="minorHAnsi" w:cstheme="minorHAnsi"/>
                <w:b w:val="0"/>
                <w:sz w:val="20"/>
                <w:szCs w:val="20"/>
              </w:rPr>
              <w:t xml:space="preserve"> na bibliotekę</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100000" w:firstRow="0" w:lastRow="0" w:firstColumn="0" w:lastColumn="0" w:oddVBand="0" w:evenVBand="0" w:oddHBand="1" w:evenHBand="0" w:firstRowFirstColumn="0" w:firstRowLastColumn="0" w:lastRowFirstColumn="0" w:lastRowLastColumn="0"/>
            </w:pPr>
            <w:r w:rsidRPr="00CC3682">
              <w:t>1 500 000,00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Przebudowa ze zmianą sposobu użytkowania byłej szkoły w Kułakowicach Trzecich na potrzeby KGW, sołectwa, stowarzyszenia</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010000" w:firstRow="0" w:lastRow="0" w:firstColumn="0" w:lastColumn="0" w:oddVBand="0" w:evenVBand="0" w:oddHBand="0" w:evenHBand="1" w:firstRowFirstColumn="0" w:firstRowLastColumn="0" w:lastRowFirstColumn="0" w:lastRowLastColumn="0"/>
            </w:pPr>
            <w:r w:rsidRPr="00CC3682">
              <w:t>1 500 000,00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Rozwój kultury i dziedzictwa materialnego i niematerialnego</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100000" w:firstRow="0" w:lastRow="0" w:firstColumn="0" w:lastColumn="0" w:oddVBand="0" w:evenVBand="0" w:oddHBand="1" w:evenHBand="0" w:firstRowFirstColumn="0" w:firstRowLastColumn="0" w:lastRowFirstColumn="0" w:lastRowLastColumn="0"/>
            </w:pPr>
            <w:r w:rsidRPr="00CC3682">
              <w:t>3 500 000,00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Poprawa systemu bezpieczeństwa publicznego - Budowa monitoringu miejskiego w Hrubieszowie</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bCs/>
              </w:rPr>
            </w:pPr>
            <w:r w:rsidRPr="00CC3682">
              <w:rPr>
                <w:rFonts w:eastAsia="Calibri"/>
                <w:bCs/>
              </w:rPr>
              <w:t>3 100 000,00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Przebudowy, remonty, dostosowanie obiektów publicznych do potrzeb zapewnienia dostępności osobom ze szczególnymi potrzebami</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bCs/>
              </w:rPr>
            </w:pPr>
            <w:r w:rsidRPr="00CC3682">
              <w:rPr>
                <w:rFonts w:eastAsia="Calibri"/>
                <w:bCs/>
              </w:rPr>
              <w:t>3 500 000,00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Rozwój i wsparcie systemu opieki, integracji i wyłączenia społecznego - Centrum Usług Społecznych</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Miejska Hrubieszów</w:t>
            </w:r>
          </w:p>
        </w:tc>
        <w:tc>
          <w:tcPr>
            <w:tcW w:w="2835" w:type="dxa"/>
            <w:vAlign w:val="center"/>
          </w:tcPr>
          <w:p w:rsidR="006D7608" w:rsidRPr="00CC3682" w:rsidRDefault="006D7608"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bCs/>
              </w:rPr>
            </w:pPr>
            <w:r w:rsidRPr="00CC3682">
              <w:rPr>
                <w:bCs/>
              </w:rPr>
              <w:t>7 500 000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Przebudowa budynku Urzędu Gminy w zakresie dostępności dla osób niepełnosprawnych i estetyzacji otoczenia</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100000" w:firstRow="0" w:lastRow="0" w:firstColumn="0" w:lastColumn="0" w:oddVBand="0" w:evenVBand="0" w:oddHBand="1" w:evenHBand="0" w:firstRowFirstColumn="0" w:firstRowLastColumn="0" w:lastRowFirstColumn="0" w:lastRowLastColumn="0"/>
            </w:pPr>
            <w:r w:rsidRPr="00CC3682">
              <w:t>1 000 000,00</w:t>
            </w:r>
          </w:p>
        </w:tc>
      </w:tr>
      <w:tr w:rsidR="006D7608"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7866C8" w:rsidRDefault="006D7608"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Przebudowy, remonty, dostosowanie obiektów publicznych do potrzeb zapewnienia dostępności osobom ze szczególnymi potrzebami</w:t>
            </w:r>
          </w:p>
        </w:tc>
        <w:tc>
          <w:tcPr>
            <w:tcW w:w="3827" w:type="dxa"/>
            <w:vAlign w:val="center"/>
          </w:tcPr>
          <w:p w:rsidR="006D7608" w:rsidRPr="007866C8" w:rsidRDefault="006D7608"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010000" w:firstRow="0" w:lastRow="0" w:firstColumn="0" w:lastColumn="0" w:oddVBand="0" w:evenVBand="0" w:oddHBand="0" w:evenHBand="1" w:firstRowFirstColumn="0" w:firstRowLastColumn="0" w:lastRowFirstColumn="0" w:lastRowLastColumn="0"/>
            </w:pPr>
            <w:r w:rsidRPr="00CC3682">
              <w:t>10 000 000,00</w:t>
            </w:r>
          </w:p>
        </w:tc>
      </w:tr>
      <w:tr w:rsidR="006D7608"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6D7608" w:rsidRPr="00F3483F" w:rsidRDefault="006D7608" w:rsidP="000A1324">
            <w:pPr>
              <w:spacing w:before="0"/>
              <w:ind w:firstLine="0"/>
              <w:rPr>
                <w:rFonts w:asciiTheme="minorHAnsi" w:hAnsiTheme="minorHAnsi" w:cstheme="minorHAnsi"/>
                <w:b w:val="0"/>
                <w:sz w:val="20"/>
                <w:szCs w:val="20"/>
              </w:rPr>
            </w:pPr>
            <w:r w:rsidRPr="00F3483F">
              <w:rPr>
                <w:rFonts w:asciiTheme="minorHAnsi" w:eastAsia="Times New Roman" w:hAnsiTheme="minorHAnsi" w:cstheme="minorHAnsi"/>
                <w:b w:val="0"/>
                <w:sz w:val="20"/>
                <w:szCs w:val="20"/>
                <w:lang w:eastAsia="pl-PL"/>
              </w:rPr>
              <w:t>Przebudowa Gminnego Ośrodka Kultury</w:t>
            </w:r>
          </w:p>
        </w:tc>
        <w:tc>
          <w:tcPr>
            <w:tcW w:w="3827" w:type="dxa"/>
            <w:vAlign w:val="center"/>
          </w:tcPr>
          <w:p w:rsidR="006D7608" w:rsidRPr="007866C8" w:rsidRDefault="006D7608"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Hrubieszów</w:t>
            </w:r>
          </w:p>
        </w:tc>
        <w:tc>
          <w:tcPr>
            <w:tcW w:w="2835" w:type="dxa"/>
            <w:vAlign w:val="center"/>
          </w:tcPr>
          <w:p w:rsidR="006D7608" w:rsidRPr="00CC3682" w:rsidRDefault="006D7608" w:rsidP="000A1324">
            <w:pPr>
              <w:spacing w:before="0"/>
              <w:jc w:val="right"/>
              <w:cnfStyle w:val="000000100000" w:firstRow="0" w:lastRow="0" w:firstColumn="0" w:lastColumn="0" w:oddVBand="0" w:evenVBand="0" w:oddHBand="1" w:evenHBand="0" w:firstRowFirstColumn="0" w:firstRowLastColumn="0" w:lastRowFirstColumn="0" w:lastRowLastColumn="0"/>
            </w:pPr>
            <w:r>
              <w:t>800 000,00</w:t>
            </w:r>
          </w:p>
        </w:tc>
      </w:tr>
      <w:tr w:rsidR="006D7608" w:rsidTr="006D760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5" w:type="dxa"/>
            <w:gridSpan w:val="2"/>
            <w:vAlign w:val="bottom"/>
          </w:tcPr>
          <w:p w:rsidR="006D7608" w:rsidRPr="007866C8" w:rsidRDefault="006D7608" w:rsidP="000A1324">
            <w:pPr>
              <w:spacing w:before="0"/>
              <w:ind w:firstLine="0"/>
              <w:jc w:val="left"/>
              <w:rPr>
                <w:sz w:val="20"/>
                <w:szCs w:val="20"/>
              </w:rPr>
            </w:pPr>
            <w:r w:rsidRPr="007866C8">
              <w:rPr>
                <w:sz w:val="20"/>
                <w:szCs w:val="20"/>
              </w:rPr>
              <w:t>Razem</w:t>
            </w:r>
          </w:p>
        </w:tc>
        <w:tc>
          <w:tcPr>
            <w:tcW w:w="2835" w:type="dxa"/>
          </w:tcPr>
          <w:p w:rsidR="006D7608" w:rsidRPr="00CC3682"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Pr>
                <w:rFonts w:ascii="Calibri" w:hAnsi="Calibri" w:cs="Calibri"/>
                <w:b/>
                <w:color w:val="000000"/>
              </w:rPr>
              <w:t>163 400</w:t>
            </w:r>
            <w:r w:rsidRPr="00CC3682">
              <w:rPr>
                <w:rFonts w:ascii="Calibri" w:hAnsi="Calibri" w:cs="Calibri"/>
                <w:b/>
                <w:color w:val="000000"/>
              </w:rPr>
              <w:t xml:space="preserve"> 000,00</w:t>
            </w:r>
          </w:p>
        </w:tc>
      </w:tr>
    </w:tbl>
    <w:p w:rsidR="002F0C59" w:rsidRDefault="002F0C59" w:rsidP="00CC449E"/>
    <w:p w:rsidR="002F0C59" w:rsidRDefault="002F0C59" w:rsidP="00CC449E"/>
    <w:p w:rsidR="00CC449E" w:rsidRDefault="00CC449E" w:rsidP="00CC449E">
      <w:r w:rsidRPr="00574FE5">
        <w:lastRenderedPageBreak/>
        <w:t xml:space="preserve">Indykatywny wykaz zidentyfikowanych </w:t>
      </w:r>
      <w:r>
        <w:t xml:space="preserve">zintegrowanych </w:t>
      </w:r>
      <w:r w:rsidRPr="00574FE5">
        <w:t>projektów i przedsięwzięć inwestycyjnych wpisujący się w zakres celu strategicznego 1</w:t>
      </w:r>
      <w:r>
        <w:t xml:space="preserve"> w celach operacyjnych ZIT:</w:t>
      </w:r>
    </w:p>
    <w:tbl>
      <w:tblPr>
        <w:tblStyle w:val="Jasnasiatkaakcent23"/>
        <w:tblW w:w="0" w:type="auto"/>
        <w:tblLook w:val="04A0" w:firstRow="1" w:lastRow="0" w:firstColumn="1" w:lastColumn="0" w:noHBand="0" w:noVBand="1"/>
      </w:tblPr>
      <w:tblGrid>
        <w:gridCol w:w="7338"/>
        <w:gridCol w:w="3305"/>
        <w:gridCol w:w="1089"/>
        <w:gridCol w:w="2268"/>
      </w:tblGrid>
      <w:tr w:rsidR="00D534F3" w:rsidTr="00D534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vAlign w:val="center"/>
          </w:tcPr>
          <w:p w:rsidR="00D534F3" w:rsidRPr="005A3422" w:rsidRDefault="00D534F3" w:rsidP="00D534F3">
            <w:pPr>
              <w:spacing w:before="0"/>
              <w:ind w:firstLine="0"/>
              <w:jc w:val="center"/>
              <w:rPr>
                <w:b w:val="0"/>
                <w:bCs w:val="0"/>
                <w:sz w:val="20"/>
                <w:szCs w:val="20"/>
              </w:rPr>
            </w:pPr>
            <w:r w:rsidRPr="005A3422">
              <w:rPr>
                <w:sz w:val="20"/>
                <w:szCs w:val="20"/>
              </w:rPr>
              <w:t>Projekty</w:t>
            </w:r>
            <w:r w:rsidRPr="005A3422">
              <w:rPr>
                <w:bCs w:val="0"/>
                <w:sz w:val="20"/>
                <w:szCs w:val="20"/>
              </w:rPr>
              <w:t xml:space="preserve"> / przedsięwzięcia</w:t>
            </w:r>
          </w:p>
        </w:tc>
        <w:tc>
          <w:tcPr>
            <w:tcW w:w="3305" w:type="dxa"/>
            <w:tcBorders>
              <w:right w:val="single" w:sz="8" w:space="0" w:color="C00000"/>
            </w:tcBorders>
            <w:vAlign w:val="center"/>
          </w:tcPr>
          <w:p w:rsidR="00D534F3" w:rsidRPr="00B514A6" w:rsidRDefault="00D534F3" w:rsidP="00D534F3">
            <w:pPr>
              <w:spacing w:before="0"/>
              <w:ind w:firstLine="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B514A6">
              <w:rPr>
                <w:sz w:val="20"/>
                <w:szCs w:val="20"/>
              </w:rPr>
              <w:t>Podmiot odpowiedzialny za realizację</w:t>
            </w:r>
          </w:p>
        </w:tc>
        <w:tc>
          <w:tcPr>
            <w:tcW w:w="1089" w:type="dxa"/>
            <w:tcBorders>
              <w:left w:val="single" w:sz="8" w:space="0" w:color="C00000"/>
            </w:tcBorders>
            <w:vAlign w:val="center"/>
          </w:tcPr>
          <w:p w:rsidR="00D534F3" w:rsidRPr="00B514A6" w:rsidRDefault="00D534F3" w:rsidP="00D534F3">
            <w:pPr>
              <w:spacing w:before="0"/>
              <w:ind w:firstLine="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Pr>
                <w:sz w:val="20"/>
                <w:szCs w:val="20"/>
              </w:rPr>
              <w:t>Źródło wsparcia</w:t>
            </w:r>
          </w:p>
        </w:tc>
        <w:tc>
          <w:tcPr>
            <w:tcW w:w="2268" w:type="dxa"/>
            <w:vAlign w:val="center"/>
          </w:tcPr>
          <w:p w:rsidR="00D534F3" w:rsidRPr="00B514A6" w:rsidRDefault="00D534F3" w:rsidP="00D534F3">
            <w:pPr>
              <w:spacing w:before="0"/>
              <w:ind w:firstLine="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B514A6">
              <w:rPr>
                <w:sz w:val="20"/>
                <w:szCs w:val="20"/>
              </w:rPr>
              <w:t>Szacowana wartość (zł)</w:t>
            </w:r>
          </w:p>
        </w:tc>
      </w:tr>
      <w:tr w:rsidR="000A1324" w:rsidTr="00D53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113348" w:rsidP="00D534F3">
            <w:pPr>
              <w:spacing w:before="0"/>
              <w:ind w:firstLine="0"/>
              <w:rPr>
                <w:rFonts w:asciiTheme="minorHAnsi" w:hAnsiTheme="minorHAnsi" w:cstheme="minorHAnsi"/>
                <w:b w:val="0"/>
                <w:sz w:val="20"/>
                <w:szCs w:val="20"/>
              </w:rPr>
            </w:pPr>
            <w:r w:rsidRPr="00113348">
              <w:rPr>
                <w:rFonts w:asciiTheme="minorHAnsi" w:hAnsiTheme="minorHAnsi" w:cstheme="minorHAnsi"/>
                <w:b w:val="0"/>
                <w:sz w:val="20"/>
                <w:szCs w:val="20"/>
              </w:rPr>
              <w:t xml:space="preserve">Wzmocnienie potencjału systemu pomocy i integracji społecznej w Hrubieszowskim Obszarze Funkcjonalnym poprzez utworzenie Centrum Opiekuńczego w </w:t>
            </w:r>
            <w:proofErr w:type="spellStart"/>
            <w:r w:rsidRPr="00113348">
              <w:rPr>
                <w:rFonts w:asciiTheme="minorHAnsi" w:hAnsiTheme="minorHAnsi" w:cstheme="minorHAnsi"/>
                <w:b w:val="0"/>
                <w:sz w:val="20"/>
                <w:szCs w:val="20"/>
              </w:rPr>
              <w:t>Dziekanowie</w:t>
            </w:r>
            <w:proofErr w:type="spellEnd"/>
            <w:r w:rsidRPr="00113348">
              <w:rPr>
                <w:rFonts w:asciiTheme="minorHAnsi" w:hAnsiTheme="minorHAnsi" w:cstheme="minorHAnsi"/>
                <w:b w:val="0"/>
                <w:sz w:val="20"/>
                <w:szCs w:val="20"/>
              </w:rPr>
              <w:t xml:space="preserve"> wraz z wypożyczalnią sprzętu opiekuńczo - rehabilitacyjnego</w:t>
            </w:r>
          </w:p>
        </w:tc>
        <w:tc>
          <w:tcPr>
            <w:tcW w:w="3305" w:type="dxa"/>
            <w:tcBorders>
              <w:right w:val="single" w:sz="8" w:space="0" w:color="C00000"/>
            </w:tcBorders>
            <w:vAlign w:val="center"/>
          </w:tcPr>
          <w:p w:rsidR="000A1324"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Lider: Gmina Hrubieszów</w:t>
            </w:r>
          </w:p>
          <w:p w:rsidR="000A1324" w:rsidRPr="007866C8"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Partner: Gmina Miejska Hrubieszów</w:t>
            </w:r>
          </w:p>
        </w:tc>
        <w:tc>
          <w:tcPr>
            <w:tcW w:w="1089" w:type="dxa"/>
            <w:tcBorders>
              <w:left w:val="single" w:sz="8" w:space="0" w:color="C00000"/>
            </w:tcBorders>
            <w:vAlign w:val="center"/>
          </w:tcPr>
          <w:p w:rsidR="000A1324"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EFRR</w:t>
            </w:r>
          </w:p>
          <w:p w:rsidR="000A1324" w:rsidRPr="007866C8"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2268" w:type="dxa"/>
            <w:vAlign w:val="center"/>
          </w:tcPr>
          <w:p w:rsidR="000A1324" w:rsidRPr="000A1324" w:rsidRDefault="000A1324" w:rsidP="00230904">
            <w:pPr>
              <w:jc w:val="right"/>
              <w:cnfStyle w:val="000000100000" w:firstRow="0" w:lastRow="0" w:firstColumn="0" w:lastColumn="0" w:oddVBand="0" w:evenVBand="0" w:oddHBand="1" w:evenHBand="0" w:firstRowFirstColumn="0" w:firstRowLastColumn="0" w:lastRowFirstColumn="0" w:lastRowLastColumn="0"/>
              <w:rPr>
                <w:sz w:val="20"/>
              </w:rPr>
            </w:pPr>
            <w:r w:rsidRPr="000A1324">
              <w:rPr>
                <w:rFonts w:cstheme="minorHAnsi"/>
                <w:sz w:val="20"/>
              </w:rPr>
              <w:t>2 484 882,35</w:t>
            </w:r>
          </w:p>
        </w:tc>
      </w:tr>
      <w:tr w:rsidR="000A1324" w:rsidTr="00D534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A12064" w:rsidRDefault="00C56C9E" w:rsidP="002441D5">
            <w:pPr>
              <w:spacing w:before="0"/>
              <w:ind w:firstLine="0"/>
              <w:rPr>
                <w:rFonts w:asciiTheme="minorHAnsi" w:hAnsiTheme="minorHAnsi" w:cstheme="minorHAnsi"/>
                <w:b w:val="0"/>
              </w:rPr>
            </w:pPr>
            <w:r w:rsidRPr="00C56C9E">
              <w:rPr>
                <w:rFonts w:asciiTheme="minorHAnsi" w:hAnsiTheme="minorHAnsi" w:cstheme="minorHAnsi"/>
                <w:b w:val="0"/>
                <w:sz w:val="20"/>
              </w:rPr>
              <w:t>Rozwój usług społecznych świadczonych w społeczności lokalnej dla osób potrzebujących wsparcia w codziennym funkcjonowaniu w tym osób posiadających niepełnosprawności z terenu Hrubieszowskiego Obszaru Funkcjonalnego</w:t>
            </w:r>
          </w:p>
        </w:tc>
        <w:tc>
          <w:tcPr>
            <w:tcW w:w="3305" w:type="dxa"/>
            <w:tcBorders>
              <w:right w:val="single" w:sz="8" w:space="0" w:color="C00000"/>
            </w:tcBorders>
            <w:vAlign w:val="center"/>
          </w:tcPr>
          <w:p w:rsidR="000A1324" w:rsidRPr="007866C8" w:rsidRDefault="000A1324" w:rsidP="00D534F3">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Lider: Gmina Hrubieszów</w:t>
            </w:r>
          </w:p>
        </w:tc>
        <w:tc>
          <w:tcPr>
            <w:tcW w:w="1089" w:type="dxa"/>
            <w:tcBorders>
              <w:left w:val="single" w:sz="8" w:space="0" w:color="C00000"/>
            </w:tcBorders>
            <w:vAlign w:val="center"/>
          </w:tcPr>
          <w:p w:rsidR="000A1324" w:rsidRPr="007866C8" w:rsidRDefault="000A1324" w:rsidP="00D534F3">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EFS+</w:t>
            </w:r>
          </w:p>
        </w:tc>
        <w:tc>
          <w:tcPr>
            <w:tcW w:w="2268" w:type="dxa"/>
            <w:vAlign w:val="center"/>
          </w:tcPr>
          <w:p w:rsidR="000A1324" w:rsidRPr="000A1324" w:rsidRDefault="000A1324" w:rsidP="00230904">
            <w:pPr>
              <w:jc w:val="right"/>
              <w:cnfStyle w:val="000000010000" w:firstRow="0" w:lastRow="0" w:firstColumn="0" w:lastColumn="0" w:oddVBand="0" w:evenVBand="0" w:oddHBand="0" w:evenHBand="1" w:firstRowFirstColumn="0" w:firstRowLastColumn="0" w:lastRowFirstColumn="0" w:lastRowLastColumn="0"/>
              <w:rPr>
                <w:sz w:val="20"/>
              </w:rPr>
            </w:pPr>
            <w:r w:rsidRPr="000A1324">
              <w:rPr>
                <w:rFonts w:ascii="Calibri" w:hAnsi="Calibri" w:cs="Calibri"/>
                <w:color w:val="000000"/>
                <w:sz w:val="20"/>
              </w:rPr>
              <w:t>1 789 473,68</w:t>
            </w:r>
          </w:p>
        </w:tc>
      </w:tr>
      <w:tr w:rsidR="000A1324" w:rsidTr="00D53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A12064" w:rsidRDefault="000A1324" w:rsidP="00D534F3">
            <w:pPr>
              <w:spacing w:before="0"/>
              <w:ind w:firstLine="0"/>
              <w:rPr>
                <w:rFonts w:asciiTheme="minorHAnsi" w:hAnsiTheme="minorHAnsi" w:cstheme="minorHAnsi"/>
                <w:b w:val="0"/>
                <w:sz w:val="20"/>
                <w:szCs w:val="20"/>
              </w:rPr>
            </w:pPr>
            <w:r w:rsidRPr="00A12064">
              <w:rPr>
                <w:rFonts w:asciiTheme="minorHAnsi" w:hAnsiTheme="minorHAnsi" w:cstheme="minorHAnsi"/>
                <w:b w:val="0"/>
                <w:sz w:val="20"/>
                <w:szCs w:val="20"/>
              </w:rPr>
              <w:t xml:space="preserve">Poprawa dostępu do </w:t>
            </w:r>
            <w:proofErr w:type="gramStart"/>
            <w:r w:rsidRPr="00A12064">
              <w:rPr>
                <w:rFonts w:asciiTheme="minorHAnsi" w:hAnsiTheme="minorHAnsi" w:cstheme="minorHAnsi"/>
                <w:b w:val="0"/>
                <w:sz w:val="20"/>
                <w:szCs w:val="20"/>
              </w:rPr>
              <w:t>wysokiej jakości</w:t>
            </w:r>
            <w:proofErr w:type="gramEnd"/>
            <w:r w:rsidRPr="00A12064">
              <w:rPr>
                <w:rFonts w:asciiTheme="minorHAnsi" w:hAnsiTheme="minorHAnsi" w:cstheme="minorHAnsi"/>
                <w:b w:val="0"/>
                <w:sz w:val="20"/>
                <w:szCs w:val="20"/>
              </w:rPr>
              <w:t xml:space="preserve"> usług edukacyjnych w HOF poprzez modernizację i unowocześnienie przedszkoli</w:t>
            </w:r>
          </w:p>
        </w:tc>
        <w:tc>
          <w:tcPr>
            <w:tcW w:w="3305" w:type="dxa"/>
            <w:tcBorders>
              <w:right w:val="single" w:sz="8" w:space="0" w:color="C00000"/>
            </w:tcBorders>
            <w:vAlign w:val="center"/>
          </w:tcPr>
          <w:p w:rsidR="000A1324"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Lider: Gmina Miejska Hrubieszów</w:t>
            </w:r>
          </w:p>
          <w:p w:rsidR="000A1324" w:rsidRPr="007866C8"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Pr>
                <w:sz w:val="20"/>
                <w:szCs w:val="20"/>
              </w:rPr>
              <w:t>Partner: Gmina Hrubieszów</w:t>
            </w:r>
          </w:p>
        </w:tc>
        <w:tc>
          <w:tcPr>
            <w:tcW w:w="1089" w:type="dxa"/>
            <w:tcBorders>
              <w:left w:val="single" w:sz="8" w:space="0" w:color="C00000"/>
            </w:tcBorders>
            <w:vAlign w:val="center"/>
          </w:tcPr>
          <w:p w:rsidR="000A1324" w:rsidRPr="00B514A6"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EFRR</w:t>
            </w:r>
          </w:p>
        </w:tc>
        <w:tc>
          <w:tcPr>
            <w:tcW w:w="2268" w:type="dxa"/>
            <w:vAlign w:val="center"/>
          </w:tcPr>
          <w:p w:rsidR="000A1324" w:rsidRPr="000A1324" w:rsidRDefault="000A1324" w:rsidP="00651651">
            <w:pPr>
              <w:widowControl w:val="0"/>
              <w:jc w:val="right"/>
              <w:cnfStyle w:val="000000100000" w:firstRow="0" w:lastRow="0" w:firstColumn="0" w:lastColumn="0" w:oddVBand="0" w:evenVBand="0" w:oddHBand="1" w:evenHBand="0" w:firstRowFirstColumn="0" w:firstRowLastColumn="0" w:lastRowFirstColumn="0" w:lastRowLastColumn="0"/>
              <w:rPr>
                <w:b/>
                <w:sz w:val="20"/>
              </w:rPr>
            </w:pPr>
            <w:r w:rsidRPr="000A1324">
              <w:rPr>
                <w:sz w:val="20"/>
              </w:rPr>
              <w:t>830 588,2</w:t>
            </w:r>
            <w:r w:rsidR="00651651">
              <w:rPr>
                <w:sz w:val="20"/>
              </w:rPr>
              <w:t>8</w:t>
            </w:r>
          </w:p>
        </w:tc>
      </w:tr>
      <w:tr w:rsidR="000A1324" w:rsidTr="00D534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A12064" w:rsidRDefault="000A1324" w:rsidP="00D534F3">
            <w:pPr>
              <w:spacing w:before="0"/>
              <w:ind w:firstLine="0"/>
              <w:rPr>
                <w:rFonts w:asciiTheme="minorHAnsi" w:hAnsiTheme="minorHAnsi" w:cstheme="minorHAnsi"/>
                <w:b w:val="0"/>
                <w:sz w:val="20"/>
                <w:szCs w:val="20"/>
              </w:rPr>
            </w:pPr>
            <w:r w:rsidRPr="00A12064">
              <w:rPr>
                <w:rFonts w:asciiTheme="minorHAnsi" w:hAnsiTheme="minorHAnsi" w:cstheme="minorHAnsi"/>
                <w:b w:val="0"/>
                <w:sz w:val="20"/>
                <w:szCs w:val="20"/>
              </w:rPr>
              <w:t>Programy rozwojowe szkół i przedszkoli na terenie Hrubieszowskiego Obszaru Funkcjonalnego</w:t>
            </w:r>
          </w:p>
        </w:tc>
        <w:tc>
          <w:tcPr>
            <w:tcW w:w="3305" w:type="dxa"/>
            <w:tcBorders>
              <w:right w:val="single" w:sz="8" w:space="0" w:color="C00000"/>
            </w:tcBorders>
            <w:vAlign w:val="center"/>
          </w:tcPr>
          <w:p w:rsidR="000A1324" w:rsidRDefault="000A1324" w:rsidP="00D534F3">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Lider: Gmina Miejska Hrubieszów</w:t>
            </w:r>
          </w:p>
          <w:p w:rsidR="000A1324" w:rsidRPr="007866C8" w:rsidRDefault="000A1324" w:rsidP="00D534F3">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Pr>
                <w:sz w:val="20"/>
                <w:szCs w:val="20"/>
              </w:rPr>
              <w:t>Partner: Gmina Hrubieszów</w:t>
            </w:r>
          </w:p>
        </w:tc>
        <w:tc>
          <w:tcPr>
            <w:tcW w:w="1089" w:type="dxa"/>
            <w:tcBorders>
              <w:left w:val="single" w:sz="8" w:space="0" w:color="C00000"/>
            </w:tcBorders>
            <w:vAlign w:val="center"/>
          </w:tcPr>
          <w:p w:rsidR="000A1324" w:rsidRPr="00B514A6" w:rsidRDefault="000A1324" w:rsidP="00D534F3">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514A6">
              <w:rPr>
                <w:sz w:val="20"/>
                <w:szCs w:val="20"/>
              </w:rPr>
              <w:t>EFS+</w:t>
            </w:r>
          </w:p>
        </w:tc>
        <w:tc>
          <w:tcPr>
            <w:tcW w:w="2268" w:type="dxa"/>
            <w:vAlign w:val="center"/>
          </w:tcPr>
          <w:p w:rsidR="000A1324" w:rsidRPr="000A1324" w:rsidRDefault="000A1324" w:rsidP="00230904">
            <w:pPr>
              <w:widowControl w:val="0"/>
              <w:tabs>
                <w:tab w:val="left" w:pos="825"/>
              </w:tabs>
              <w:jc w:val="right"/>
              <w:cnfStyle w:val="000000010000" w:firstRow="0" w:lastRow="0" w:firstColumn="0" w:lastColumn="0" w:oddVBand="0" w:evenVBand="0" w:oddHBand="0" w:evenHBand="1" w:firstRowFirstColumn="0" w:firstRowLastColumn="0" w:lastRowFirstColumn="0" w:lastRowLastColumn="0"/>
              <w:rPr>
                <w:bCs/>
                <w:sz w:val="20"/>
              </w:rPr>
            </w:pPr>
            <w:r w:rsidRPr="000A1324">
              <w:rPr>
                <w:sz w:val="20"/>
              </w:rPr>
              <w:t>1 840 030,00</w:t>
            </w:r>
          </w:p>
        </w:tc>
      </w:tr>
      <w:tr w:rsidR="000A1324" w:rsidTr="00D534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vAlign w:val="center"/>
          </w:tcPr>
          <w:p w:rsidR="000A1324" w:rsidRPr="00A12064" w:rsidRDefault="000A1324" w:rsidP="00D534F3">
            <w:pPr>
              <w:spacing w:before="0"/>
              <w:ind w:firstLine="0"/>
              <w:jc w:val="left"/>
              <w:rPr>
                <w:rFonts w:asciiTheme="minorHAnsi" w:hAnsiTheme="minorHAnsi" w:cstheme="minorHAnsi"/>
                <w:b w:val="0"/>
                <w:sz w:val="20"/>
                <w:szCs w:val="20"/>
              </w:rPr>
            </w:pPr>
            <w:r w:rsidRPr="00A12064">
              <w:rPr>
                <w:rFonts w:asciiTheme="minorHAnsi" w:hAnsiTheme="minorHAnsi" w:cstheme="minorHAnsi"/>
                <w:b w:val="0"/>
                <w:sz w:val="20"/>
                <w:szCs w:val="20"/>
              </w:rPr>
              <w:t>Zintegrowany rozwój infrastruktury kultury Hrubieszowskiego Obszaru Funkcjonalnego</w:t>
            </w:r>
          </w:p>
        </w:tc>
        <w:tc>
          <w:tcPr>
            <w:tcW w:w="3305" w:type="dxa"/>
            <w:tcBorders>
              <w:right w:val="single" w:sz="8" w:space="0" w:color="C00000"/>
            </w:tcBorders>
            <w:vAlign w:val="center"/>
          </w:tcPr>
          <w:p w:rsidR="000A1324"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Lider: Gmina Miejska Hrubieszów</w:t>
            </w:r>
          </w:p>
          <w:p w:rsidR="000A1324" w:rsidRPr="007866C8"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Pr>
                <w:sz w:val="20"/>
                <w:szCs w:val="20"/>
              </w:rPr>
              <w:t>Partner: Gmina Hrubieszów</w:t>
            </w:r>
          </w:p>
        </w:tc>
        <w:tc>
          <w:tcPr>
            <w:tcW w:w="1089" w:type="dxa"/>
            <w:tcBorders>
              <w:left w:val="single" w:sz="8" w:space="0" w:color="C00000"/>
            </w:tcBorders>
            <w:vAlign w:val="center"/>
          </w:tcPr>
          <w:p w:rsidR="000A1324" w:rsidRPr="00B514A6" w:rsidRDefault="000A1324" w:rsidP="00D534F3">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514A6">
              <w:rPr>
                <w:sz w:val="20"/>
                <w:szCs w:val="20"/>
              </w:rPr>
              <w:t>EFRR</w:t>
            </w:r>
          </w:p>
        </w:tc>
        <w:tc>
          <w:tcPr>
            <w:tcW w:w="2268" w:type="dxa"/>
            <w:vAlign w:val="center"/>
          </w:tcPr>
          <w:p w:rsidR="000A1324" w:rsidRPr="000A1324" w:rsidRDefault="000A1324" w:rsidP="00230904">
            <w:pPr>
              <w:jc w:val="right"/>
              <w:cnfStyle w:val="000000100000" w:firstRow="0" w:lastRow="0" w:firstColumn="0" w:lastColumn="0" w:oddVBand="0" w:evenVBand="0" w:oddHBand="1" w:evenHBand="0" w:firstRowFirstColumn="0" w:firstRowLastColumn="0" w:lastRowFirstColumn="0" w:lastRowLastColumn="0"/>
              <w:rPr>
                <w:sz w:val="20"/>
              </w:rPr>
            </w:pPr>
            <w:r w:rsidRPr="000A1324">
              <w:rPr>
                <w:sz w:val="20"/>
              </w:rPr>
              <w:t>7 062 760,49</w:t>
            </w:r>
          </w:p>
        </w:tc>
      </w:tr>
      <w:tr w:rsidR="000A1324" w:rsidTr="007A645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2" w:type="dxa"/>
            <w:gridSpan w:val="3"/>
          </w:tcPr>
          <w:p w:rsidR="000A1324" w:rsidRPr="007866C8" w:rsidRDefault="000A1324" w:rsidP="00D534F3">
            <w:pPr>
              <w:ind w:firstLine="0"/>
              <w:rPr>
                <w:sz w:val="20"/>
                <w:szCs w:val="20"/>
              </w:rPr>
            </w:pPr>
            <w:r w:rsidRPr="007866C8">
              <w:rPr>
                <w:sz w:val="20"/>
                <w:szCs w:val="20"/>
              </w:rPr>
              <w:t>Razem</w:t>
            </w:r>
          </w:p>
        </w:tc>
        <w:tc>
          <w:tcPr>
            <w:tcW w:w="2268" w:type="dxa"/>
          </w:tcPr>
          <w:p w:rsidR="000A1324" w:rsidRPr="00CC3682" w:rsidRDefault="000A1324" w:rsidP="00651651">
            <w:pPr>
              <w:ind w:firstLine="0"/>
              <w:jc w:val="right"/>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sidRPr="00AC0836">
              <w:rPr>
                <w:rFonts w:ascii="Calibri" w:hAnsi="Calibri" w:cs="Calibri"/>
                <w:b/>
                <w:color w:val="000000"/>
                <w:sz w:val="20"/>
              </w:rPr>
              <w:t>14 007 734,</w:t>
            </w:r>
            <w:r w:rsidR="00651651">
              <w:rPr>
                <w:rFonts w:ascii="Calibri" w:hAnsi="Calibri" w:cs="Calibri"/>
                <w:b/>
                <w:color w:val="000000"/>
                <w:sz w:val="20"/>
              </w:rPr>
              <w:t>80</w:t>
            </w:r>
          </w:p>
        </w:tc>
      </w:tr>
    </w:tbl>
    <w:p w:rsidR="00335AE0" w:rsidRDefault="00335AE0" w:rsidP="00843AE8">
      <w:pPr>
        <w:pStyle w:val="Nagwek12"/>
      </w:pPr>
      <w:bookmarkStart w:id="50" w:name="_Toc138068779"/>
      <w:r w:rsidRPr="00843AE8">
        <w:t>Cel strategiczny 2.</w:t>
      </w:r>
      <w:r w:rsidRPr="00843AE8">
        <w:tab/>
        <w:t>CZYSTE ŚRODOWISKO I ADAPTACJA DO ZMIAN KLIMATU</w:t>
      </w:r>
      <w:bookmarkEnd w:id="50"/>
    </w:p>
    <w:p w:rsidR="006D5A62" w:rsidRDefault="00004DDF" w:rsidP="006D5A62">
      <w:r>
        <w:t>Wspominane niejednokrotnie walory przyrodnicze i krajobrazowe HOF wymagają wzmożonych działań na rzecz ich ochrony. Presja ze strony nowych terenów mieszkaniowych, natężenie ruchu samochodowego, zmiany klimatyczne, negatywny wpływ gospodarki na środowisko, nadmierna produkcja odpadów to najpoważniejsze zagrożenia dla środowiska naturalnego.</w:t>
      </w:r>
    </w:p>
    <w:p w:rsidR="00AF1F3E" w:rsidRDefault="00660F7B" w:rsidP="00AF1F3E">
      <w:r>
        <w:t>Zmiany klimatu mają i będą miały duży (bezpośredni i pośredni) wpływ na wiele sektorów gospodarki i społecz</w:t>
      </w:r>
      <w:r w:rsidR="00DB1ADA">
        <w:t>eństwo poprzez oddziaływanie na </w:t>
      </w:r>
      <w:r>
        <w:t>fizyczne i biologiczne składniki ekosystemów</w:t>
      </w:r>
      <w:r w:rsidR="00132386">
        <w:t>.</w:t>
      </w:r>
      <w:r>
        <w:t xml:space="preserve"> Występowanie ekstremalnych zjawisk pogodowych wpłynie na zmiany w rolnictwie (ryzyko nieudanych zbiorów, niekorzystny wpływ na glebę, burze i ulewne deszcze, susze, pożary). Zmiany klimatu </w:t>
      </w:r>
      <w:r w:rsidR="00D2135F">
        <w:t>odbijają się również</w:t>
      </w:r>
      <w:r>
        <w:t xml:space="preserve"> bezpośrednio na sektor energetyczny</w:t>
      </w:r>
      <w:r w:rsidR="00132386">
        <w:t>,</w:t>
      </w:r>
      <w:r>
        <w:t xml:space="preserve"> coraz częstsze zjawiska ekstremalne będą skutkowały problemami w dystrybucji energii elektrycznej. Zjawiska ekstremalne wpływają</w:t>
      </w:r>
      <w:r w:rsidR="00D2135F">
        <w:t xml:space="preserve"> także</w:t>
      </w:r>
      <w:r w:rsidR="00DB1ADA">
        <w:t xml:space="preserve"> niekorzystnie na </w:t>
      </w:r>
      <w:r>
        <w:t xml:space="preserve">strefę społeczną i gospodarczą oraz zdrowie ludzi. </w:t>
      </w:r>
      <w:r w:rsidR="00D2135F">
        <w:t>Aby ograniczyć zmiany warto prowadzić</w:t>
      </w:r>
      <w:r w:rsidR="00132386">
        <w:t xml:space="preserve"> wszelkie działania związane z zastosowaniem odnawialnych źródeł energii oraz utrzymaniem wizerunku czystego środowiskowo obszaru o małym poziomie zanieczyszczenia, co</w:t>
      </w:r>
      <w:r w:rsidR="00AF1F3E">
        <w:t xml:space="preserve"> bezpośrednio wiąże się także </w:t>
      </w:r>
      <w:r w:rsidR="00AF1F3E">
        <w:lastRenderedPageBreak/>
        <w:t>z </w:t>
      </w:r>
      <w:r w:rsidR="00132386">
        <w:t xml:space="preserve">promocją produktów lokalnych, budowaniem oferty turystycznej oraz zdrowym stylem życia. </w:t>
      </w:r>
      <w:r w:rsidR="00AF1F3E">
        <w:t>Między innymi t</w:t>
      </w:r>
      <w:r w:rsidR="00132386">
        <w:t xml:space="preserve">ermomodernizacja wpłynie na zwiększenie efektywności systemów grzewczych i chłodniczych, co wiąże się bezpośrednio z działaniami na rzeczy ochrony klimatu. </w:t>
      </w:r>
      <w:r w:rsidR="00DB1ADA">
        <w:t>Retencja i projekty związane ze </w:t>
      </w:r>
      <w:r w:rsidR="00132386">
        <w:t>zdolnością do gromadzenia zasobów wodnych i przetrzymywania ich przez dłuższy czas w środowisku mogą wpłynąć na uregulowanie problemów związanych z suszami.</w:t>
      </w:r>
      <w:r w:rsidR="00EF3E72">
        <w:t xml:space="preserve"> Istotnym zadaniem jest również doskonalenie gospodarki odpadami oraz transformacja tej gospodarki do obiegu zamkniętego.</w:t>
      </w:r>
      <w:r w:rsidR="00AF1F3E">
        <w:t xml:space="preserve"> </w:t>
      </w:r>
      <w:r w:rsidR="00F50E46">
        <w:t xml:space="preserve">Ogromne znaczenie ma </w:t>
      </w:r>
      <w:r w:rsidR="00AF1F3E">
        <w:t>również dbanie o walory</w:t>
      </w:r>
      <w:r w:rsidR="00AF1F3E" w:rsidRPr="00AF1F3E">
        <w:t xml:space="preserve"> </w:t>
      </w:r>
      <w:r w:rsidR="00AF1F3E">
        <w:t>przyrodnicze i kulturowe</w:t>
      </w:r>
      <w:r w:rsidR="00AF1F3E" w:rsidRPr="00AF1F3E">
        <w:t xml:space="preserve"> obszaru HOF poprzez prowadzenie odpowiedniej polityki przestrzennej czy chociażby </w:t>
      </w:r>
      <w:r w:rsidR="00AF1F3E">
        <w:t>realizację</w:t>
      </w:r>
      <w:r w:rsidR="00AF1F3E" w:rsidRPr="00AF1F3E">
        <w:t xml:space="preserve"> projektów naukowo-badawczych i edukacyjnych, których rezultaty można wykorzystywać również w rozwoju sektora turystycznego.</w:t>
      </w:r>
    </w:p>
    <w:p w:rsidR="00660F7B" w:rsidRDefault="00EF3E72" w:rsidP="00004DDF">
      <w:r>
        <w:t xml:space="preserve">Krokiem, który jest niezbędny i jednocześnie dopełni efekt dbania o środowisko jest </w:t>
      </w:r>
      <w:r w:rsidR="00004DDF">
        <w:t>kształtowanie świad</w:t>
      </w:r>
      <w:r>
        <w:t>omości ekologicznej mieszkańców poprzez p</w:t>
      </w:r>
      <w:r w:rsidR="00660F7B">
        <w:t>rowadzenie</w:t>
      </w:r>
      <w:r>
        <w:t xml:space="preserve"> szeregu</w:t>
      </w:r>
      <w:r w:rsidR="00660F7B">
        <w:t xml:space="preserve"> działań informacyjnych promujących rozwiązania proekologiczne - prowadzenie polityki informacyjnej ukierunkowanej na </w:t>
      </w:r>
      <w:r w:rsidR="00DB1ADA">
        <w:t>dotarcie do </w:t>
      </w:r>
      <w:r>
        <w:t>poszczególnych grup, a także prowadzenie edukacji i uświadamiania wagi problemu oraz najnowocześniejszych i najskuteczniejszych metod przeciwdziałania zanieczyszczeniom zarówno w gospodarstwie domowym jak i w przedsiębiorstwie.</w:t>
      </w:r>
    </w:p>
    <w:p w:rsidR="00B76C4B" w:rsidRDefault="00B76C4B" w:rsidP="00335AE0">
      <w:r>
        <w:rPr>
          <w:noProof/>
          <w:lang w:eastAsia="pl-PL"/>
        </w:rPr>
        <w:lastRenderedPageBreak/>
        <mc:AlternateContent>
          <mc:Choice Requires="wps">
            <w:drawing>
              <wp:anchor distT="0" distB="0" distL="114300" distR="114300" simplePos="0" relativeHeight="251720704" behindDoc="0" locked="0" layoutInCell="1" allowOverlap="1" wp14:anchorId="179B097C" wp14:editId="31C796E4">
                <wp:simplePos x="0" y="0"/>
                <wp:positionH relativeFrom="column">
                  <wp:posOffset>4131310</wp:posOffset>
                </wp:positionH>
                <wp:positionV relativeFrom="paragraph">
                  <wp:posOffset>596265</wp:posOffset>
                </wp:positionV>
                <wp:extent cx="1108075" cy="297815"/>
                <wp:effectExtent l="0" t="0" r="15875" b="15240"/>
                <wp:wrapNone/>
                <wp:docPr id="34" name="Prostokąt zaokrąglony 34"/>
                <wp:cNvGraphicFramePr/>
                <a:graphic xmlns:a="http://schemas.openxmlformats.org/drawingml/2006/main">
                  <a:graphicData uri="http://schemas.microsoft.com/office/word/2010/wordprocessingShape">
                    <wps:wsp>
                      <wps:cNvSpPr/>
                      <wps:spPr>
                        <a:xfrm>
                          <a:off x="0" y="0"/>
                          <a:ext cx="1108075" cy="2978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441D5" w:rsidRPr="004364AE" w:rsidRDefault="002441D5" w:rsidP="00B76C4B">
                            <w:pPr>
                              <w:spacing w:before="0" w:after="0" w:line="240" w:lineRule="auto"/>
                              <w:ind w:firstLine="0"/>
                              <w:jc w:val="left"/>
                              <w:rPr>
                                <w:color w:val="000000" w:themeColor="text1"/>
                                <w:sz w:val="18"/>
                                <w:szCs w:val="18"/>
                              </w:rPr>
                            </w:pPr>
                            <w:r>
                              <w:rPr>
                                <w:color w:val="000000" w:themeColor="text1"/>
                                <w:sz w:val="18"/>
                                <w:szCs w:val="18"/>
                              </w:rPr>
                              <w:t>Cel strategiczny 2</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oundrect id="Prostokąt zaokrąglony 34" o:spid="_x0000_s1048" style="position:absolute;left:0;text-align:left;margin-left:325.3pt;margin-top:46.95pt;width:87.25pt;height:23.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" fillcolor="#31b6fd [3204]" strokecolor="#016194 [1604]" strokeweight="2pt">
                <v:textbox style="mso-fit-shape-to-text:t" inset=",0,,0">
                  <w:txbxContent>
                    <w:p w:rsidR="002441D5" w:rsidRPr="004364AE" w:rsidRDefault="002441D5" w:rsidP="00B76C4B">
                      <w:pPr>
                        <w:spacing w:before="0" w:after="0" w:line="240" w:lineRule="auto"/>
                        <w:ind w:firstLine="0"/>
                        <w:jc w:val="left"/>
                        <w:rPr>
                          <w:color w:val="000000" w:themeColor="text1"/>
                          <w:sz w:val="18"/>
                          <w:szCs w:val="18"/>
                        </w:rPr>
                      </w:pPr>
                      <w:r>
                        <w:rPr>
                          <w:color w:val="000000" w:themeColor="text1"/>
                          <w:sz w:val="18"/>
                          <w:szCs w:val="18"/>
                        </w:rPr>
                        <w:t>Cel strategiczny 2</w:t>
                      </w:r>
                    </w:p>
                  </w:txbxContent>
                </v:textbox>
              </v:roundrect>
            </w:pict>
          </mc:Fallback>
        </mc:AlternateContent>
      </w:r>
      <w:r>
        <w:rPr>
          <w:noProof/>
          <w:lang w:eastAsia="pl-PL"/>
        </w:rPr>
        <w:drawing>
          <wp:inline distT="0" distB="0" distL="0" distR="0" wp14:anchorId="50F46F2F" wp14:editId="4C5A4D6B">
            <wp:extent cx="5486400" cy="4381500"/>
            <wp:effectExtent l="0" t="0" r="0" b="19050"/>
            <wp:docPr id="510" name="Diagram 5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335AE0" w:rsidRDefault="00335AE0" w:rsidP="00335AE0">
      <w:r>
        <w:t xml:space="preserve">Poniżej zestawienie możliwych kierunków działań realizujących założenia celu strategicznego </w:t>
      </w:r>
      <w:r w:rsidRPr="00335AE0">
        <w:rPr>
          <w:color w:val="000000" w:themeColor="text1"/>
        </w:rPr>
        <w:t>2.</w:t>
      </w:r>
      <w:r w:rsidRPr="00335AE0">
        <w:rPr>
          <w:color w:val="000000" w:themeColor="text1"/>
        </w:rPr>
        <w:tab/>
      </w:r>
      <w:r>
        <w:rPr>
          <w:color w:val="000000" w:themeColor="text1"/>
        </w:rPr>
        <w:t xml:space="preserve"> </w:t>
      </w:r>
      <w:r w:rsidRPr="00335AE0">
        <w:rPr>
          <w:color w:val="000000" w:themeColor="text1"/>
        </w:rPr>
        <w:t xml:space="preserve">CZYSTE ŚRODOWISKO I ADAPTACJA DO ZMIAN KLIMATU. </w:t>
      </w:r>
      <w:r w:rsidRPr="003E1FF5">
        <w:t>Zbiór przedstawionych kierunków interwencji nie stanowi katalogu zamkniętego.</w:t>
      </w:r>
    </w:p>
    <w:p w:rsidR="00716E17" w:rsidRDefault="00716E17" w:rsidP="00335AE0"/>
    <w:p w:rsidR="00716E17" w:rsidRDefault="00716E17" w:rsidP="00335AE0"/>
    <w:p w:rsidR="0098324A" w:rsidRPr="00B21A73" w:rsidRDefault="0098324A" w:rsidP="0098324A">
      <w:pPr>
        <w:rPr>
          <w:b/>
        </w:rPr>
      </w:pPr>
      <w:r w:rsidRPr="00B21A73">
        <w:rPr>
          <w:b/>
        </w:rPr>
        <w:lastRenderedPageBreak/>
        <w:t>Cel operacyjny 2.1 Racjonalne gospodarowanie zasobami wodnymi</w:t>
      </w:r>
    </w:p>
    <w:tbl>
      <w:tblPr>
        <w:tblStyle w:val="Jasnasiatkaakcent21"/>
        <w:tblW w:w="0" w:type="auto"/>
        <w:tblLook w:val="04A0" w:firstRow="1" w:lastRow="0" w:firstColumn="1" w:lastColumn="0" w:noHBand="0" w:noVBand="1"/>
      </w:tblPr>
      <w:tblGrid>
        <w:gridCol w:w="2802"/>
        <w:gridCol w:w="4536"/>
        <w:gridCol w:w="2835"/>
        <w:gridCol w:w="2409"/>
        <w:gridCol w:w="1560"/>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560"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6C2251" w:rsidRDefault="0098324A" w:rsidP="0098324A">
            <w:pPr>
              <w:spacing w:before="0"/>
              <w:ind w:firstLine="0"/>
              <w:jc w:val="left"/>
              <w:rPr>
                <w:rFonts w:asciiTheme="minorHAnsi" w:hAnsiTheme="minorHAnsi" w:cstheme="minorHAnsi"/>
                <w:b w:val="0"/>
                <w:sz w:val="20"/>
                <w:szCs w:val="20"/>
              </w:rPr>
            </w:pPr>
            <w:r w:rsidRPr="006C2251">
              <w:rPr>
                <w:rFonts w:asciiTheme="minorHAnsi" w:hAnsiTheme="minorHAnsi" w:cstheme="minorHAnsi"/>
                <w:b w:val="0"/>
                <w:sz w:val="20"/>
                <w:szCs w:val="20"/>
              </w:rPr>
              <w:t>Ochrona zasobów wód powierzchniowej przed zanieczyszczeniami pochodzącymi z różnych źródeł</w:t>
            </w:r>
          </w:p>
        </w:tc>
        <w:tc>
          <w:tcPr>
            <w:tcW w:w="4536" w:type="dxa"/>
            <w:vAlign w:val="center"/>
          </w:tcPr>
          <w:p w:rsidR="0098324A" w:rsidRPr="006C2251" w:rsidRDefault="0098324A" w:rsidP="0066644E">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6C2251">
              <w:rPr>
                <w:rFonts w:cstheme="minorHAnsi"/>
                <w:color w:val="000000"/>
                <w:sz w:val="20"/>
                <w:szCs w:val="20"/>
              </w:rPr>
              <w:t>Projekty w zakresie rozwoju</w:t>
            </w:r>
            <w:r w:rsidR="0066644E">
              <w:rPr>
                <w:rFonts w:cstheme="minorHAnsi"/>
                <w:color w:val="000000"/>
                <w:sz w:val="20"/>
                <w:szCs w:val="20"/>
              </w:rPr>
              <w:t xml:space="preserve"> infrastruktury wodno-ściekowej</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7000">
              <w:rPr>
                <w:sz w:val="20"/>
                <w:szCs w:val="18"/>
              </w:rPr>
              <w:t>Gminny Zakład Usług Komunalnych (GZUK), Przedsięb</w:t>
            </w:r>
            <w:r>
              <w:rPr>
                <w:sz w:val="20"/>
                <w:szCs w:val="18"/>
              </w:rPr>
              <w:t>iorstwo Gospodarki Komunalnej i </w:t>
            </w:r>
            <w:r w:rsidRPr="00717000">
              <w:rPr>
                <w:sz w:val="20"/>
                <w:szCs w:val="18"/>
              </w:rPr>
              <w:t>Mieszkaniowej (</w:t>
            </w:r>
            <w:proofErr w:type="spellStart"/>
            <w:r w:rsidRPr="00717000">
              <w:rPr>
                <w:sz w:val="20"/>
                <w:szCs w:val="18"/>
              </w:rPr>
              <w:t>PGKiM</w:t>
            </w:r>
            <w:proofErr w:type="spellEnd"/>
            <w:r w:rsidRPr="00717000">
              <w:rPr>
                <w:sz w:val="20"/>
                <w:szCs w:val="18"/>
              </w:rPr>
              <w:t>)</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E50733">
              <w:rPr>
                <w:rFonts w:ascii="Calibri" w:hAnsi="Calibri" w:cs="Calibri"/>
                <w:color w:val="000000"/>
                <w:sz w:val="20"/>
                <w:szCs w:val="20"/>
              </w:rPr>
              <w:t>Gmina Miejska Hrubieszów, Gmina Hrubieszów</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6C2251"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color w:val="000000"/>
                <w:sz w:val="20"/>
                <w:szCs w:val="20"/>
              </w:rPr>
            </w:pPr>
            <w:r w:rsidRPr="006C2251">
              <w:rPr>
                <w:rFonts w:cstheme="minorHAnsi"/>
                <w:color w:val="000000"/>
                <w:sz w:val="20"/>
                <w:szCs w:val="20"/>
              </w:rPr>
              <w:t>Projekty w zakresie budowy przydomowych oczyszczalni ścieków na obszarach, gdzie kanalizacja sieciowa nie jest uzasadniona ekonomic</w:t>
            </w:r>
            <w:r>
              <w:rPr>
                <w:rFonts w:cstheme="minorHAnsi"/>
                <w:color w:val="000000"/>
                <w:sz w:val="20"/>
                <w:szCs w:val="20"/>
              </w:rPr>
              <w:t>znie</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E50733">
              <w:rPr>
                <w:rFonts w:ascii="Calibri" w:hAnsi="Calibri" w:cs="Calibri"/>
                <w:color w:val="000000"/>
                <w:sz w:val="20"/>
                <w:szCs w:val="20"/>
              </w:rPr>
              <w:t>Gmina Miejska Hrubieszów, Gmina Hrubieszów</w:t>
            </w:r>
          </w:p>
        </w:tc>
        <w:tc>
          <w:tcPr>
            <w:tcW w:w="2409" w:type="dxa"/>
            <w:vAlign w:val="center"/>
          </w:tcPr>
          <w:p w:rsidR="0098324A" w:rsidRPr="00716E17"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16E17">
              <w:rPr>
                <w:sz w:val="20"/>
                <w:szCs w:val="20"/>
              </w:rPr>
              <w:t>Mieszkańcy – osoby fizyczne, Przedsiębiorstwo zajmujące się zagospodarowaniem odpadów w gminach</w:t>
            </w:r>
            <w:r w:rsidR="0066644E" w:rsidRPr="00716E17">
              <w:rPr>
                <w:sz w:val="20"/>
                <w:szCs w:val="20"/>
              </w:rPr>
              <w:t>, zarządcy budynków mieszkalnych wielorodzinnych</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6C2251"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6C2251">
              <w:rPr>
                <w:rFonts w:cstheme="minorHAnsi"/>
                <w:color w:val="000000"/>
                <w:sz w:val="20"/>
                <w:szCs w:val="20"/>
              </w:rPr>
              <w:t>Projekty edukacyjne w zakresie stosowania dobrych praktyk rolniczych ograniczających zanieczyszczenie wód pow</w:t>
            </w:r>
            <w:r>
              <w:rPr>
                <w:rFonts w:cstheme="minorHAnsi"/>
                <w:color w:val="000000"/>
                <w:sz w:val="20"/>
                <w:szCs w:val="20"/>
              </w:rPr>
              <w:t>ierzchniowych związkami azotu i </w:t>
            </w:r>
            <w:r w:rsidRPr="006C2251">
              <w:rPr>
                <w:rFonts w:cstheme="minorHAnsi"/>
                <w:color w:val="000000"/>
                <w:sz w:val="20"/>
                <w:szCs w:val="20"/>
              </w:rPr>
              <w:t>fosforu oraz pestycydami</w:t>
            </w:r>
          </w:p>
        </w:tc>
        <w:tc>
          <w:tcPr>
            <w:tcW w:w="2835" w:type="dxa"/>
            <w:vAlign w:val="center"/>
          </w:tcPr>
          <w:p w:rsidR="0098324A" w:rsidRPr="00AE7837"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AE7837">
              <w:rPr>
                <w:rFonts w:ascii="Calibri" w:hAnsi="Calibri" w:cs="Calibri"/>
                <w:color w:val="000000"/>
                <w:sz w:val="20"/>
                <w:szCs w:val="20"/>
              </w:rPr>
              <w:t>Gmina Miejska Hrubieszów, Gmina Hrubieszów</w:t>
            </w:r>
          </w:p>
        </w:tc>
        <w:tc>
          <w:tcPr>
            <w:tcW w:w="2409" w:type="dxa"/>
            <w:vAlign w:val="center"/>
          </w:tcPr>
          <w:p w:rsidR="0098324A" w:rsidRPr="00716E17"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716E17">
              <w:rPr>
                <w:sz w:val="20"/>
                <w:szCs w:val="20"/>
              </w:rPr>
              <w:t>Mieszkańcy – osoby fizyczne, organizacje pozarządowe</w:t>
            </w:r>
            <w:r w:rsidR="0066644E" w:rsidRPr="00716E17">
              <w:rPr>
                <w:sz w:val="20"/>
                <w:szCs w:val="20"/>
              </w:rPr>
              <w:t>, organizacje rolnicze, szkoły</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6C2251" w:rsidRDefault="0098324A" w:rsidP="0098324A">
            <w:pPr>
              <w:spacing w:before="0"/>
              <w:ind w:firstLine="0"/>
              <w:jc w:val="left"/>
              <w:rPr>
                <w:rFonts w:asciiTheme="minorHAnsi" w:hAnsiTheme="minorHAnsi" w:cstheme="minorHAnsi"/>
                <w:b w:val="0"/>
                <w:sz w:val="20"/>
                <w:szCs w:val="20"/>
              </w:rPr>
            </w:pPr>
            <w:r w:rsidRPr="006C2251">
              <w:rPr>
                <w:rFonts w:asciiTheme="minorHAnsi" w:hAnsiTheme="minorHAnsi" w:cstheme="minorHAnsi"/>
                <w:b w:val="0"/>
                <w:sz w:val="20"/>
                <w:szCs w:val="20"/>
              </w:rPr>
              <w:t>Kompleksowe retencjonowanie wody w celu przeciwdziałania skutkom zmiany klimatu</w:t>
            </w: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color w:val="000000"/>
                <w:sz w:val="20"/>
                <w:szCs w:val="20"/>
              </w:rPr>
            </w:pPr>
            <w:r w:rsidRPr="006C2251">
              <w:rPr>
                <w:rFonts w:cstheme="minorHAnsi"/>
                <w:color w:val="000000"/>
                <w:sz w:val="20"/>
                <w:szCs w:val="20"/>
              </w:rPr>
              <w:t>Projekty i przedsięwzięcia w zakresie retencj</w:t>
            </w:r>
            <w:r>
              <w:rPr>
                <w:rFonts w:cstheme="minorHAnsi"/>
                <w:color w:val="000000"/>
                <w:sz w:val="20"/>
                <w:szCs w:val="20"/>
              </w:rPr>
              <w:t>onowania wody „u źródła” (tj. w </w:t>
            </w:r>
            <w:r w:rsidRPr="006C2251">
              <w:rPr>
                <w:rFonts w:cstheme="minorHAnsi"/>
                <w:color w:val="000000"/>
                <w:sz w:val="20"/>
                <w:szCs w:val="20"/>
              </w:rPr>
              <w:t>miejscu opa</w:t>
            </w:r>
            <w:r>
              <w:rPr>
                <w:rFonts w:cstheme="minorHAnsi"/>
                <w:color w:val="000000"/>
                <w:sz w:val="20"/>
                <w:szCs w:val="20"/>
              </w:rPr>
              <w:t>du), w tym projekty w </w:t>
            </w:r>
            <w:r w:rsidRPr="006C2251">
              <w:rPr>
                <w:rFonts w:cstheme="minorHAnsi"/>
                <w:color w:val="000000"/>
                <w:sz w:val="20"/>
                <w:szCs w:val="20"/>
              </w:rPr>
              <w:t>zakresie modernizacji systemów odwodnieniowych, rozwoju tzw. infrastruktury niebiesko-zielonej</w:t>
            </w:r>
          </w:p>
        </w:tc>
        <w:tc>
          <w:tcPr>
            <w:tcW w:w="2835" w:type="dxa"/>
            <w:vAlign w:val="center"/>
          </w:tcPr>
          <w:p w:rsidR="0098324A" w:rsidRPr="00AE7837"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AE7837">
              <w:rPr>
                <w:rFonts w:ascii="Calibri" w:hAnsi="Calibri" w:cs="Calibri"/>
                <w:color w:val="000000"/>
                <w:sz w:val="20"/>
                <w:szCs w:val="20"/>
              </w:rPr>
              <w:t>Gmina Miejska Hrubieszów, Gmina Hrubieszów</w:t>
            </w:r>
          </w:p>
        </w:tc>
        <w:tc>
          <w:tcPr>
            <w:tcW w:w="2409" w:type="dxa"/>
            <w:vAlign w:val="center"/>
          </w:tcPr>
          <w:p w:rsidR="0098324A" w:rsidRPr="00AE7837"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AE7837">
              <w:rPr>
                <w:sz w:val="20"/>
                <w:szCs w:val="20"/>
              </w:rPr>
              <w:t xml:space="preserve">GZUK, </w:t>
            </w:r>
            <w:proofErr w:type="spellStart"/>
            <w:r w:rsidRPr="00AE7837">
              <w:rPr>
                <w:sz w:val="20"/>
                <w:szCs w:val="20"/>
              </w:rPr>
              <w:t>PGKiM</w:t>
            </w:r>
            <w:proofErr w:type="spellEnd"/>
            <w:r w:rsidRPr="00AE7837">
              <w:rPr>
                <w:sz w:val="20"/>
                <w:szCs w:val="20"/>
              </w:rPr>
              <w:t>, mieszkańcy – osoby fizyczne</w:t>
            </w:r>
            <w:r>
              <w:rPr>
                <w:sz w:val="20"/>
                <w:szCs w:val="20"/>
              </w:rPr>
              <w:t xml:space="preserve">, </w:t>
            </w:r>
            <w:r>
              <w:rPr>
                <w:bCs/>
                <w:sz w:val="18"/>
                <w:szCs w:val="18"/>
              </w:rPr>
              <w:t>z</w:t>
            </w:r>
            <w:r w:rsidRPr="009253DE">
              <w:rPr>
                <w:bCs/>
                <w:sz w:val="18"/>
                <w:szCs w:val="18"/>
              </w:rPr>
              <w:t>arządcy dróg</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6C2251"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6C2251">
              <w:rPr>
                <w:rFonts w:cstheme="minorHAnsi"/>
                <w:color w:val="000000"/>
                <w:sz w:val="20"/>
                <w:szCs w:val="20"/>
              </w:rPr>
              <w:t>Projekty i przedsięwzięcia w zakresie retencj</w:t>
            </w:r>
            <w:r>
              <w:rPr>
                <w:rFonts w:cstheme="minorHAnsi"/>
                <w:color w:val="000000"/>
                <w:sz w:val="20"/>
                <w:szCs w:val="20"/>
              </w:rPr>
              <w:t>onowania wody „na ścieżce” (tj. </w:t>
            </w:r>
            <w:r w:rsidRPr="006C2251">
              <w:rPr>
                <w:rFonts w:cstheme="minorHAnsi"/>
                <w:color w:val="000000"/>
                <w:sz w:val="20"/>
                <w:szCs w:val="20"/>
              </w:rPr>
              <w:t>w ramach małych cieków wodnych oraz systemów melioracyjnych)</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Pr="00AE7837"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678C2">
              <w:rPr>
                <w:sz w:val="20"/>
                <w:szCs w:val="20"/>
              </w:rPr>
              <w:t>PGW WP</w:t>
            </w:r>
            <w:r>
              <w:rPr>
                <w:sz w:val="20"/>
                <w:szCs w:val="20"/>
              </w:rPr>
              <w:t>, s</w:t>
            </w:r>
            <w:r w:rsidRPr="00AE7837">
              <w:rPr>
                <w:sz w:val="20"/>
                <w:szCs w:val="20"/>
              </w:rPr>
              <w:t>półki wodne, mieszkańcy – osoby fizyczne</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6C2251"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color w:val="000000"/>
                <w:sz w:val="20"/>
                <w:szCs w:val="20"/>
              </w:rPr>
            </w:pPr>
            <w:r w:rsidRPr="006C2251">
              <w:rPr>
                <w:rFonts w:cstheme="minorHAnsi"/>
                <w:color w:val="000000"/>
                <w:sz w:val="20"/>
                <w:szCs w:val="20"/>
              </w:rPr>
              <w:t>Projekty i przedsięwzięcia w zakresie retencjonowania</w:t>
            </w:r>
            <w:r>
              <w:rPr>
                <w:rFonts w:cstheme="minorHAnsi"/>
                <w:color w:val="000000"/>
                <w:sz w:val="20"/>
                <w:szCs w:val="20"/>
              </w:rPr>
              <w:t xml:space="preserve"> wody „w odbiorniku”, w tym projekty w </w:t>
            </w:r>
            <w:r w:rsidRPr="006C2251">
              <w:rPr>
                <w:rFonts w:cstheme="minorHAnsi"/>
                <w:color w:val="000000"/>
                <w:sz w:val="20"/>
                <w:szCs w:val="20"/>
              </w:rPr>
              <w:t>zakresie budowy małych zbiorników retencyjnych na ciekach wodnych</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3678C2">
              <w:rPr>
                <w:sz w:val="20"/>
                <w:szCs w:val="20"/>
              </w:rPr>
              <w:t>PGW WP</w:t>
            </w:r>
            <w:r>
              <w:rPr>
                <w:sz w:val="20"/>
                <w:szCs w:val="20"/>
              </w:rPr>
              <w:t>, s</w:t>
            </w:r>
            <w:r w:rsidRPr="00AE7837">
              <w:rPr>
                <w:sz w:val="20"/>
                <w:szCs w:val="20"/>
              </w:rPr>
              <w:t>półki wodne, mieszkańcy – osoby fizyczne</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6C2251"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6C2251">
              <w:rPr>
                <w:rFonts w:cstheme="minorHAnsi"/>
                <w:color w:val="000000"/>
                <w:sz w:val="20"/>
                <w:szCs w:val="20"/>
              </w:rPr>
              <w:t xml:space="preserve">Opracowanie koncepcji programowo-przestrzennej budowy </w:t>
            </w:r>
            <w:r w:rsidR="00FA3E3C" w:rsidRPr="00FA3E3C">
              <w:rPr>
                <w:rFonts w:cstheme="minorHAnsi"/>
                <w:color w:val="000000"/>
                <w:sz w:val="20"/>
                <w:szCs w:val="20"/>
              </w:rPr>
              <w:t>zbiornika retencyjnego –</w:t>
            </w:r>
            <w:r w:rsidR="00FA3E3C">
              <w:rPr>
                <w:rFonts w:cstheme="minorHAnsi"/>
                <w:color w:val="000000"/>
                <w:sz w:val="20"/>
                <w:szCs w:val="20"/>
              </w:rPr>
              <w:t xml:space="preserve"> </w:t>
            </w:r>
            <w:r w:rsidR="00FA3E3C" w:rsidRPr="00FA3E3C">
              <w:rPr>
                <w:rFonts w:cstheme="minorHAnsi"/>
                <w:color w:val="000000"/>
                <w:sz w:val="20"/>
                <w:szCs w:val="20"/>
              </w:rPr>
              <w:t>rekreacyjnego na działce nr 2294, obręb Podgórze w dolinie rzeki Huczwy w m. Hrubieszów</w:t>
            </w:r>
          </w:p>
        </w:tc>
        <w:tc>
          <w:tcPr>
            <w:tcW w:w="2835" w:type="dxa"/>
            <w:vAlign w:val="center"/>
          </w:tcPr>
          <w:p w:rsidR="0098324A" w:rsidRDefault="00A21F80" w:rsidP="00A21F80">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rFonts w:ascii="Calibri" w:hAnsi="Calibri" w:cs="Calibri"/>
                <w:color w:val="000000"/>
                <w:sz w:val="20"/>
                <w:szCs w:val="20"/>
              </w:rPr>
              <w:t>Gmina Miejska Hrubieszów</w:t>
            </w:r>
          </w:p>
        </w:tc>
        <w:tc>
          <w:tcPr>
            <w:tcW w:w="2409" w:type="dxa"/>
            <w:vAlign w:val="center"/>
          </w:tcPr>
          <w:p w:rsidR="0098324A" w:rsidRPr="003678C2"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678C2">
              <w:rPr>
                <w:sz w:val="20"/>
                <w:szCs w:val="20"/>
              </w:rPr>
              <w:t>PGW WP</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6C2251"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FA3E3C"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color w:val="000000"/>
                <w:sz w:val="20"/>
                <w:szCs w:val="20"/>
              </w:rPr>
            </w:pPr>
            <w:r w:rsidRPr="00FA3E3C">
              <w:rPr>
                <w:rFonts w:cstheme="minorHAnsi"/>
                <w:color w:val="000000"/>
                <w:sz w:val="20"/>
                <w:szCs w:val="20"/>
              </w:rPr>
              <w:t>Budowa zbiornika retencyjnego –</w:t>
            </w:r>
            <w:r>
              <w:rPr>
                <w:rFonts w:cstheme="minorHAnsi"/>
                <w:color w:val="000000"/>
                <w:sz w:val="20"/>
                <w:szCs w:val="20"/>
              </w:rPr>
              <w:t xml:space="preserve"> </w:t>
            </w:r>
            <w:r w:rsidRPr="00FA3E3C">
              <w:rPr>
                <w:rFonts w:cstheme="minorHAnsi"/>
                <w:color w:val="000000"/>
                <w:sz w:val="20"/>
                <w:szCs w:val="20"/>
              </w:rPr>
              <w:t>rekreacyjnego na działce nr 2294, obręb Podgórze w dolinie rzeki Huczwy w m. Hrubieszów</w:t>
            </w:r>
          </w:p>
        </w:tc>
        <w:tc>
          <w:tcPr>
            <w:tcW w:w="2835" w:type="dxa"/>
            <w:vAlign w:val="center"/>
          </w:tcPr>
          <w:p w:rsidR="0098324A" w:rsidRDefault="0098324A" w:rsidP="00A21F80">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w:t>
            </w:r>
          </w:p>
        </w:tc>
        <w:tc>
          <w:tcPr>
            <w:tcW w:w="2409"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3678C2">
              <w:rPr>
                <w:sz w:val="20"/>
                <w:szCs w:val="20"/>
              </w:rPr>
              <w:t>PGW WP</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6C2251" w:rsidRDefault="0098324A" w:rsidP="0098324A">
            <w:pPr>
              <w:spacing w:before="0"/>
              <w:ind w:firstLine="0"/>
              <w:jc w:val="left"/>
              <w:rPr>
                <w:rFonts w:asciiTheme="minorHAnsi" w:hAnsiTheme="minorHAnsi" w:cstheme="minorHAnsi"/>
                <w:b w:val="0"/>
                <w:sz w:val="20"/>
                <w:szCs w:val="20"/>
              </w:rPr>
            </w:pPr>
            <w:r w:rsidRPr="006C2251">
              <w:rPr>
                <w:rFonts w:asciiTheme="minorHAnsi" w:hAnsiTheme="minorHAnsi" w:cstheme="minorHAnsi"/>
                <w:b w:val="0"/>
                <w:sz w:val="20"/>
                <w:szCs w:val="20"/>
              </w:rPr>
              <w:t>Holistyczne zarządzanie gospodarką wodną oraz działaniami adaptacyjnymi do zmian klimatu</w:t>
            </w: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6C2251">
              <w:rPr>
                <w:rFonts w:cstheme="minorHAnsi"/>
                <w:color w:val="000000"/>
                <w:sz w:val="20"/>
                <w:szCs w:val="20"/>
              </w:rPr>
              <w:t>Opracowanie strategii zarządzania gospodarką wodną na obszarze HOF zintegrowanej z lokalnymi dokumentami planowania przestrzennego</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3678C2">
              <w:rPr>
                <w:sz w:val="20"/>
                <w:szCs w:val="20"/>
              </w:rPr>
              <w:t>PGW WP</w:t>
            </w:r>
            <w:r>
              <w:rPr>
                <w:sz w:val="20"/>
                <w:szCs w:val="20"/>
              </w:rPr>
              <w:t>, s</w:t>
            </w:r>
            <w:r w:rsidRPr="00AE7837">
              <w:rPr>
                <w:sz w:val="20"/>
                <w:szCs w:val="20"/>
              </w:rPr>
              <w:t>półki wodne</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98324A" w:rsidRPr="006C2251" w:rsidRDefault="0098324A" w:rsidP="0098324A">
            <w:pPr>
              <w:spacing w:before="0"/>
              <w:ind w:firstLine="0"/>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color w:val="000000"/>
                <w:sz w:val="20"/>
                <w:szCs w:val="20"/>
              </w:rPr>
            </w:pPr>
            <w:r w:rsidRPr="006C2251">
              <w:rPr>
                <w:rFonts w:cstheme="minorHAnsi"/>
                <w:color w:val="000000"/>
                <w:sz w:val="20"/>
                <w:szCs w:val="20"/>
              </w:rPr>
              <w:t>Opracowanie i wdrażanie po</w:t>
            </w:r>
            <w:r>
              <w:rPr>
                <w:rFonts w:cstheme="minorHAnsi"/>
                <w:color w:val="000000"/>
                <w:sz w:val="20"/>
                <w:szCs w:val="20"/>
              </w:rPr>
              <w:t>nadlokalnego planu adaptacji do </w:t>
            </w:r>
            <w:r w:rsidRPr="006C2251">
              <w:rPr>
                <w:rFonts w:cstheme="minorHAnsi"/>
                <w:color w:val="000000"/>
                <w:sz w:val="20"/>
                <w:szCs w:val="20"/>
              </w:rPr>
              <w:t>zmian klimatu</w:t>
            </w:r>
          </w:p>
        </w:tc>
        <w:tc>
          <w:tcPr>
            <w:tcW w:w="2835" w:type="dxa"/>
            <w:vAlign w:val="center"/>
          </w:tcPr>
          <w:p w:rsidR="0098324A" w:rsidRPr="00BB0ECD"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color w:val="000000"/>
                <w:sz w:val="20"/>
                <w:szCs w:val="20"/>
              </w:rPr>
            </w:pPr>
            <w:r w:rsidRPr="00BB0ECD">
              <w:rPr>
                <w:rFonts w:cstheme="minorHAnsi"/>
                <w:color w:val="000000"/>
                <w:sz w:val="20"/>
                <w:szCs w:val="20"/>
              </w:rPr>
              <w:t>Gmina Miejska Hrubieszów, Gmina Hrubieszów</w:t>
            </w:r>
          </w:p>
        </w:tc>
        <w:tc>
          <w:tcPr>
            <w:tcW w:w="2409" w:type="dxa"/>
            <w:vAlign w:val="center"/>
          </w:tcPr>
          <w:p w:rsidR="0098324A" w:rsidRPr="00BB0ECD"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color w:val="000000"/>
                <w:sz w:val="20"/>
                <w:szCs w:val="20"/>
              </w:rPr>
            </w:pPr>
            <w:r w:rsidRPr="00BB0ECD">
              <w:rPr>
                <w:rFonts w:cstheme="minorHAnsi"/>
                <w:color w:val="000000"/>
                <w:sz w:val="20"/>
                <w:szCs w:val="20"/>
              </w:rPr>
              <w:t>Regionalna Dyrekcja Ochrony Środowiska,</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98324A" w:rsidRPr="006C2251" w:rsidRDefault="0098324A" w:rsidP="0098324A">
            <w:pPr>
              <w:spacing w:before="0"/>
              <w:ind w:firstLine="0"/>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6C2251">
              <w:rPr>
                <w:rFonts w:cstheme="minorHAnsi"/>
                <w:color w:val="000000"/>
                <w:sz w:val="20"/>
                <w:szCs w:val="20"/>
              </w:rPr>
              <w:t>Opracowanie i wdrożenie systemu monitorowania gospodarki wodnej na obszarze HOF (cyfrowe odczyty poboru wody, zarządzanie ryzykiem nawałnic, podtopień i powodzi, kalkulacja śladu wodnego itp.)</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Pr="003678C2"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3678C2">
              <w:rPr>
                <w:sz w:val="20"/>
                <w:szCs w:val="20"/>
              </w:rPr>
              <w:t xml:space="preserve">PGW WP, spółki wodne, </w:t>
            </w:r>
            <w:r w:rsidRPr="003678C2">
              <w:rPr>
                <w:rFonts w:cstheme="minorHAnsi"/>
                <w:sz w:val="20"/>
                <w:szCs w:val="20"/>
              </w:rPr>
              <w:t xml:space="preserve">Miejski Zespół Zarządzania Kryzysowego (MZZK), </w:t>
            </w:r>
            <w:r w:rsidRPr="003678C2">
              <w:rPr>
                <w:sz w:val="20"/>
                <w:szCs w:val="20"/>
              </w:rPr>
              <w:t>Gminny Zespół Zarządzania Kryzysowego (GZZK) oraz Gminne Centrum Zarządzania Kryzysowego (GCZK)</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98324A" w:rsidRPr="006C2251" w:rsidRDefault="0098324A" w:rsidP="0098324A">
            <w:pPr>
              <w:spacing w:before="0"/>
              <w:ind w:firstLine="0"/>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color w:val="000000"/>
                <w:sz w:val="20"/>
                <w:szCs w:val="20"/>
              </w:rPr>
            </w:pPr>
            <w:r>
              <w:rPr>
                <w:rFonts w:cstheme="minorHAnsi"/>
                <w:color w:val="000000"/>
                <w:sz w:val="20"/>
                <w:szCs w:val="20"/>
              </w:rPr>
              <w:t>Wypracowania prawnych i </w:t>
            </w:r>
            <w:r w:rsidRPr="006C2251">
              <w:rPr>
                <w:rFonts w:cstheme="minorHAnsi"/>
                <w:color w:val="000000"/>
                <w:sz w:val="20"/>
                <w:szCs w:val="20"/>
              </w:rPr>
              <w:t xml:space="preserve">finansowych mechanizmów mobilizujących </w:t>
            </w:r>
            <w:r>
              <w:rPr>
                <w:rFonts w:cstheme="minorHAnsi"/>
                <w:color w:val="000000"/>
                <w:sz w:val="20"/>
                <w:szCs w:val="20"/>
              </w:rPr>
              <w:t>mieszkańców do odpowiedzialnego korzystania z </w:t>
            </w:r>
            <w:r w:rsidRPr="006C2251">
              <w:rPr>
                <w:rFonts w:cstheme="minorHAnsi"/>
                <w:color w:val="000000"/>
                <w:sz w:val="20"/>
                <w:szCs w:val="20"/>
              </w:rPr>
              <w:t>sieci wodociągów i kanalizacji oraz</w:t>
            </w:r>
            <w:r>
              <w:rPr>
                <w:rFonts w:cstheme="minorHAnsi"/>
                <w:color w:val="000000"/>
                <w:sz w:val="20"/>
                <w:szCs w:val="20"/>
              </w:rPr>
              <w:t xml:space="preserve"> zatrzymywania wód opadowych na </w:t>
            </w:r>
            <w:r w:rsidRPr="006C2251">
              <w:rPr>
                <w:rFonts w:cstheme="minorHAnsi"/>
                <w:color w:val="000000"/>
                <w:sz w:val="20"/>
                <w:szCs w:val="20"/>
              </w:rPr>
              <w:t>własnym terenie</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98324A" w:rsidRPr="00B21A73" w:rsidRDefault="0098324A" w:rsidP="0098324A">
      <w:pPr>
        <w:rPr>
          <w:b/>
        </w:rPr>
      </w:pPr>
      <w:r w:rsidRPr="00B21A73">
        <w:rPr>
          <w:b/>
        </w:rPr>
        <w:t>Cel operacyjny 2.2 Transformacja gospodarki odpadami w kierunku obiegu zamkniętego</w:t>
      </w:r>
    </w:p>
    <w:tbl>
      <w:tblPr>
        <w:tblStyle w:val="Jasnasiatkaakcent21"/>
        <w:tblW w:w="0" w:type="auto"/>
        <w:tblLook w:val="04A0" w:firstRow="1" w:lastRow="0" w:firstColumn="1" w:lastColumn="0" w:noHBand="0" w:noVBand="1"/>
      </w:tblPr>
      <w:tblGrid>
        <w:gridCol w:w="2802"/>
        <w:gridCol w:w="4536"/>
        <w:gridCol w:w="2835"/>
        <w:gridCol w:w="2409"/>
        <w:gridCol w:w="1560"/>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560"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CA661D" w:rsidRDefault="0098324A" w:rsidP="0098324A">
            <w:pPr>
              <w:spacing w:before="0"/>
              <w:ind w:firstLine="0"/>
              <w:jc w:val="left"/>
              <w:rPr>
                <w:rFonts w:asciiTheme="minorHAnsi" w:hAnsiTheme="minorHAnsi" w:cstheme="minorHAnsi"/>
                <w:b w:val="0"/>
                <w:sz w:val="20"/>
                <w:szCs w:val="20"/>
              </w:rPr>
            </w:pPr>
            <w:r w:rsidRPr="00CA661D">
              <w:rPr>
                <w:rFonts w:asciiTheme="minorHAnsi" w:hAnsiTheme="minorHAnsi" w:cstheme="minorHAnsi"/>
                <w:b w:val="0"/>
                <w:sz w:val="20"/>
                <w:szCs w:val="20"/>
              </w:rPr>
              <w:t>Rozbudowa infra</w:t>
            </w:r>
            <w:r>
              <w:rPr>
                <w:rFonts w:asciiTheme="minorHAnsi" w:hAnsiTheme="minorHAnsi" w:cstheme="minorHAnsi"/>
                <w:b w:val="0"/>
                <w:sz w:val="20"/>
                <w:szCs w:val="20"/>
              </w:rPr>
              <w:t>struktury zbiórki, segregacji i </w:t>
            </w:r>
            <w:r w:rsidRPr="00CA661D">
              <w:rPr>
                <w:rFonts w:asciiTheme="minorHAnsi" w:hAnsiTheme="minorHAnsi" w:cstheme="minorHAnsi"/>
                <w:b w:val="0"/>
                <w:sz w:val="20"/>
                <w:szCs w:val="20"/>
              </w:rPr>
              <w:t xml:space="preserve">zagospodarowywania odpadów w celu zwiększenia </w:t>
            </w:r>
            <w:r w:rsidRPr="00CA661D">
              <w:rPr>
                <w:rFonts w:asciiTheme="minorHAnsi" w:hAnsiTheme="minorHAnsi" w:cstheme="minorHAnsi"/>
                <w:b w:val="0"/>
                <w:sz w:val="20"/>
                <w:szCs w:val="20"/>
              </w:rPr>
              <w:lastRenderedPageBreak/>
              <w:t>skali recyclingu</w:t>
            </w: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lastRenderedPageBreak/>
              <w:t>Projekty w zakresie budowy/</w:t>
            </w:r>
            <w:r>
              <w:rPr>
                <w:rFonts w:ascii="Calibri" w:hAnsi="Calibri" w:cs="Calibri"/>
                <w:color w:val="000000"/>
                <w:sz w:val="20"/>
                <w:szCs w:val="20"/>
              </w:rPr>
              <w:t>rozbudowy infrastruktury PSZOK</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CA661D"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t>Budowa stacji segregacji odpadów selekt</w:t>
            </w:r>
            <w:r>
              <w:rPr>
                <w:rFonts w:ascii="Calibri" w:hAnsi="Calibri" w:cs="Calibri"/>
                <w:color w:val="000000"/>
                <w:sz w:val="20"/>
                <w:szCs w:val="20"/>
              </w:rPr>
              <w:t>ywnie zebranych wraz z linią do </w:t>
            </w:r>
            <w:r w:rsidRPr="006C2251">
              <w:rPr>
                <w:rFonts w:ascii="Calibri" w:hAnsi="Calibri" w:cs="Calibri"/>
                <w:color w:val="000000"/>
                <w:sz w:val="20"/>
                <w:szCs w:val="20"/>
              </w:rPr>
              <w:t xml:space="preserve">produkcji </w:t>
            </w:r>
            <w:proofErr w:type="spellStart"/>
            <w:r w:rsidRPr="006C2251">
              <w:rPr>
                <w:rFonts w:ascii="Calibri" w:hAnsi="Calibri" w:cs="Calibri"/>
                <w:color w:val="000000"/>
                <w:sz w:val="20"/>
                <w:szCs w:val="20"/>
              </w:rPr>
              <w:t>regranulatu</w:t>
            </w:r>
            <w:proofErr w:type="spellEnd"/>
            <w:r w:rsidRPr="006C2251">
              <w:rPr>
                <w:rFonts w:ascii="Calibri" w:hAnsi="Calibri" w:cs="Calibri"/>
                <w:color w:val="000000"/>
                <w:sz w:val="20"/>
                <w:szCs w:val="20"/>
              </w:rPr>
              <w:t xml:space="preserve"> oraz </w:t>
            </w:r>
            <w:r w:rsidRPr="006C2251">
              <w:rPr>
                <w:rFonts w:ascii="Calibri" w:hAnsi="Calibri" w:cs="Calibri"/>
                <w:color w:val="000000"/>
                <w:sz w:val="20"/>
                <w:szCs w:val="20"/>
              </w:rPr>
              <w:lastRenderedPageBreak/>
              <w:t>wiel</w:t>
            </w:r>
            <w:r>
              <w:rPr>
                <w:rFonts w:ascii="Calibri" w:hAnsi="Calibri" w:cs="Calibri"/>
                <w:color w:val="000000"/>
                <w:sz w:val="20"/>
                <w:szCs w:val="20"/>
              </w:rPr>
              <w:t>okomorowa prasą do zgniatania i paczkowania odpadów</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lastRenderedPageBreak/>
              <w:t>Gmina Miejska Hrubieszów</w:t>
            </w:r>
          </w:p>
        </w:tc>
        <w:tc>
          <w:tcPr>
            <w:tcW w:w="2409"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proofErr w:type="spellStart"/>
            <w:r w:rsidRPr="00AE7837">
              <w:rPr>
                <w:sz w:val="20"/>
                <w:szCs w:val="20"/>
              </w:rPr>
              <w:t>PGKiM</w:t>
            </w:r>
            <w:proofErr w:type="spellEnd"/>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CA661D"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t>Budowa stacji zbiórki odpadów selek</w:t>
            </w:r>
            <w:r>
              <w:rPr>
                <w:rFonts w:ascii="Calibri" w:hAnsi="Calibri" w:cs="Calibri"/>
                <w:color w:val="000000"/>
                <w:sz w:val="20"/>
                <w:szCs w:val="20"/>
              </w:rPr>
              <w:t>tywnie zebranych wraz z </w:t>
            </w:r>
            <w:r w:rsidRPr="006C2251">
              <w:rPr>
                <w:rFonts w:ascii="Calibri" w:hAnsi="Calibri" w:cs="Calibri"/>
                <w:color w:val="000000"/>
                <w:sz w:val="20"/>
                <w:szCs w:val="20"/>
              </w:rPr>
              <w:t>punkt</w:t>
            </w:r>
            <w:r>
              <w:rPr>
                <w:rFonts w:ascii="Calibri" w:hAnsi="Calibri" w:cs="Calibri"/>
                <w:color w:val="000000"/>
                <w:sz w:val="20"/>
                <w:szCs w:val="20"/>
              </w:rPr>
              <w:t>em, ich ponownego wykorzystania</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proofErr w:type="spellStart"/>
            <w:r w:rsidRPr="00AE7837">
              <w:rPr>
                <w:sz w:val="20"/>
                <w:szCs w:val="20"/>
              </w:rPr>
              <w:t>PGKiM</w:t>
            </w:r>
            <w:proofErr w:type="spellEnd"/>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CA661D"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B</w:t>
            </w:r>
            <w:r w:rsidRPr="006C2251">
              <w:rPr>
                <w:rFonts w:ascii="Calibri" w:hAnsi="Calibri" w:cs="Calibri"/>
                <w:color w:val="000000"/>
                <w:sz w:val="20"/>
                <w:szCs w:val="20"/>
              </w:rPr>
              <w:t>udowa kompostowni odpadów biodegradowalnych oraz osadu ściekowego wraz</w:t>
            </w:r>
            <w:r>
              <w:rPr>
                <w:rFonts w:ascii="Calibri" w:hAnsi="Calibri" w:cs="Calibri"/>
                <w:color w:val="000000"/>
                <w:sz w:val="20"/>
                <w:szCs w:val="20"/>
              </w:rPr>
              <w:t xml:space="preserve"> z zakupem niezbędnego sprzętu</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w:t>
            </w:r>
          </w:p>
        </w:tc>
        <w:tc>
          <w:tcPr>
            <w:tcW w:w="2409"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proofErr w:type="spellStart"/>
            <w:r w:rsidRPr="00AE7837">
              <w:rPr>
                <w:sz w:val="20"/>
                <w:szCs w:val="20"/>
              </w:rPr>
              <w:t>PGKiM</w:t>
            </w:r>
            <w:proofErr w:type="spellEnd"/>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CA661D"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Z</w:t>
            </w:r>
            <w:r w:rsidRPr="006C2251">
              <w:rPr>
                <w:rFonts w:ascii="Calibri" w:hAnsi="Calibri" w:cs="Calibri"/>
                <w:color w:val="000000"/>
                <w:sz w:val="20"/>
                <w:szCs w:val="20"/>
              </w:rPr>
              <w:t>akup mobilnego rozdrabniacza wolnoobrotowego wraz z separatorem metalu, do odpadów bu</w:t>
            </w:r>
            <w:r>
              <w:rPr>
                <w:rFonts w:ascii="Calibri" w:hAnsi="Calibri" w:cs="Calibri"/>
                <w:color w:val="000000"/>
                <w:sz w:val="20"/>
                <w:szCs w:val="20"/>
              </w:rPr>
              <w:t>dowlanych i wielkogabarytowych)</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proofErr w:type="spellStart"/>
            <w:r w:rsidRPr="00AE7837">
              <w:rPr>
                <w:sz w:val="20"/>
                <w:szCs w:val="20"/>
              </w:rPr>
              <w:t>PGKiM</w:t>
            </w:r>
            <w:proofErr w:type="spellEnd"/>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CA661D" w:rsidRDefault="0098324A" w:rsidP="0098324A">
            <w:pPr>
              <w:spacing w:before="0"/>
              <w:ind w:firstLine="0"/>
              <w:jc w:val="left"/>
              <w:rPr>
                <w:rFonts w:asciiTheme="minorHAnsi" w:hAnsiTheme="minorHAnsi" w:cstheme="minorHAnsi"/>
                <w:b w:val="0"/>
                <w:sz w:val="20"/>
                <w:szCs w:val="20"/>
              </w:rPr>
            </w:pPr>
            <w:r w:rsidRPr="00CA661D">
              <w:rPr>
                <w:rFonts w:asciiTheme="minorHAnsi" w:hAnsiTheme="minorHAnsi" w:cstheme="minorHAnsi"/>
                <w:b w:val="0"/>
                <w:sz w:val="20"/>
                <w:szCs w:val="20"/>
              </w:rPr>
              <w:t>Zmniejszanie strumienia odpadów 'u źródła' oraz ich selektywna zbiórka</w:t>
            </w: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t>Projekt</w:t>
            </w:r>
            <w:r>
              <w:rPr>
                <w:rFonts w:ascii="Calibri" w:hAnsi="Calibri" w:cs="Calibri"/>
                <w:color w:val="000000"/>
                <w:sz w:val="20"/>
                <w:szCs w:val="20"/>
              </w:rPr>
              <w:t>y informacyjne i edukacyjne nt. </w:t>
            </w:r>
            <w:r w:rsidRPr="006C2251">
              <w:rPr>
                <w:rFonts w:ascii="Calibri" w:hAnsi="Calibri" w:cs="Calibri"/>
                <w:color w:val="000000"/>
                <w:sz w:val="20"/>
                <w:szCs w:val="20"/>
              </w:rPr>
              <w:t xml:space="preserve">ograniczania ilości produkowanych odpadów u źródła </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r>
              <w:rPr>
                <w:sz w:val="20"/>
                <w:szCs w:val="20"/>
              </w:rPr>
              <w:t>, szkoły, przedszkola, organizacje pozarządowe</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CA661D"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t xml:space="preserve">Projekty w zakresie rozwoju systemów </w:t>
            </w:r>
            <w:proofErr w:type="spellStart"/>
            <w:r w:rsidRPr="006C2251">
              <w:rPr>
                <w:rFonts w:ascii="Calibri" w:hAnsi="Calibri" w:cs="Calibri"/>
                <w:color w:val="000000"/>
                <w:sz w:val="20"/>
                <w:szCs w:val="20"/>
              </w:rPr>
              <w:t>biokompostowania</w:t>
            </w:r>
            <w:proofErr w:type="spellEnd"/>
            <w:r w:rsidRPr="006C2251">
              <w:rPr>
                <w:rFonts w:ascii="Calibri" w:hAnsi="Calibri" w:cs="Calibri"/>
                <w:color w:val="000000"/>
                <w:sz w:val="20"/>
                <w:szCs w:val="20"/>
              </w:rPr>
              <w:t xml:space="preserve"> na miejscu (organiczne odpady kuchenne, ogrodowe itp.) rozdawania kompostowników za symboliczną złotówkę</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CA661D"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t>Projekty w zakresie lepszej organizacji selekcji i zbierania odpadów powstających u źródła (np. dzień zbiórki określonego odpadu, pojemniki na tekstylia i ich przerób, system od dr</w:t>
            </w:r>
            <w:r>
              <w:rPr>
                <w:rFonts w:ascii="Calibri" w:hAnsi="Calibri" w:cs="Calibri"/>
                <w:color w:val="000000"/>
                <w:sz w:val="20"/>
                <w:szCs w:val="20"/>
              </w:rPr>
              <w:t>zwi do drzwi, mobilne punkty od</w:t>
            </w:r>
            <w:r w:rsidRPr="006C2251">
              <w:rPr>
                <w:rFonts w:ascii="Calibri" w:hAnsi="Calibri" w:cs="Calibri"/>
                <w:color w:val="000000"/>
                <w:sz w:val="20"/>
                <w:szCs w:val="20"/>
              </w:rPr>
              <w:t xml:space="preserve">bioru odpadów </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r>
              <w:rPr>
                <w:sz w:val="20"/>
                <w:szCs w:val="20"/>
              </w:rPr>
              <w:t xml:space="preserve">, </w:t>
            </w:r>
            <w:r w:rsidRPr="00AE7837">
              <w:rPr>
                <w:sz w:val="20"/>
                <w:szCs w:val="20"/>
              </w:rPr>
              <w:t>mieszkańcy – osoby fizyczne</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CA661D"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t>Polityka kreowani</w:t>
            </w:r>
            <w:r>
              <w:rPr>
                <w:rFonts w:ascii="Calibri" w:hAnsi="Calibri" w:cs="Calibri"/>
                <w:color w:val="000000"/>
                <w:sz w:val="20"/>
                <w:szCs w:val="20"/>
              </w:rPr>
              <w:t>a odpowiednich taryf za odpady „płacisz tyle, ile wyrzucasz”</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CA661D"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t>Analiza morfologii odpadów zmieszanych oraz działania w celu ich zminimalizowania</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r>
              <w:rPr>
                <w:sz w:val="20"/>
                <w:szCs w:val="20"/>
              </w:rPr>
              <w:t xml:space="preserve">, </w:t>
            </w:r>
            <w:r w:rsidRPr="00AE7837">
              <w:rPr>
                <w:sz w:val="20"/>
                <w:szCs w:val="20"/>
              </w:rPr>
              <w:t>mieszkańcy – osoby fizyczne</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CA661D"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6C2251" w:rsidRDefault="0098324A" w:rsidP="00F86E16">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t>Inicjatywy obywatel</w:t>
            </w:r>
            <w:r>
              <w:rPr>
                <w:rFonts w:ascii="Calibri" w:hAnsi="Calibri" w:cs="Calibri"/>
                <w:color w:val="000000"/>
                <w:sz w:val="20"/>
                <w:szCs w:val="20"/>
              </w:rPr>
              <w:t xml:space="preserve">skie w zakresie </w:t>
            </w:r>
            <w:r w:rsidR="003763A1">
              <w:rPr>
                <w:rFonts w:ascii="Calibri" w:hAnsi="Calibri" w:cs="Calibri"/>
                <w:color w:val="000000"/>
                <w:sz w:val="20"/>
                <w:szCs w:val="20"/>
              </w:rPr>
              <w:t xml:space="preserve">gospodarki w obiegu zamkniętym </w:t>
            </w:r>
            <w:r w:rsidRPr="006C2251">
              <w:rPr>
                <w:rFonts w:ascii="Calibri" w:hAnsi="Calibri" w:cs="Calibri"/>
                <w:color w:val="000000"/>
                <w:sz w:val="20"/>
                <w:szCs w:val="20"/>
              </w:rPr>
              <w:t xml:space="preserve">(ośrodki ponownego użytku, </w:t>
            </w:r>
            <w:proofErr w:type="spellStart"/>
            <w:r w:rsidRPr="006C2251">
              <w:rPr>
                <w:rFonts w:ascii="Calibri" w:hAnsi="Calibri" w:cs="Calibri"/>
                <w:color w:val="000000"/>
                <w:sz w:val="20"/>
                <w:szCs w:val="20"/>
              </w:rPr>
              <w:t>jadłodzielnie</w:t>
            </w:r>
            <w:proofErr w:type="spellEnd"/>
            <w:r w:rsidRPr="006C2251">
              <w:rPr>
                <w:rFonts w:ascii="Calibri" w:hAnsi="Calibri" w:cs="Calibri"/>
                <w:color w:val="000000"/>
                <w:sz w:val="20"/>
                <w:szCs w:val="20"/>
              </w:rPr>
              <w:t>, banki żywności, kawiarenki naprawcze, s</w:t>
            </w:r>
            <w:r>
              <w:rPr>
                <w:rFonts w:ascii="Calibri" w:hAnsi="Calibri" w:cs="Calibri"/>
                <w:color w:val="000000"/>
                <w:sz w:val="20"/>
                <w:szCs w:val="20"/>
              </w:rPr>
              <w:t>klepy</w:t>
            </w:r>
            <w:r w:rsidR="00F86E16">
              <w:rPr>
                <w:rFonts w:ascii="Calibri" w:hAnsi="Calibri" w:cs="Calibri"/>
                <w:color w:val="000000"/>
                <w:sz w:val="20"/>
                <w:szCs w:val="20"/>
              </w:rPr>
              <w:t xml:space="preserve"> </w:t>
            </w:r>
            <w:proofErr w:type="spellStart"/>
            <w:r>
              <w:rPr>
                <w:rFonts w:ascii="Calibri" w:hAnsi="Calibri" w:cs="Calibri"/>
                <w:color w:val="000000"/>
                <w:sz w:val="20"/>
                <w:szCs w:val="20"/>
              </w:rPr>
              <w:t>bezopakowaniowe</w:t>
            </w:r>
            <w:proofErr w:type="spellEnd"/>
            <w:r>
              <w:rPr>
                <w:rFonts w:ascii="Calibri" w:hAnsi="Calibri" w:cs="Calibri"/>
                <w:color w:val="000000"/>
                <w:sz w:val="20"/>
                <w:szCs w:val="20"/>
              </w:rPr>
              <w:t>, sklepy z </w:t>
            </w:r>
            <w:r w:rsidRPr="006C2251">
              <w:rPr>
                <w:rFonts w:ascii="Calibri" w:hAnsi="Calibri" w:cs="Calibri"/>
                <w:color w:val="000000"/>
                <w:sz w:val="20"/>
                <w:szCs w:val="20"/>
              </w:rPr>
              <w:t xml:space="preserve">przedmiotami używanymi, </w:t>
            </w:r>
            <w:proofErr w:type="spellStart"/>
            <w:r w:rsidRPr="006C2251">
              <w:rPr>
                <w:rFonts w:ascii="Calibri" w:hAnsi="Calibri" w:cs="Calibri"/>
                <w:color w:val="000000"/>
                <w:sz w:val="20"/>
                <w:szCs w:val="20"/>
              </w:rPr>
              <w:t>puszkomaty</w:t>
            </w:r>
            <w:proofErr w:type="spellEnd"/>
            <w:r w:rsidRPr="006C2251">
              <w:rPr>
                <w:rFonts w:ascii="Calibri" w:hAnsi="Calibri" w:cs="Calibri"/>
                <w:color w:val="000000"/>
                <w:sz w:val="20"/>
                <w:szCs w:val="20"/>
              </w:rPr>
              <w:t xml:space="preserve">, </w:t>
            </w:r>
            <w:proofErr w:type="spellStart"/>
            <w:r w:rsidRPr="006C2251">
              <w:rPr>
                <w:rFonts w:ascii="Calibri" w:hAnsi="Calibri" w:cs="Calibri"/>
                <w:color w:val="000000"/>
                <w:sz w:val="20"/>
                <w:szCs w:val="20"/>
              </w:rPr>
              <w:t>współdzielnie</w:t>
            </w:r>
            <w:proofErr w:type="spellEnd"/>
            <w:r w:rsidRPr="006C2251">
              <w:rPr>
                <w:rFonts w:ascii="Calibri" w:hAnsi="Calibri" w:cs="Calibri"/>
                <w:color w:val="000000"/>
                <w:sz w:val="20"/>
                <w:szCs w:val="20"/>
              </w:rPr>
              <w:t xml:space="preserve">) </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sz w:val="20"/>
                <w:szCs w:val="20"/>
              </w:rPr>
              <w:t xml:space="preserve">Organizacje pozarządowe, </w:t>
            </w:r>
            <w:r w:rsidRPr="00AE7837">
              <w:rPr>
                <w:sz w:val="20"/>
                <w:szCs w:val="20"/>
              </w:rPr>
              <w:t>mieszkańcy – osoby fizyczne</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CA661D" w:rsidRDefault="0098324A" w:rsidP="0098324A">
            <w:pPr>
              <w:spacing w:before="0"/>
              <w:ind w:firstLine="0"/>
              <w:jc w:val="left"/>
              <w:rPr>
                <w:rFonts w:asciiTheme="minorHAnsi" w:hAnsiTheme="minorHAnsi" w:cstheme="minorHAnsi"/>
                <w:b w:val="0"/>
                <w:sz w:val="20"/>
                <w:szCs w:val="20"/>
              </w:rPr>
            </w:pPr>
            <w:r w:rsidRPr="00CA661D">
              <w:rPr>
                <w:rFonts w:asciiTheme="minorHAnsi" w:hAnsiTheme="minorHAnsi" w:cstheme="minorHAnsi"/>
                <w:b w:val="0"/>
                <w:sz w:val="20"/>
                <w:szCs w:val="20"/>
              </w:rPr>
              <w:t>Bezpieczne usuwanie azbestu oraz jego unieszkodliwianie</w:t>
            </w:r>
          </w:p>
        </w:tc>
        <w:tc>
          <w:tcPr>
            <w:tcW w:w="4536" w:type="dxa"/>
            <w:vAlign w:val="center"/>
          </w:tcPr>
          <w:p w:rsidR="0098324A" w:rsidRPr="006C2251"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Opracowanie inwentaryzacji na </w:t>
            </w:r>
            <w:r w:rsidRPr="006C2251">
              <w:rPr>
                <w:rFonts w:ascii="Calibri" w:hAnsi="Calibri" w:cs="Calibri"/>
                <w:color w:val="000000"/>
                <w:sz w:val="20"/>
                <w:szCs w:val="20"/>
              </w:rPr>
              <w:t>obszarze HOF nt. ilości odpadów azbestowych (eternitowy</w:t>
            </w:r>
            <w:r>
              <w:rPr>
                <w:rFonts w:ascii="Calibri" w:hAnsi="Calibri" w:cs="Calibri"/>
                <w:color w:val="000000"/>
                <w:sz w:val="20"/>
                <w:szCs w:val="20"/>
              </w:rPr>
              <w:t>ch) pozostających do zebrania i </w:t>
            </w:r>
            <w:r w:rsidRPr="006C2251">
              <w:rPr>
                <w:rFonts w:ascii="Calibri" w:hAnsi="Calibri" w:cs="Calibri"/>
                <w:color w:val="000000"/>
                <w:sz w:val="20"/>
                <w:szCs w:val="20"/>
              </w:rPr>
              <w:t>uni</w:t>
            </w:r>
            <w:r>
              <w:rPr>
                <w:rFonts w:ascii="Calibri" w:hAnsi="Calibri" w:cs="Calibri"/>
                <w:color w:val="000000"/>
                <w:sz w:val="20"/>
                <w:szCs w:val="20"/>
              </w:rPr>
              <w:t>e</w:t>
            </w:r>
            <w:r w:rsidRPr="006C2251">
              <w:rPr>
                <w:rFonts w:ascii="Calibri" w:hAnsi="Calibri" w:cs="Calibri"/>
                <w:color w:val="000000"/>
                <w:sz w:val="20"/>
                <w:szCs w:val="20"/>
              </w:rPr>
              <w:t xml:space="preserve">szkodliwienia do </w:t>
            </w:r>
            <w:r w:rsidRPr="006C2251">
              <w:rPr>
                <w:rFonts w:ascii="Calibri" w:hAnsi="Calibri" w:cs="Calibri"/>
                <w:color w:val="000000"/>
                <w:sz w:val="20"/>
                <w:szCs w:val="20"/>
              </w:rPr>
              <w:lastRenderedPageBreak/>
              <w:t>roku 2030</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lastRenderedPageBreak/>
              <w:t>Gmina Miejska Hrubieszów, Gmina Hrubieszów</w:t>
            </w:r>
          </w:p>
        </w:tc>
        <w:tc>
          <w:tcPr>
            <w:tcW w:w="2409"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r>
              <w:rPr>
                <w:sz w:val="20"/>
                <w:szCs w:val="20"/>
              </w:rPr>
              <w:t xml:space="preserve">, </w:t>
            </w:r>
            <w:r w:rsidRPr="00AE7837">
              <w:rPr>
                <w:sz w:val="20"/>
                <w:szCs w:val="20"/>
              </w:rPr>
              <w:t>mieszkańcy – osoby fizyczne</w:t>
            </w:r>
            <w:r>
              <w:rPr>
                <w:sz w:val="20"/>
                <w:szCs w:val="20"/>
              </w:rPr>
              <w:t>, przedsiębiorcy</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98324A" w:rsidRDefault="0098324A" w:rsidP="0098324A">
            <w:pPr>
              <w:spacing w:before="0"/>
              <w:ind w:firstLine="0"/>
              <w:rPr>
                <w:b w:val="0"/>
              </w:rPr>
            </w:pPr>
          </w:p>
        </w:tc>
        <w:tc>
          <w:tcPr>
            <w:tcW w:w="4536" w:type="dxa"/>
            <w:vAlign w:val="center"/>
          </w:tcPr>
          <w:p w:rsidR="0098324A" w:rsidRPr="006C2251"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6C2251">
              <w:rPr>
                <w:rFonts w:ascii="Calibri" w:hAnsi="Calibri" w:cs="Calibri"/>
                <w:color w:val="000000"/>
                <w:sz w:val="20"/>
                <w:szCs w:val="20"/>
              </w:rPr>
              <w:t>Udz</w:t>
            </w:r>
            <w:r>
              <w:rPr>
                <w:rFonts w:ascii="Calibri" w:hAnsi="Calibri" w:cs="Calibri"/>
                <w:color w:val="000000"/>
                <w:sz w:val="20"/>
                <w:szCs w:val="20"/>
              </w:rPr>
              <w:t>iał w projektach regionalnych i </w:t>
            </w:r>
            <w:r w:rsidRPr="006C2251">
              <w:rPr>
                <w:rFonts w:ascii="Calibri" w:hAnsi="Calibri" w:cs="Calibri"/>
                <w:color w:val="000000"/>
                <w:sz w:val="20"/>
                <w:szCs w:val="20"/>
              </w:rPr>
              <w:t xml:space="preserve">krajowych w zakresie usuwania pokryć z azbestu (np. ogólnopolski program finansowania usuwania wyrobów zawierających azbest na 2021 r., realizowany przez </w:t>
            </w:r>
            <w:proofErr w:type="spellStart"/>
            <w:r w:rsidRPr="006C2251">
              <w:rPr>
                <w:rFonts w:ascii="Calibri" w:hAnsi="Calibri" w:cs="Calibri"/>
                <w:color w:val="000000"/>
                <w:sz w:val="20"/>
                <w:szCs w:val="20"/>
              </w:rPr>
              <w:t>WFOŚiGW</w:t>
            </w:r>
            <w:proofErr w:type="spellEnd"/>
            <w:r w:rsidRPr="006C2251">
              <w:rPr>
                <w:rFonts w:ascii="Calibri" w:hAnsi="Calibri" w:cs="Calibri"/>
                <w:color w:val="000000"/>
                <w:sz w:val="20"/>
                <w:szCs w:val="20"/>
              </w:rPr>
              <w:t xml:space="preserve"> w Lublinie)</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r>
              <w:rPr>
                <w:sz w:val="20"/>
                <w:szCs w:val="20"/>
              </w:rPr>
              <w:t xml:space="preserve">, </w:t>
            </w:r>
            <w:r w:rsidRPr="00AE7837">
              <w:rPr>
                <w:sz w:val="20"/>
                <w:szCs w:val="20"/>
              </w:rPr>
              <w:t>mieszkańcy – osoby fizyczne</w:t>
            </w:r>
            <w:r>
              <w:rPr>
                <w:sz w:val="20"/>
                <w:szCs w:val="20"/>
              </w:rPr>
              <w:t>, przedsiębiorcy</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98324A" w:rsidRPr="00B21A73" w:rsidRDefault="0098324A" w:rsidP="0098324A">
      <w:pPr>
        <w:rPr>
          <w:b/>
        </w:rPr>
      </w:pPr>
      <w:r w:rsidRPr="00B21A73">
        <w:rPr>
          <w:b/>
        </w:rPr>
        <w:t>Cel operacyjny 2.3 Transformacja energetyczna i czyste powietrze</w:t>
      </w:r>
    </w:p>
    <w:tbl>
      <w:tblPr>
        <w:tblStyle w:val="Jasnasiatkaakcent21"/>
        <w:tblW w:w="14142" w:type="dxa"/>
        <w:tblLook w:val="04A0" w:firstRow="1" w:lastRow="0" w:firstColumn="1" w:lastColumn="0" w:noHBand="0" w:noVBand="1"/>
      </w:tblPr>
      <w:tblGrid>
        <w:gridCol w:w="2802"/>
        <w:gridCol w:w="4536"/>
        <w:gridCol w:w="2835"/>
        <w:gridCol w:w="2409"/>
        <w:gridCol w:w="1560"/>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560"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BE2A80" w:rsidRDefault="0098324A" w:rsidP="0098324A">
            <w:pPr>
              <w:spacing w:before="0"/>
              <w:ind w:firstLine="0"/>
              <w:jc w:val="left"/>
              <w:rPr>
                <w:rFonts w:asciiTheme="minorHAnsi" w:hAnsiTheme="minorHAnsi" w:cstheme="minorHAnsi"/>
                <w:b w:val="0"/>
                <w:sz w:val="20"/>
                <w:szCs w:val="20"/>
              </w:rPr>
            </w:pPr>
            <w:r w:rsidRPr="00BE2A80">
              <w:rPr>
                <w:rFonts w:asciiTheme="minorHAnsi" w:hAnsiTheme="minorHAnsi" w:cstheme="minorHAnsi"/>
                <w:b w:val="0"/>
                <w:sz w:val="20"/>
                <w:szCs w:val="20"/>
              </w:rPr>
              <w:t>Termomodernizacja budynkó</w:t>
            </w:r>
            <w:r>
              <w:rPr>
                <w:rFonts w:asciiTheme="minorHAnsi" w:hAnsiTheme="minorHAnsi" w:cstheme="minorHAnsi"/>
                <w:b w:val="0"/>
                <w:sz w:val="20"/>
                <w:szCs w:val="20"/>
              </w:rPr>
              <w:t>w oraz wymiana źródeł ciepła na bardziej ekologiczne i </w:t>
            </w:r>
            <w:r w:rsidRPr="00BE2A80">
              <w:rPr>
                <w:rFonts w:asciiTheme="minorHAnsi" w:hAnsiTheme="minorHAnsi" w:cstheme="minorHAnsi"/>
                <w:b w:val="0"/>
                <w:sz w:val="20"/>
                <w:szCs w:val="20"/>
              </w:rPr>
              <w:t>energooszczędne</w:t>
            </w:r>
          </w:p>
        </w:tc>
        <w:tc>
          <w:tcPr>
            <w:tcW w:w="4536" w:type="dxa"/>
            <w:vAlign w:val="center"/>
          </w:tcPr>
          <w:p w:rsidR="0098324A" w:rsidRPr="00CA661D"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CA661D">
              <w:rPr>
                <w:rFonts w:ascii="Calibri" w:hAnsi="Calibri" w:cs="Calibri"/>
                <w:color w:val="000000"/>
                <w:sz w:val="20"/>
                <w:szCs w:val="20"/>
              </w:rPr>
              <w:t xml:space="preserve">Projekty związane z </w:t>
            </w:r>
            <w:r>
              <w:rPr>
                <w:rFonts w:ascii="Calibri" w:hAnsi="Calibri" w:cs="Calibri"/>
                <w:color w:val="000000"/>
                <w:sz w:val="20"/>
                <w:szCs w:val="20"/>
              </w:rPr>
              <w:t> </w:t>
            </w:r>
            <w:r w:rsidRPr="00CA661D">
              <w:rPr>
                <w:rFonts w:ascii="Calibri" w:hAnsi="Calibri" w:cs="Calibri"/>
                <w:color w:val="000000"/>
                <w:sz w:val="20"/>
                <w:szCs w:val="20"/>
              </w:rPr>
              <w:t>termomodernizacją i wymianą źródeł ciepła w budynkach użyteczności publicznej</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Pr="00733E8D"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Cs/>
                <w:sz w:val="20"/>
                <w:szCs w:val="20"/>
              </w:rPr>
            </w:pPr>
            <w:r w:rsidRPr="00733E8D">
              <w:rPr>
                <w:bCs/>
                <w:sz w:val="20"/>
                <w:szCs w:val="20"/>
              </w:rPr>
              <w:t>Szkoły podstawowe i przedszkola,</w:t>
            </w:r>
          </w:p>
          <w:p w:rsidR="0098324A" w:rsidRPr="00733E8D"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proofErr w:type="gramStart"/>
            <w:r w:rsidRPr="00733E8D">
              <w:rPr>
                <w:bCs/>
                <w:sz w:val="20"/>
                <w:szCs w:val="20"/>
              </w:rPr>
              <w:t>mieszkańcy</w:t>
            </w:r>
            <w:proofErr w:type="gramEnd"/>
            <w:r w:rsidRPr="00733E8D">
              <w:rPr>
                <w:bCs/>
                <w:sz w:val="20"/>
                <w:szCs w:val="20"/>
              </w:rPr>
              <w:t xml:space="preserve"> – osoby fizyczne, przedsiębiorcy, </w:t>
            </w:r>
            <w:r w:rsidRPr="00733E8D">
              <w:rPr>
                <w:sz w:val="20"/>
                <w:szCs w:val="20"/>
              </w:rPr>
              <w:t xml:space="preserve">GZUK, </w:t>
            </w:r>
            <w:proofErr w:type="spellStart"/>
            <w:r w:rsidRPr="00733E8D">
              <w:rPr>
                <w:sz w:val="20"/>
                <w:szCs w:val="20"/>
              </w:rPr>
              <w:t>PGKiM</w:t>
            </w:r>
            <w:proofErr w:type="spellEnd"/>
            <w:r w:rsidRPr="00733E8D">
              <w:rPr>
                <w:bCs/>
                <w:sz w:val="20"/>
                <w:szCs w:val="20"/>
              </w:rPr>
              <w:t>, organizacje pozarządowe</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BE2A80"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CA661D"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Projekty związane z </w:t>
            </w:r>
            <w:r w:rsidRPr="00CA661D">
              <w:rPr>
                <w:rFonts w:ascii="Calibri" w:hAnsi="Calibri" w:cs="Calibri"/>
                <w:color w:val="000000"/>
                <w:sz w:val="20"/>
                <w:szCs w:val="20"/>
              </w:rPr>
              <w:t xml:space="preserve">termomodernizacją i wymianą starych pieców węglowych (kopciuchów) w domach jednorodzinnych i wielorodzinnych </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Pr="00733E8D"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33E8D">
              <w:rPr>
                <w:bCs/>
                <w:sz w:val="20"/>
                <w:szCs w:val="20"/>
              </w:rPr>
              <w:t>Mieszkańcy – osoby fizyczne, przedsiębiorcy,</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52C2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B52C2A" w:rsidRPr="00BE2A80" w:rsidRDefault="00B52C2A" w:rsidP="0098324A">
            <w:pPr>
              <w:spacing w:before="0"/>
              <w:ind w:firstLine="0"/>
              <w:jc w:val="left"/>
              <w:rPr>
                <w:rFonts w:cstheme="minorHAnsi"/>
                <w:b w:val="0"/>
                <w:sz w:val="20"/>
                <w:szCs w:val="20"/>
              </w:rPr>
            </w:pPr>
          </w:p>
        </w:tc>
        <w:tc>
          <w:tcPr>
            <w:tcW w:w="4536" w:type="dxa"/>
            <w:vAlign w:val="center"/>
          </w:tcPr>
          <w:p w:rsidR="00B52C2A" w:rsidRPr="00716E17" w:rsidRDefault="00B52C2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sz w:val="20"/>
                <w:szCs w:val="20"/>
              </w:rPr>
              <w:t xml:space="preserve">Poprawa efektywności </w:t>
            </w:r>
            <w:r w:rsidRPr="00716E17">
              <w:rPr>
                <w:sz w:val="20"/>
                <w:szCs w:val="20"/>
              </w:rPr>
              <w:br/>
              <w:t>energetycznej budynków mieszkalnych wielorodzinnych w Hrubieszowie</w:t>
            </w:r>
          </w:p>
        </w:tc>
        <w:tc>
          <w:tcPr>
            <w:tcW w:w="2835" w:type="dxa"/>
            <w:vAlign w:val="center"/>
          </w:tcPr>
          <w:p w:rsidR="00B52C2A" w:rsidRPr="00716E17" w:rsidRDefault="00B52C2A" w:rsidP="00B52C2A">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sz w:val="20"/>
                <w:szCs w:val="20"/>
              </w:rPr>
              <w:t xml:space="preserve">Spółdzielnie, Wspólnoty </w:t>
            </w:r>
            <w:r w:rsidRPr="00716E17">
              <w:rPr>
                <w:sz w:val="20"/>
                <w:szCs w:val="20"/>
              </w:rPr>
              <w:br/>
              <w:t>Mieszkaniowe, Zarządcy budynków</w:t>
            </w:r>
          </w:p>
        </w:tc>
        <w:tc>
          <w:tcPr>
            <w:tcW w:w="2409" w:type="dxa"/>
            <w:vAlign w:val="center"/>
          </w:tcPr>
          <w:p w:rsidR="00B52C2A" w:rsidRPr="00716E17" w:rsidRDefault="00B52C2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Cs/>
                <w:sz w:val="20"/>
                <w:szCs w:val="20"/>
              </w:rPr>
            </w:pPr>
            <w:r w:rsidRPr="00716E17">
              <w:rPr>
                <w:rFonts w:ascii="Calibri" w:hAnsi="Calibri" w:cs="Calibri"/>
                <w:color w:val="000000"/>
                <w:sz w:val="20"/>
                <w:szCs w:val="20"/>
              </w:rPr>
              <w:t>Gmina Miejska Hrubieszów</w:t>
            </w:r>
            <w:r w:rsidRPr="00716E17">
              <w:rPr>
                <w:bCs/>
                <w:sz w:val="20"/>
                <w:szCs w:val="20"/>
              </w:rPr>
              <w:t>, Mieszkańcy – osoby fizyczne</w:t>
            </w:r>
          </w:p>
        </w:tc>
        <w:tc>
          <w:tcPr>
            <w:tcW w:w="1560" w:type="dxa"/>
            <w:vAlign w:val="center"/>
          </w:tcPr>
          <w:p w:rsidR="00B52C2A" w:rsidRPr="00716E17" w:rsidRDefault="00B52C2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2021 –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BE2A80"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CA661D"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CA661D">
              <w:rPr>
                <w:rFonts w:ascii="Calibri" w:hAnsi="Calibri" w:cs="Calibri"/>
                <w:color w:val="000000"/>
                <w:sz w:val="20"/>
                <w:szCs w:val="20"/>
              </w:rPr>
              <w:t>Projekty przedsiębiorstw w zakresie energooszczędności i zmniejszania zużycia materiałów i surowców</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Pr="00733E8D"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33E8D">
              <w:rPr>
                <w:bCs/>
                <w:sz w:val="20"/>
                <w:szCs w:val="20"/>
              </w:rPr>
              <w:t>Mieszkańcy – osoby fizyczne, przedsiębiorcy, organizacje społeczne</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BE2A80"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CA661D"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CA661D">
              <w:rPr>
                <w:rFonts w:ascii="Calibri" w:hAnsi="Calibri" w:cs="Calibri"/>
                <w:color w:val="000000"/>
                <w:sz w:val="20"/>
                <w:szCs w:val="20"/>
              </w:rPr>
              <w:t>Projekty w zakresie rozwoju infras</w:t>
            </w:r>
            <w:r>
              <w:rPr>
                <w:rFonts w:ascii="Calibri" w:hAnsi="Calibri" w:cs="Calibri"/>
                <w:color w:val="000000"/>
                <w:sz w:val="20"/>
                <w:szCs w:val="20"/>
              </w:rPr>
              <w:t>truktury energetyki cieplnej na </w:t>
            </w:r>
            <w:r w:rsidRPr="00CA661D">
              <w:rPr>
                <w:rFonts w:ascii="Calibri" w:hAnsi="Calibri" w:cs="Calibri"/>
                <w:color w:val="000000"/>
                <w:sz w:val="20"/>
                <w:szCs w:val="20"/>
              </w:rPr>
              <w:t>terenie miasta</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w:t>
            </w:r>
          </w:p>
        </w:tc>
        <w:tc>
          <w:tcPr>
            <w:tcW w:w="2409" w:type="dxa"/>
            <w:vAlign w:val="center"/>
          </w:tcPr>
          <w:p w:rsidR="0098324A" w:rsidRPr="00733E8D" w:rsidRDefault="00A21F80"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Pr>
                <w:bCs/>
                <w:sz w:val="20"/>
                <w:szCs w:val="20"/>
              </w:rPr>
              <w:t>ZEC</w:t>
            </w:r>
            <w:r w:rsidR="0098324A" w:rsidRPr="00733E8D">
              <w:rPr>
                <w:bCs/>
                <w:sz w:val="20"/>
                <w:szCs w:val="20"/>
              </w:rPr>
              <w:t>, przedsiębiorcy</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BE2A80"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CA661D"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CA661D">
              <w:rPr>
                <w:rFonts w:ascii="Calibri" w:hAnsi="Calibri" w:cs="Calibri"/>
                <w:color w:val="000000"/>
                <w:sz w:val="20"/>
                <w:szCs w:val="20"/>
              </w:rPr>
              <w:t>Projekty w zakresie inteligentnego oświetlenia ulicznego</w:t>
            </w:r>
            <w:r>
              <w:rPr>
                <w:rFonts w:ascii="Calibri" w:hAnsi="Calibri" w:cs="Calibri"/>
                <w:color w:val="000000"/>
                <w:sz w:val="20"/>
                <w:szCs w:val="20"/>
              </w:rPr>
              <w:t>, w tym oświetlenia LED</w:t>
            </w:r>
            <w:r w:rsidRPr="00CA661D">
              <w:rPr>
                <w:rFonts w:ascii="Calibri" w:hAnsi="Calibri" w:cs="Calibri"/>
                <w:color w:val="000000"/>
                <w:sz w:val="20"/>
                <w:szCs w:val="20"/>
              </w:rPr>
              <w:t xml:space="preserve"> </w:t>
            </w:r>
          </w:p>
        </w:tc>
        <w:tc>
          <w:tcPr>
            <w:tcW w:w="2835"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Pr="00733E8D"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33E8D">
              <w:rPr>
                <w:sz w:val="20"/>
                <w:szCs w:val="20"/>
              </w:rPr>
              <w:t xml:space="preserve">GZUK, </w:t>
            </w:r>
            <w:proofErr w:type="spellStart"/>
            <w:r w:rsidRPr="00733E8D">
              <w:rPr>
                <w:sz w:val="20"/>
                <w:szCs w:val="20"/>
              </w:rPr>
              <w:t>PGKiM</w:t>
            </w:r>
            <w:proofErr w:type="spellEnd"/>
            <w:r w:rsidRPr="00733E8D">
              <w:rPr>
                <w:b/>
                <w:sz w:val="20"/>
                <w:szCs w:val="20"/>
              </w:rPr>
              <w:t xml:space="preserve">, </w:t>
            </w:r>
            <w:r w:rsidRPr="00733E8D">
              <w:rPr>
                <w:sz w:val="20"/>
                <w:szCs w:val="20"/>
              </w:rPr>
              <w:t>przedsiębiorcy</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BE2A80" w:rsidRDefault="0098324A" w:rsidP="007A6453">
            <w:pPr>
              <w:spacing w:before="0"/>
              <w:ind w:firstLine="0"/>
              <w:jc w:val="left"/>
              <w:rPr>
                <w:rFonts w:asciiTheme="minorHAnsi" w:hAnsiTheme="minorHAnsi" w:cstheme="minorHAnsi"/>
                <w:b w:val="0"/>
                <w:sz w:val="20"/>
                <w:szCs w:val="20"/>
              </w:rPr>
            </w:pPr>
            <w:r w:rsidRPr="00C73CFB">
              <w:rPr>
                <w:rFonts w:asciiTheme="minorHAnsi" w:hAnsiTheme="minorHAnsi" w:cstheme="minorHAnsi"/>
                <w:b w:val="0"/>
                <w:sz w:val="20"/>
                <w:szCs w:val="20"/>
              </w:rPr>
              <w:t>Rozwój</w:t>
            </w:r>
            <w:r w:rsidR="007A6453" w:rsidRPr="00C73CFB">
              <w:rPr>
                <w:rFonts w:asciiTheme="minorHAnsi" w:hAnsiTheme="minorHAnsi" w:cstheme="minorHAnsi"/>
                <w:b w:val="0"/>
                <w:sz w:val="20"/>
                <w:szCs w:val="20"/>
              </w:rPr>
              <w:t xml:space="preserve"> zrównoważonej mobilności miejskiej</w:t>
            </w:r>
            <w:r w:rsidR="007A6453">
              <w:rPr>
                <w:rFonts w:asciiTheme="minorHAnsi" w:hAnsiTheme="minorHAnsi" w:cstheme="minorHAnsi"/>
                <w:b w:val="0"/>
                <w:sz w:val="20"/>
                <w:szCs w:val="20"/>
              </w:rPr>
              <w:t xml:space="preserve"> </w:t>
            </w:r>
            <w:r>
              <w:rPr>
                <w:rFonts w:asciiTheme="minorHAnsi" w:hAnsiTheme="minorHAnsi" w:cstheme="minorHAnsi"/>
                <w:b w:val="0"/>
                <w:sz w:val="20"/>
                <w:szCs w:val="20"/>
              </w:rPr>
              <w:t xml:space="preserve"> </w:t>
            </w:r>
          </w:p>
        </w:tc>
        <w:tc>
          <w:tcPr>
            <w:tcW w:w="4536" w:type="dxa"/>
            <w:vAlign w:val="center"/>
          </w:tcPr>
          <w:p w:rsidR="0098324A" w:rsidRPr="00CA661D"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CA661D">
              <w:rPr>
                <w:rFonts w:ascii="Calibri" w:hAnsi="Calibri" w:cs="Calibri"/>
                <w:color w:val="000000"/>
                <w:sz w:val="20"/>
                <w:szCs w:val="20"/>
              </w:rPr>
              <w:t xml:space="preserve">Opracowanie i wdrożenie strategii </w:t>
            </w:r>
            <w:proofErr w:type="spellStart"/>
            <w:r w:rsidRPr="00CA661D">
              <w:rPr>
                <w:rFonts w:ascii="Calibri" w:hAnsi="Calibri" w:cs="Calibri"/>
                <w:color w:val="000000"/>
                <w:sz w:val="20"/>
                <w:szCs w:val="20"/>
              </w:rPr>
              <w:t>elektromobilności</w:t>
            </w:r>
            <w:proofErr w:type="spellEnd"/>
            <w:r w:rsidRPr="00CA661D">
              <w:rPr>
                <w:rFonts w:ascii="Calibri" w:hAnsi="Calibri" w:cs="Calibri"/>
                <w:color w:val="000000"/>
                <w:sz w:val="20"/>
                <w:szCs w:val="20"/>
              </w:rPr>
              <w:t xml:space="preserve"> wraz ze wskazaniem najważniejszych przedsięwzięć i zadań do realizacji</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Pr="00733E8D"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33E8D">
              <w:rPr>
                <w:sz w:val="20"/>
                <w:szCs w:val="20"/>
              </w:rPr>
              <w:t>Organizacje pozarządowe, przedsiębiorcy</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2F0C59"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2F0C59" w:rsidRDefault="002F0C59" w:rsidP="007A6453">
            <w:pPr>
              <w:spacing w:before="0"/>
              <w:ind w:firstLine="0"/>
              <w:jc w:val="left"/>
              <w:rPr>
                <w:rFonts w:cstheme="minorHAnsi"/>
                <w:sz w:val="20"/>
                <w:szCs w:val="20"/>
              </w:rPr>
            </w:pPr>
          </w:p>
        </w:tc>
        <w:tc>
          <w:tcPr>
            <w:tcW w:w="4536" w:type="dxa"/>
            <w:vAlign w:val="center"/>
          </w:tcPr>
          <w:p w:rsidR="002F0C59" w:rsidRPr="00A423BD" w:rsidRDefault="002F0C59" w:rsidP="007400C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rPr>
            </w:pPr>
            <w:r w:rsidRPr="00A423BD">
              <w:rPr>
                <w:rFonts w:ascii="Calibri" w:hAnsi="Calibri" w:cs="Calibri"/>
                <w:sz w:val="20"/>
                <w:szCs w:val="20"/>
              </w:rPr>
              <w:t>Opracowanie i wdrożenie Planu Zrównoważonej Mobilności Miejskiej (SUMP) wraz ze wskazaniem najważniejszych przedsięwzięć i zadań do realizacji</w:t>
            </w:r>
          </w:p>
        </w:tc>
        <w:tc>
          <w:tcPr>
            <w:tcW w:w="2835" w:type="dxa"/>
            <w:vAlign w:val="center"/>
          </w:tcPr>
          <w:p w:rsidR="002F0C59" w:rsidRPr="00A423BD" w:rsidRDefault="002F0C59" w:rsidP="00C56EC6">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423BD">
              <w:rPr>
                <w:rFonts w:ascii="Calibri" w:hAnsi="Calibri" w:cs="Calibri"/>
                <w:sz w:val="20"/>
                <w:szCs w:val="20"/>
              </w:rPr>
              <w:t>Gmina Miejska Hrubieszów</w:t>
            </w:r>
          </w:p>
        </w:tc>
        <w:tc>
          <w:tcPr>
            <w:tcW w:w="2409" w:type="dxa"/>
            <w:vAlign w:val="center"/>
          </w:tcPr>
          <w:p w:rsidR="002F0C59" w:rsidRPr="00A423BD" w:rsidRDefault="002F0C59" w:rsidP="007A6453">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A423BD">
              <w:rPr>
                <w:sz w:val="20"/>
                <w:szCs w:val="20"/>
              </w:rPr>
              <w:t>Organizacje pozarządowe, przedsiębiorcy</w:t>
            </w:r>
          </w:p>
        </w:tc>
        <w:tc>
          <w:tcPr>
            <w:tcW w:w="1560" w:type="dxa"/>
            <w:vAlign w:val="center"/>
          </w:tcPr>
          <w:p w:rsidR="002F0C59" w:rsidRPr="00A423BD" w:rsidRDefault="002F0C59" w:rsidP="007A6453">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423BD">
              <w:rPr>
                <w:rFonts w:ascii="Calibri" w:hAnsi="Calibri" w:cs="Calibri"/>
                <w:sz w:val="20"/>
                <w:szCs w:val="20"/>
              </w:rPr>
              <w:t>2021 – 2030</w:t>
            </w:r>
          </w:p>
        </w:tc>
      </w:tr>
      <w:tr w:rsidR="002F0C59"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2F0C59" w:rsidRPr="00BE2A80" w:rsidRDefault="002F0C59" w:rsidP="0098324A">
            <w:pPr>
              <w:spacing w:before="0"/>
              <w:ind w:firstLine="0"/>
              <w:jc w:val="left"/>
              <w:rPr>
                <w:rFonts w:asciiTheme="minorHAnsi" w:hAnsiTheme="minorHAnsi" w:cstheme="minorHAnsi"/>
                <w:b w:val="0"/>
                <w:sz w:val="20"/>
                <w:szCs w:val="20"/>
              </w:rPr>
            </w:pPr>
          </w:p>
        </w:tc>
        <w:tc>
          <w:tcPr>
            <w:tcW w:w="4536" w:type="dxa"/>
            <w:vAlign w:val="center"/>
          </w:tcPr>
          <w:p w:rsidR="002F0C59" w:rsidRPr="00A423BD" w:rsidRDefault="002F0C59"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423BD">
              <w:rPr>
                <w:rFonts w:ascii="Calibri" w:hAnsi="Calibri" w:cs="Calibri"/>
                <w:sz w:val="20"/>
                <w:szCs w:val="20"/>
              </w:rPr>
              <w:t xml:space="preserve">Budowa i rozwój parkingów typu </w:t>
            </w:r>
            <w:proofErr w:type="spellStart"/>
            <w:r w:rsidRPr="00A423BD">
              <w:rPr>
                <w:rFonts w:ascii="Calibri" w:hAnsi="Calibri" w:cs="Calibri"/>
                <w:sz w:val="20"/>
                <w:szCs w:val="20"/>
              </w:rPr>
              <w:t>park&amp;ride</w:t>
            </w:r>
            <w:proofErr w:type="spellEnd"/>
            <w:r w:rsidRPr="00A423BD">
              <w:rPr>
                <w:rFonts w:ascii="Calibri" w:hAnsi="Calibri" w:cs="Calibri"/>
                <w:sz w:val="20"/>
                <w:szCs w:val="20"/>
              </w:rPr>
              <w:t xml:space="preserve"> oraz </w:t>
            </w:r>
            <w:proofErr w:type="spellStart"/>
            <w:r w:rsidRPr="00A423BD">
              <w:rPr>
                <w:rFonts w:ascii="Calibri" w:hAnsi="Calibri" w:cs="Calibri"/>
                <w:sz w:val="20"/>
                <w:szCs w:val="20"/>
              </w:rPr>
              <w:t>park&amp;bike</w:t>
            </w:r>
            <w:proofErr w:type="spellEnd"/>
            <w:r w:rsidRPr="00A423BD">
              <w:rPr>
                <w:rFonts w:ascii="Calibri" w:hAnsi="Calibri" w:cs="Calibri"/>
                <w:sz w:val="20"/>
                <w:szCs w:val="20"/>
              </w:rPr>
              <w:t xml:space="preserve"> wraz z infrastrukturą do ładowania pojazdów elektrycznych</w:t>
            </w:r>
          </w:p>
        </w:tc>
        <w:tc>
          <w:tcPr>
            <w:tcW w:w="2835" w:type="dxa"/>
            <w:vAlign w:val="center"/>
          </w:tcPr>
          <w:p w:rsidR="002F0C59" w:rsidRPr="00A423BD"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423BD">
              <w:rPr>
                <w:rFonts w:ascii="Calibri" w:hAnsi="Calibri" w:cs="Calibri"/>
                <w:sz w:val="20"/>
                <w:szCs w:val="20"/>
              </w:rPr>
              <w:t>Gmina Miejska Hrubieszów, Gmina Hrubieszów</w:t>
            </w:r>
          </w:p>
        </w:tc>
        <w:tc>
          <w:tcPr>
            <w:tcW w:w="2409" w:type="dxa"/>
            <w:vAlign w:val="center"/>
          </w:tcPr>
          <w:p w:rsidR="002F0C59" w:rsidRPr="00A423BD"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A423BD">
              <w:rPr>
                <w:sz w:val="20"/>
                <w:szCs w:val="20"/>
              </w:rPr>
              <w:t>Organizacje pozarządowe, przedsiębiorcy, mieszkańcy</w:t>
            </w:r>
          </w:p>
        </w:tc>
        <w:tc>
          <w:tcPr>
            <w:tcW w:w="1560" w:type="dxa"/>
            <w:vAlign w:val="center"/>
          </w:tcPr>
          <w:p w:rsidR="002F0C59" w:rsidRPr="00A423BD"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423BD">
              <w:rPr>
                <w:rFonts w:ascii="Calibri" w:hAnsi="Calibri" w:cs="Calibri"/>
                <w:sz w:val="20"/>
                <w:szCs w:val="20"/>
              </w:rPr>
              <w:t>2021 – 2030</w:t>
            </w:r>
          </w:p>
        </w:tc>
      </w:tr>
      <w:tr w:rsidR="002F0C59"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2F0C59" w:rsidRPr="00BE2A80" w:rsidRDefault="002F0C59" w:rsidP="0098324A">
            <w:pPr>
              <w:spacing w:before="0"/>
              <w:ind w:firstLine="0"/>
              <w:jc w:val="left"/>
              <w:rPr>
                <w:rFonts w:asciiTheme="minorHAnsi" w:hAnsiTheme="minorHAnsi" w:cstheme="minorHAnsi"/>
                <w:b w:val="0"/>
                <w:sz w:val="20"/>
                <w:szCs w:val="20"/>
              </w:rPr>
            </w:pPr>
          </w:p>
        </w:tc>
        <w:tc>
          <w:tcPr>
            <w:tcW w:w="4536" w:type="dxa"/>
            <w:vAlign w:val="center"/>
          </w:tcPr>
          <w:p w:rsidR="002F0C59" w:rsidRPr="00A423BD" w:rsidRDefault="002F0C59"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rPr>
            </w:pPr>
            <w:r w:rsidRPr="00A423BD">
              <w:rPr>
                <w:rFonts w:ascii="Calibri" w:hAnsi="Calibri" w:cs="Calibri"/>
                <w:sz w:val="20"/>
                <w:szCs w:val="20"/>
              </w:rPr>
              <w:t xml:space="preserve">Budowa infrastruktury do ładowania pojazdów elektrycznych, w szczególności przy budynkach użyteczności publicznej </w:t>
            </w:r>
          </w:p>
        </w:tc>
        <w:tc>
          <w:tcPr>
            <w:tcW w:w="2835" w:type="dxa"/>
            <w:vAlign w:val="center"/>
          </w:tcPr>
          <w:p w:rsidR="002F0C59" w:rsidRPr="00A423BD"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423BD">
              <w:rPr>
                <w:rFonts w:ascii="Calibri" w:hAnsi="Calibri" w:cs="Calibri"/>
                <w:sz w:val="20"/>
                <w:szCs w:val="20"/>
              </w:rPr>
              <w:t>Gmina Miejska Hrubieszów, Gmina Hrubieszów</w:t>
            </w:r>
          </w:p>
        </w:tc>
        <w:tc>
          <w:tcPr>
            <w:tcW w:w="2409" w:type="dxa"/>
            <w:vAlign w:val="center"/>
          </w:tcPr>
          <w:p w:rsidR="002F0C59" w:rsidRPr="00A423BD"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423BD">
              <w:rPr>
                <w:sz w:val="20"/>
                <w:szCs w:val="20"/>
              </w:rPr>
              <w:t>Organizacje pozarządowe, przedsiębiorcy, mieszkańcy</w:t>
            </w:r>
          </w:p>
        </w:tc>
        <w:tc>
          <w:tcPr>
            <w:tcW w:w="1560" w:type="dxa"/>
            <w:vAlign w:val="center"/>
          </w:tcPr>
          <w:p w:rsidR="002F0C59" w:rsidRPr="00A423BD"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423BD">
              <w:rPr>
                <w:rFonts w:ascii="Calibri" w:hAnsi="Calibri" w:cs="Calibri"/>
                <w:sz w:val="20"/>
                <w:szCs w:val="20"/>
              </w:rPr>
              <w:t>2021 – 2030</w:t>
            </w:r>
          </w:p>
        </w:tc>
      </w:tr>
      <w:tr w:rsidR="002F0C59"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2F0C59" w:rsidRPr="00BE2A80" w:rsidRDefault="002F0C59" w:rsidP="0098324A">
            <w:pPr>
              <w:spacing w:before="0"/>
              <w:ind w:firstLine="0"/>
              <w:jc w:val="left"/>
              <w:rPr>
                <w:rFonts w:asciiTheme="minorHAnsi" w:hAnsiTheme="minorHAnsi" w:cstheme="minorHAnsi"/>
                <w:b w:val="0"/>
                <w:sz w:val="20"/>
                <w:szCs w:val="20"/>
              </w:rPr>
            </w:pPr>
          </w:p>
        </w:tc>
        <w:tc>
          <w:tcPr>
            <w:tcW w:w="4536" w:type="dxa"/>
            <w:vAlign w:val="center"/>
          </w:tcPr>
          <w:p w:rsidR="002F0C59" w:rsidRPr="00A423BD" w:rsidRDefault="002F0C59"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423BD">
              <w:rPr>
                <w:rFonts w:ascii="Calibri" w:hAnsi="Calibri" w:cs="Calibri"/>
                <w:sz w:val="20"/>
                <w:szCs w:val="20"/>
              </w:rPr>
              <w:t xml:space="preserve">Tworzenie warunków do organizacji w gminne wypożyczalni pojazdów elektrycznych </w:t>
            </w:r>
          </w:p>
        </w:tc>
        <w:tc>
          <w:tcPr>
            <w:tcW w:w="2835" w:type="dxa"/>
            <w:vAlign w:val="center"/>
          </w:tcPr>
          <w:p w:rsidR="002F0C59" w:rsidRPr="00A423BD"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423BD">
              <w:rPr>
                <w:rFonts w:ascii="Calibri" w:hAnsi="Calibri" w:cs="Calibri"/>
                <w:sz w:val="20"/>
                <w:szCs w:val="20"/>
              </w:rPr>
              <w:t>Gmina Miejska Hrubieszów</w:t>
            </w:r>
          </w:p>
        </w:tc>
        <w:tc>
          <w:tcPr>
            <w:tcW w:w="2409" w:type="dxa"/>
            <w:vAlign w:val="center"/>
          </w:tcPr>
          <w:p w:rsidR="002F0C59" w:rsidRPr="00A423BD"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423BD">
              <w:rPr>
                <w:sz w:val="20"/>
                <w:szCs w:val="20"/>
              </w:rPr>
              <w:t>Organizacje pozarządowe, przedsiębiorcy, mieszkańcy</w:t>
            </w:r>
          </w:p>
        </w:tc>
        <w:tc>
          <w:tcPr>
            <w:tcW w:w="1560" w:type="dxa"/>
            <w:vAlign w:val="center"/>
          </w:tcPr>
          <w:p w:rsidR="002F0C59" w:rsidRPr="00A423BD"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423BD">
              <w:rPr>
                <w:rFonts w:ascii="Calibri" w:hAnsi="Calibri" w:cs="Calibri"/>
                <w:sz w:val="20"/>
                <w:szCs w:val="20"/>
              </w:rPr>
              <w:t>2021 – 2030</w:t>
            </w:r>
          </w:p>
        </w:tc>
      </w:tr>
      <w:tr w:rsidR="002F0C59"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2F0C59" w:rsidRPr="00BE2A80" w:rsidRDefault="002F0C59" w:rsidP="0098324A">
            <w:pPr>
              <w:spacing w:before="0"/>
              <w:ind w:firstLine="0"/>
              <w:jc w:val="left"/>
              <w:rPr>
                <w:rFonts w:asciiTheme="minorHAnsi" w:hAnsiTheme="minorHAnsi" w:cstheme="minorHAnsi"/>
                <w:b w:val="0"/>
                <w:sz w:val="20"/>
                <w:szCs w:val="20"/>
              </w:rPr>
            </w:pPr>
          </w:p>
        </w:tc>
        <w:tc>
          <w:tcPr>
            <w:tcW w:w="4536" w:type="dxa"/>
            <w:vAlign w:val="center"/>
          </w:tcPr>
          <w:p w:rsidR="002F0C59" w:rsidRPr="00A423BD" w:rsidRDefault="002F0C59"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sz w:val="20"/>
                <w:szCs w:val="20"/>
              </w:rPr>
            </w:pPr>
            <w:r w:rsidRPr="00A423BD">
              <w:rPr>
                <w:rFonts w:ascii="Calibri" w:hAnsi="Calibri" w:cs="Calibri"/>
                <w:sz w:val="20"/>
                <w:szCs w:val="20"/>
              </w:rPr>
              <w:t xml:space="preserve">Rozbudowa sieci dróg rowerowych wraz z infrastrukturą towarzyszącą </w:t>
            </w:r>
          </w:p>
        </w:tc>
        <w:tc>
          <w:tcPr>
            <w:tcW w:w="2835" w:type="dxa"/>
            <w:vAlign w:val="center"/>
          </w:tcPr>
          <w:p w:rsidR="002F0C59" w:rsidRPr="00A423BD"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423BD">
              <w:rPr>
                <w:rFonts w:ascii="Calibri" w:hAnsi="Calibri" w:cs="Calibri"/>
                <w:sz w:val="20"/>
                <w:szCs w:val="20"/>
              </w:rPr>
              <w:t>Gmina Miejska Hrubieszów, Gmina Hrubieszów</w:t>
            </w:r>
          </w:p>
        </w:tc>
        <w:tc>
          <w:tcPr>
            <w:tcW w:w="2409" w:type="dxa"/>
            <w:vAlign w:val="center"/>
          </w:tcPr>
          <w:p w:rsidR="002F0C59" w:rsidRPr="00A423BD"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A423BD">
              <w:rPr>
                <w:sz w:val="20"/>
                <w:szCs w:val="20"/>
              </w:rPr>
              <w:t>HOSIR, organizacje pozarządowe, przedsiębiorcy</w:t>
            </w:r>
          </w:p>
        </w:tc>
        <w:tc>
          <w:tcPr>
            <w:tcW w:w="1560" w:type="dxa"/>
            <w:vAlign w:val="center"/>
          </w:tcPr>
          <w:p w:rsidR="002F0C59" w:rsidRPr="00A423BD"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423BD">
              <w:rPr>
                <w:rFonts w:ascii="Calibri" w:hAnsi="Calibri" w:cs="Calibri"/>
                <w:sz w:val="20"/>
                <w:szCs w:val="20"/>
              </w:rPr>
              <w:t>2021 – 2030</w:t>
            </w:r>
          </w:p>
        </w:tc>
      </w:tr>
      <w:tr w:rsidR="002F0C59"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2F0C59" w:rsidRPr="00BE2A80" w:rsidRDefault="002F0C59" w:rsidP="0098324A">
            <w:pPr>
              <w:spacing w:before="0"/>
              <w:ind w:firstLine="0"/>
              <w:jc w:val="left"/>
              <w:rPr>
                <w:rFonts w:asciiTheme="minorHAnsi" w:hAnsiTheme="minorHAnsi" w:cstheme="minorHAnsi"/>
                <w:b w:val="0"/>
                <w:sz w:val="20"/>
                <w:szCs w:val="20"/>
              </w:rPr>
            </w:pPr>
          </w:p>
        </w:tc>
        <w:tc>
          <w:tcPr>
            <w:tcW w:w="4536" w:type="dxa"/>
            <w:vAlign w:val="center"/>
          </w:tcPr>
          <w:p w:rsidR="002F0C59" w:rsidRPr="00A423BD" w:rsidRDefault="002F0C59"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A423BD">
              <w:rPr>
                <w:rFonts w:ascii="Calibri" w:hAnsi="Calibri" w:cs="Calibri"/>
                <w:sz w:val="20"/>
                <w:szCs w:val="20"/>
              </w:rPr>
              <w:t xml:space="preserve">Rozbudowa systemu roweru miejskiego oraz systemów bezobsługowego wypożyczania rowerów miejskich, w tym rowerów wspomaganych elektrycznie </w:t>
            </w:r>
          </w:p>
        </w:tc>
        <w:tc>
          <w:tcPr>
            <w:tcW w:w="2835" w:type="dxa"/>
            <w:vAlign w:val="center"/>
          </w:tcPr>
          <w:p w:rsidR="002F0C59" w:rsidRPr="00A423BD"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423BD">
              <w:rPr>
                <w:rFonts w:ascii="Calibri" w:hAnsi="Calibri" w:cs="Calibri"/>
                <w:sz w:val="20"/>
                <w:szCs w:val="20"/>
              </w:rPr>
              <w:t>Gmina Miejska Hrubieszów, Gmina Hrubieszów</w:t>
            </w:r>
          </w:p>
        </w:tc>
        <w:tc>
          <w:tcPr>
            <w:tcW w:w="2409" w:type="dxa"/>
            <w:vAlign w:val="center"/>
          </w:tcPr>
          <w:p w:rsidR="002F0C59" w:rsidRPr="00A423BD"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423BD">
              <w:rPr>
                <w:sz w:val="20"/>
                <w:szCs w:val="20"/>
              </w:rPr>
              <w:t>Organizacje pozarządowe, przedsiębiorcy</w:t>
            </w:r>
          </w:p>
        </w:tc>
        <w:tc>
          <w:tcPr>
            <w:tcW w:w="1560" w:type="dxa"/>
            <w:vAlign w:val="center"/>
          </w:tcPr>
          <w:p w:rsidR="002F0C59" w:rsidRPr="00A423BD"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423BD">
              <w:rPr>
                <w:rFonts w:ascii="Calibri" w:hAnsi="Calibri" w:cs="Calibri"/>
                <w:sz w:val="20"/>
                <w:szCs w:val="20"/>
              </w:rPr>
              <w:t>2021 – 2030</w:t>
            </w:r>
          </w:p>
        </w:tc>
      </w:tr>
      <w:tr w:rsidR="002F0C59"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2F0C59" w:rsidRPr="00BE2A80" w:rsidRDefault="002F0C59" w:rsidP="0098324A">
            <w:pPr>
              <w:spacing w:before="0"/>
              <w:ind w:firstLine="0"/>
              <w:jc w:val="left"/>
              <w:rPr>
                <w:rFonts w:asciiTheme="minorHAnsi" w:hAnsiTheme="minorHAnsi" w:cstheme="minorHAnsi"/>
                <w:b w:val="0"/>
                <w:sz w:val="20"/>
                <w:szCs w:val="20"/>
              </w:rPr>
            </w:pPr>
          </w:p>
        </w:tc>
        <w:tc>
          <w:tcPr>
            <w:tcW w:w="4536" w:type="dxa"/>
            <w:vAlign w:val="center"/>
          </w:tcPr>
          <w:p w:rsidR="002F0C59" w:rsidRPr="00CA661D" w:rsidRDefault="002F0C59" w:rsidP="00AF1F3E">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CA661D">
              <w:rPr>
                <w:rFonts w:ascii="Calibri" w:hAnsi="Calibri" w:cs="Calibri"/>
                <w:color w:val="000000"/>
                <w:sz w:val="20"/>
                <w:szCs w:val="20"/>
              </w:rPr>
              <w:t>Wymiana samorządowej floty samochodowej oraz floty należącej do</w:t>
            </w:r>
            <w:r>
              <w:rPr>
                <w:rFonts w:ascii="Calibri" w:hAnsi="Calibri" w:cs="Calibri"/>
                <w:color w:val="000000"/>
                <w:sz w:val="20"/>
                <w:szCs w:val="20"/>
              </w:rPr>
              <w:t> </w:t>
            </w:r>
            <w:r w:rsidRPr="00CA661D">
              <w:rPr>
                <w:rFonts w:ascii="Calibri" w:hAnsi="Calibri" w:cs="Calibri"/>
                <w:color w:val="000000"/>
                <w:sz w:val="20"/>
                <w:szCs w:val="20"/>
              </w:rPr>
              <w:t xml:space="preserve">spółek gminnych i jednostek organizacyjnych gmin na elektryczną oraz zasilaną gazem ziemnym (tam gdzie jest to możliwe technicznie i uzasadnione ekonomicznie) </w:t>
            </w:r>
          </w:p>
        </w:tc>
        <w:tc>
          <w:tcPr>
            <w:tcW w:w="2835" w:type="dxa"/>
            <w:vAlign w:val="center"/>
          </w:tcPr>
          <w:p w:rsidR="002F0C59"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2F0C59" w:rsidRPr="00496DA9"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pPr>
            <w:r>
              <w:rPr>
                <w:sz w:val="20"/>
              </w:rPr>
              <w:t>-</w:t>
            </w:r>
          </w:p>
        </w:tc>
        <w:tc>
          <w:tcPr>
            <w:tcW w:w="1560" w:type="dxa"/>
            <w:vAlign w:val="center"/>
          </w:tcPr>
          <w:p w:rsidR="002F0C59"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2F0C59"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2F0C59" w:rsidRPr="00BE2A80" w:rsidRDefault="002F0C59" w:rsidP="0098324A">
            <w:pPr>
              <w:spacing w:before="0"/>
              <w:ind w:firstLine="0"/>
              <w:jc w:val="left"/>
              <w:rPr>
                <w:rFonts w:asciiTheme="minorHAnsi" w:hAnsiTheme="minorHAnsi" w:cstheme="minorHAnsi"/>
                <w:b w:val="0"/>
                <w:sz w:val="20"/>
                <w:szCs w:val="20"/>
              </w:rPr>
            </w:pPr>
            <w:r w:rsidRPr="00BE2A80">
              <w:rPr>
                <w:rFonts w:asciiTheme="minorHAnsi" w:hAnsiTheme="minorHAnsi" w:cstheme="minorHAnsi"/>
                <w:b w:val="0"/>
                <w:sz w:val="20"/>
                <w:szCs w:val="20"/>
              </w:rPr>
              <w:t>Rozwój odnawialnych źródeł energii na terenie HOF</w:t>
            </w:r>
          </w:p>
        </w:tc>
        <w:tc>
          <w:tcPr>
            <w:tcW w:w="4536" w:type="dxa"/>
            <w:vAlign w:val="center"/>
          </w:tcPr>
          <w:p w:rsidR="002F0C59" w:rsidRPr="00CA661D" w:rsidRDefault="002F0C59"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CA661D">
              <w:rPr>
                <w:rFonts w:ascii="Calibri" w:hAnsi="Calibri" w:cs="Calibri"/>
                <w:color w:val="000000"/>
                <w:sz w:val="20"/>
                <w:szCs w:val="20"/>
              </w:rPr>
              <w:t>Projekty w zakresie rozbudowy indywidualnych instalacji solarnych (kolektory słoneczne i fotowoltaika)</w:t>
            </w:r>
          </w:p>
        </w:tc>
        <w:tc>
          <w:tcPr>
            <w:tcW w:w="2835" w:type="dxa"/>
            <w:vAlign w:val="center"/>
          </w:tcPr>
          <w:p w:rsidR="002F0C59"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r>
              <w:rPr>
                <w:rFonts w:ascii="Calibri" w:hAnsi="Calibri" w:cs="Calibri"/>
                <w:color w:val="000000"/>
                <w:sz w:val="20"/>
                <w:szCs w:val="20"/>
              </w:rPr>
              <w:t xml:space="preserve">, </w:t>
            </w:r>
            <w:r w:rsidRPr="00733E8D">
              <w:rPr>
                <w:bCs/>
                <w:sz w:val="20"/>
                <w:szCs w:val="20"/>
              </w:rPr>
              <w:t>przedsiębiorcy</w:t>
            </w:r>
          </w:p>
        </w:tc>
        <w:tc>
          <w:tcPr>
            <w:tcW w:w="2409" w:type="dxa"/>
            <w:vAlign w:val="center"/>
          </w:tcPr>
          <w:p w:rsidR="002F0C59" w:rsidRPr="00733E8D" w:rsidRDefault="002F0C59" w:rsidP="00A21F80">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Pr>
                <w:bCs/>
                <w:sz w:val="20"/>
                <w:szCs w:val="20"/>
              </w:rPr>
              <w:t>Mieszkańcy – osoby fizyczne</w:t>
            </w:r>
          </w:p>
        </w:tc>
        <w:tc>
          <w:tcPr>
            <w:tcW w:w="1560" w:type="dxa"/>
            <w:vAlign w:val="center"/>
          </w:tcPr>
          <w:p w:rsidR="002F0C59" w:rsidRDefault="002F0C59"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2F0C59"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2F0C59" w:rsidRDefault="002F0C59" w:rsidP="0098324A">
            <w:pPr>
              <w:spacing w:before="0"/>
              <w:ind w:firstLine="0"/>
              <w:rPr>
                <w:b w:val="0"/>
              </w:rPr>
            </w:pPr>
          </w:p>
        </w:tc>
        <w:tc>
          <w:tcPr>
            <w:tcW w:w="4536" w:type="dxa"/>
            <w:vAlign w:val="center"/>
          </w:tcPr>
          <w:p w:rsidR="002F0C59" w:rsidRPr="00CA661D" w:rsidRDefault="002F0C59"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CA661D">
              <w:rPr>
                <w:rFonts w:ascii="Calibri" w:hAnsi="Calibri" w:cs="Calibri"/>
                <w:color w:val="000000"/>
                <w:sz w:val="20"/>
                <w:szCs w:val="20"/>
              </w:rPr>
              <w:t xml:space="preserve">Projekty związane z rozwojem energetyki rozproszonej na terenie HOF (w formie klastra energii lub spółdzielni energetycznej) </w:t>
            </w:r>
          </w:p>
        </w:tc>
        <w:tc>
          <w:tcPr>
            <w:tcW w:w="2835" w:type="dxa"/>
            <w:vAlign w:val="center"/>
          </w:tcPr>
          <w:p w:rsidR="002F0C59"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2F0C59" w:rsidRPr="00733E8D"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33E8D">
              <w:rPr>
                <w:bCs/>
                <w:sz w:val="20"/>
                <w:szCs w:val="20"/>
              </w:rPr>
              <w:t>Przedsiębiorcy</w:t>
            </w:r>
          </w:p>
        </w:tc>
        <w:tc>
          <w:tcPr>
            <w:tcW w:w="1560" w:type="dxa"/>
            <w:vAlign w:val="center"/>
          </w:tcPr>
          <w:p w:rsidR="002F0C59" w:rsidRDefault="002F0C59"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98324A" w:rsidRPr="00B21A73" w:rsidRDefault="0098324A" w:rsidP="0098324A">
      <w:pPr>
        <w:rPr>
          <w:b/>
        </w:rPr>
      </w:pPr>
      <w:r w:rsidRPr="00B21A73">
        <w:rPr>
          <w:b/>
        </w:rPr>
        <w:t>Cel operacyjny 2.4 Ochrona walorów przyrodniczych i kulturowych obszaru HOF</w:t>
      </w:r>
    </w:p>
    <w:tbl>
      <w:tblPr>
        <w:tblStyle w:val="Jasnasiatkaakcent21"/>
        <w:tblW w:w="14142" w:type="dxa"/>
        <w:tblLook w:val="04A0" w:firstRow="1" w:lastRow="0" w:firstColumn="1" w:lastColumn="0" w:noHBand="0" w:noVBand="1"/>
      </w:tblPr>
      <w:tblGrid>
        <w:gridCol w:w="2802"/>
        <w:gridCol w:w="4536"/>
        <w:gridCol w:w="2835"/>
        <w:gridCol w:w="2409"/>
        <w:gridCol w:w="1560"/>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 xml:space="preserve">odmioty biorące udział w realizacji (partnerzy merytoryczni, </w:t>
            </w:r>
            <w:r w:rsidRPr="003F543C">
              <w:rPr>
                <w:rFonts w:asciiTheme="minorHAnsi" w:hAnsiTheme="minorHAnsi" w:cstheme="minorHAnsi"/>
                <w:color w:val="000000"/>
                <w:sz w:val="20"/>
                <w:szCs w:val="20"/>
              </w:rPr>
              <w:lastRenderedPageBreak/>
              <w:t>organizacyjni i finansowi)</w:t>
            </w:r>
          </w:p>
        </w:tc>
        <w:tc>
          <w:tcPr>
            <w:tcW w:w="1560"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lastRenderedPageBreak/>
              <w:t>Okres realizacji</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BE2A80" w:rsidRDefault="0098324A" w:rsidP="0098324A">
            <w:pPr>
              <w:spacing w:before="0"/>
              <w:ind w:firstLine="0"/>
              <w:jc w:val="left"/>
              <w:rPr>
                <w:rFonts w:asciiTheme="minorHAnsi" w:hAnsiTheme="minorHAnsi" w:cstheme="minorHAnsi"/>
                <w:b w:val="0"/>
                <w:sz w:val="20"/>
                <w:szCs w:val="20"/>
              </w:rPr>
            </w:pPr>
            <w:r>
              <w:rPr>
                <w:rFonts w:asciiTheme="minorHAnsi" w:hAnsiTheme="minorHAnsi" w:cstheme="minorHAnsi"/>
                <w:b w:val="0"/>
                <w:sz w:val="20"/>
                <w:szCs w:val="20"/>
              </w:rPr>
              <w:lastRenderedPageBreak/>
              <w:t>Kreowanie przyjaznej polityki w </w:t>
            </w:r>
            <w:r w:rsidRPr="00BE2A80">
              <w:rPr>
                <w:rFonts w:asciiTheme="minorHAnsi" w:hAnsiTheme="minorHAnsi" w:cstheme="minorHAnsi"/>
                <w:b w:val="0"/>
                <w:sz w:val="20"/>
                <w:szCs w:val="20"/>
              </w:rPr>
              <w:t>zakresie ochrony dziedzictwa przyrodniczego i kulturowego na obszarze HOF</w:t>
            </w:r>
          </w:p>
        </w:tc>
        <w:tc>
          <w:tcPr>
            <w:tcW w:w="4536" w:type="dxa"/>
            <w:vAlign w:val="center"/>
          </w:tcPr>
          <w:p w:rsidR="0098324A" w:rsidRPr="00BE2A80"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E2A80">
              <w:rPr>
                <w:rFonts w:ascii="Calibri" w:hAnsi="Calibri" w:cs="Calibri"/>
                <w:color w:val="000000"/>
                <w:sz w:val="20"/>
                <w:szCs w:val="20"/>
              </w:rPr>
              <w:t>Priorytetowe traktowanie kwestii o</w:t>
            </w:r>
            <w:r>
              <w:rPr>
                <w:rFonts w:ascii="Calibri" w:hAnsi="Calibri" w:cs="Calibri"/>
                <w:color w:val="000000"/>
                <w:sz w:val="20"/>
                <w:szCs w:val="20"/>
              </w:rPr>
              <w:t>chrony zasobów przyrodniczych i </w:t>
            </w:r>
            <w:r w:rsidRPr="00BE2A80">
              <w:rPr>
                <w:rFonts w:ascii="Calibri" w:hAnsi="Calibri" w:cs="Calibri"/>
                <w:color w:val="000000"/>
                <w:sz w:val="20"/>
                <w:szCs w:val="20"/>
              </w:rPr>
              <w:t xml:space="preserve">kulturowych w dokumentach planowania przestrzennego </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8324A" w:rsidRPr="00A46F01"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A46F01">
              <w:rPr>
                <w:sz w:val="20"/>
                <w:szCs w:val="20"/>
              </w:rPr>
              <w:t xml:space="preserve">Organizacje pozarządowe, </w:t>
            </w:r>
            <w:r w:rsidRPr="00A46F01">
              <w:rPr>
                <w:bCs/>
                <w:sz w:val="20"/>
                <w:szCs w:val="20"/>
              </w:rPr>
              <w:t>Mieszkańcy – osoby fizyczne, przedsiębiorcy</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BE2A80"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BE2A80"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BE2A80">
              <w:rPr>
                <w:rFonts w:ascii="Calibri" w:hAnsi="Calibri" w:cs="Calibri"/>
                <w:color w:val="000000"/>
                <w:sz w:val="20"/>
                <w:szCs w:val="20"/>
              </w:rPr>
              <w:t>Opracowanie wspólnego programu ochrony środowiska dla obszaru HOF</w:t>
            </w:r>
          </w:p>
        </w:tc>
        <w:tc>
          <w:tcPr>
            <w:tcW w:w="2835" w:type="dxa"/>
            <w:vAlign w:val="center"/>
          </w:tcPr>
          <w:p w:rsidR="0098324A" w:rsidRPr="00A46F01"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A46F01">
              <w:rPr>
                <w:rFonts w:ascii="Calibri" w:hAnsi="Calibri" w:cs="Calibri"/>
                <w:color w:val="000000"/>
                <w:sz w:val="20"/>
                <w:szCs w:val="20"/>
              </w:rPr>
              <w:t>Gmina Miejska Hrubieszów, Gmina Hrubieszów</w:t>
            </w:r>
          </w:p>
        </w:tc>
        <w:tc>
          <w:tcPr>
            <w:tcW w:w="2409" w:type="dxa"/>
            <w:vAlign w:val="center"/>
          </w:tcPr>
          <w:p w:rsidR="0098324A" w:rsidRPr="00A46F01"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A46F01">
              <w:rPr>
                <w:sz w:val="20"/>
                <w:szCs w:val="20"/>
              </w:rPr>
              <w:t>Nadleśnictwo, Regionalna Dyrekcja Ochrony Środowiska, Zarząd Parków Krajobrazowych</w:t>
            </w:r>
            <w:r>
              <w:rPr>
                <w:sz w:val="20"/>
                <w:szCs w:val="20"/>
              </w:rPr>
              <w:t>, organizacje pozarządowe</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BE2A80"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BE2A80"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E2A80">
              <w:rPr>
                <w:rFonts w:ascii="Calibri" w:hAnsi="Calibri" w:cs="Calibri"/>
                <w:color w:val="000000"/>
                <w:sz w:val="20"/>
                <w:szCs w:val="20"/>
              </w:rPr>
              <w:t>Opracowanie wspólnego programu opieki nad zabytkami dla obszaru HOF</w:t>
            </w:r>
          </w:p>
        </w:tc>
        <w:tc>
          <w:tcPr>
            <w:tcW w:w="2835"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46F01">
              <w:rPr>
                <w:rFonts w:ascii="Calibri" w:hAnsi="Calibri" w:cs="Calibri"/>
                <w:color w:val="000000"/>
                <w:sz w:val="20"/>
                <w:szCs w:val="20"/>
              </w:rPr>
              <w:t>Gmina Miejska Hrubieszów, Gmina Hrubieszów</w:t>
            </w:r>
          </w:p>
        </w:tc>
        <w:tc>
          <w:tcPr>
            <w:tcW w:w="2409" w:type="dxa"/>
            <w:vAlign w:val="center"/>
          </w:tcPr>
          <w:p w:rsidR="0098324A" w:rsidRPr="00A46F01"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sz w:val="20"/>
              </w:rPr>
            </w:pPr>
            <w:r w:rsidRPr="00A46F01">
              <w:rPr>
                <w:sz w:val="20"/>
              </w:rPr>
              <w:t>Organizacje pozarządowe</w:t>
            </w:r>
            <w:r>
              <w:rPr>
                <w:sz w:val="20"/>
              </w:rPr>
              <w:t>. LWKZ</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8324A" w:rsidRPr="00BE2A80" w:rsidRDefault="0098324A" w:rsidP="0098324A">
            <w:pPr>
              <w:spacing w:before="0"/>
              <w:ind w:firstLine="0"/>
              <w:jc w:val="left"/>
              <w:rPr>
                <w:rFonts w:asciiTheme="minorHAnsi" w:hAnsiTheme="minorHAnsi" w:cstheme="minorHAnsi"/>
                <w:b w:val="0"/>
                <w:sz w:val="20"/>
                <w:szCs w:val="20"/>
              </w:rPr>
            </w:pPr>
            <w:r w:rsidRPr="00BE2A80">
              <w:rPr>
                <w:rFonts w:asciiTheme="minorHAnsi" w:hAnsiTheme="minorHAnsi" w:cstheme="minorHAnsi"/>
                <w:b w:val="0"/>
                <w:sz w:val="20"/>
                <w:szCs w:val="20"/>
              </w:rPr>
              <w:t>Właściwa ochrona i zachowanie krajobrazu i bioróżnorodności przyrodniczej na terenie HOF</w:t>
            </w:r>
          </w:p>
        </w:tc>
        <w:tc>
          <w:tcPr>
            <w:tcW w:w="4536" w:type="dxa"/>
            <w:vAlign w:val="center"/>
          </w:tcPr>
          <w:p w:rsidR="0098324A" w:rsidRPr="00BE2A80"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BE2A80">
              <w:rPr>
                <w:rFonts w:ascii="Calibri" w:hAnsi="Calibri" w:cs="Calibri"/>
                <w:color w:val="000000"/>
                <w:sz w:val="20"/>
                <w:szCs w:val="20"/>
              </w:rPr>
              <w:t>Projekty o charakterze naukowo-badawczym i edukacyjnym</w:t>
            </w:r>
          </w:p>
        </w:tc>
        <w:tc>
          <w:tcPr>
            <w:tcW w:w="2835" w:type="dxa"/>
            <w:vAlign w:val="center"/>
          </w:tcPr>
          <w:p w:rsidR="0098324A" w:rsidRPr="00716E17"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16E17">
              <w:rPr>
                <w:rFonts w:ascii="Calibri" w:hAnsi="Calibri" w:cs="Calibri"/>
                <w:color w:val="000000"/>
                <w:sz w:val="20"/>
                <w:szCs w:val="20"/>
              </w:rPr>
              <w:t>Gmina Miejska Hrubieszów, Gmina Hrubieszów</w:t>
            </w:r>
            <w:r w:rsidR="00A21F80" w:rsidRPr="00716E17">
              <w:rPr>
                <w:rFonts w:ascii="Calibri" w:hAnsi="Calibri" w:cs="Calibri"/>
                <w:color w:val="000000"/>
                <w:sz w:val="20"/>
                <w:szCs w:val="20"/>
              </w:rPr>
              <w:t>, szkoły</w:t>
            </w:r>
          </w:p>
        </w:tc>
        <w:tc>
          <w:tcPr>
            <w:tcW w:w="2409" w:type="dxa"/>
            <w:vAlign w:val="center"/>
          </w:tcPr>
          <w:p w:rsidR="0098324A" w:rsidRPr="00716E17"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16E17">
              <w:rPr>
                <w:sz w:val="20"/>
                <w:szCs w:val="20"/>
              </w:rPr>
              <w:t>Nadleśnictwo, Regionalna Dyrekcja Ochrony Środowiska, Zarząd Parków Krajobrazowych, organizacje pozarządowe</w:t>
            </w:r>
            <w:r w:rsidR="00A21F80" w:rsidRPr="00716E17">
              <w:rPr>
                <w:sz w:val="20"/>
                <w:szCs w:val="20"/>
              </w:rPr>
              <w:t>, przedsiębiorcy</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98324A" w:rsidRPr="00BE2A80" w:rsidRDefault="0098324A" w:rsidP="0098324A">
            <w:pPr>
              <w:spacing w:before="0"/>
              <w:ind w:firstLine="0"/>
              <w:jc w:val="left"/>
              <w:rPr>
                <w:rFonts w:asciiTheme="minorHAnsi" w:hAnsiTheme="minorHAnsi" w:cstheme="minorHAnsi"/>
                <w:b w:val="0"/>
                <w:sz w:val="20"/>
                <w:szCs w:val="20"/>
              </w:rPr>
            </w:pPr>
          </w:p>
        </w:tc>
        <w:tc>
          <w:tcPr>
            <w:tcW w:w="4536" w:type="dxa"/>
            <w:vAlign w:val="center"/>
          </w:tcPr>
          <w:p w:rsidR="0098324A" w:rsidRPr="00B032E0"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FF0000"/>
                <w:sz w:val="20"/>
                <w:szCs w:val="20"/>
              </w:rPr>
            </w:pPr>
            <w:r>
              <w:rPr>
                <w:rFonts w:ascii="Calibri" w:hAnsi="Calibri" w:cs="Calibri"/>
                <w:color w:val="000000"/>
                <w:sz w:val="20"/>
                <w:szCs w:val="20"/>
              </w:rPr>
              <w:t>Projekty i przedsięwzięcia o </w:t>
            </w:r>
            <w:r w:rsidRPr="00BE2A80">
              <w:rPr>
                <w:rFonts w:ascii="Calibri" w:hAnsi="Calibri" w:cs="Calibri"/>
                <w:color w:val="000000"/>
                <w:sz w:val="20"/>
                <w:szCs w:val="20"/>
              </w:rPr>
              <w:t xml:space="preserve">charakterze </w:t>
            </w:r>
            <w:r w:rsidR="007A2DBC" w:rsidRPr="00BE2A80">
              <w:rPr>
                <w:rFonts w:ascii="Calibri" w:hAnsi="Calibri" w:cs="Calibri"/>
                <w:color w:val="000000"/>
                <w:sz w:val="20"/>
                <w:szCs w:val="20"/>
              </w:rPr>
              <w:t>inwestycyjnym</w:t>
            </w:r>
            <w:r w:rsidR="007A2DBC" w:rsidRPr="007A2DBC">
              <w:rPr>
                <w:rFonts w:ascii="Calibri" w:hAnsi="Calibri" w:cs="Calibri"/>
                <w:sz w:val="20"/>
                <w:szCs w:val="20"/>
              </w:rPr>
              <w:t xml:space="preserve"> propagujące</w:t>
            </w:r>
            <w:r w:rsidRPr="007A2DBC">
              <w:rPr>
                <w:rFonts w:ascii="Calibri" w:hAnsi="Calibri" w:cs="Calibri"/>
                <w:sz w:val="20"/>
                <w:szCs w:val="20"/>
              </w:rPr>
              <w:t xml:space="preserve"> ochronę i zachowanie bioróżnorodności krajobrazu </w:t>
            </w:r>
          </w:p>
        </w:tc>
        <w:tc>
          <w:tcPr>
            <w:tcW w:w="2835" w:type="dxa"/>
            <w:vAlign w:val="center"/>
          </w:tcPr>
          <w:p w:rsidR="0098324A" w:rsidRPr="00716E17"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6E17">
              <w:rPr>
                <w:rFonts w:ascii="Calibri" w:hAnsi="Calibri" w:cs="Calibri"/>
                <w:color w:val="000000"/>
                <w:sz w:val="20"/>
                <w:szCs w:val="20"/>
              </w:rPr>
              <w:t>Gmina Miejska Hrubieszów, Gmina Hrubieszów</w:t>
            </w:r>
          </w:p>
        </w:tc>
        <w:tc>
          <w:tcPr>
            <w:tcW w:w="2409" w:type="dxa"/>
            <w:vAlign w:val="center"/>
          </w:tcPr>
          <w:p w:rsidR="0098324A" w:rsidRPr="00716E17"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6E17">
              <w:rPr>
                <w:sz w:val="20"/>
                <w:szCs w:val="20"/>
              </w:rPr>
              <w:t>Nadleśnictwo, Regionalna Dyrekcja Ochrony Środowiska, Zarząd Parków Krajobrazowych, organizacje pozarządowe</w:t>
            </w:r>
            <w:r w:rsidR="00A21F80" w:rsidRPr="00716E17">
              <w:rPr>
                <w:sz w:val="20"/>
                <w:szCs w:val="20"/>
              </w:rPr>
              <w:t>, przedsiębiorcy</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D9E6F6" w:themeFill="accent2" w:themeFillTint="33"/>
            <w:vAlign w:val="center"/>
          </w:tcPr>
          <w:p w:rsidR="0098324A" w:rsidRPr="00BE2A80" w:rsidRDefault="0098324A" w:rsidP="0098324A">
            <w:pPr>
              <w:spacing w:before="0"/>
              <w:ind w:firstLine="0"/>
              <w:jc w:val="left"/>
              <w:rPr>
                <w:rFonts w:asciiTheme="minorHAnsi" w:hAnsiTheme="minorHAnsi" w:cstheme="minorHAnsi"/>
                <w:b w:val="0"/>
                <w:sz w:val="20"/>
                <w:szCs w:val="20"/>
              </w:rPr>
            </w:pPr>
            <w:r w:rsidRPr="00BE2A80">
              <w:rPr>
                <w:rFonts w:asciiTheme="minorHAnsi" w:hAnsiTheme="minorHAnsi" w:cstheme="minorHAnsi"/>
                <w:b w:val="0"/>
                <w:sz w:val="20"/>
                <w:szCs w:val="20"/>
              </w:rPr>
              <w:t>Właściwa ochrona i zachowanie krajobrazu i dziedzictwa kulturowego na terenie HOF</w:t>
            </w:r>
          </w:p>
        </w:tc>
        <w:tc>
          <w:tcPr>
            <w:tcW w:w="4536" w:type="dxa"/>
            <w:vAlign w:val="center"/>
          </w:tcPr>
          <w:p w:rsidR="0098324A" w:rsidRPr="002D0DA3"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2D0DA3">
              <w:rPr>
                <w:rFonts w:ascii="Calibri" w:hAnsi="Calibri" w:cs="Calibri"/>
                <w:color w:val="000000"/>
                <w:sz w:val="20"/>
                <w:szCs w:val="20"/>
              </w:rPr>
              <w:t>Projekty o charakterze naukowo-badawczym oraz edukacyjnym (szczególnie w zakresie dziedzictwa archeologicznego i kultury gockiej)</w:t>
            </w:r>
          </w:p>
        </w:tc>
        <w:tc>
          <w:tcPr>
            <w:tcW w:w="2835" w:type="dxa"/>
            <w:vAlign w:val="center"/>
          </w:tcPr>
          <w:p w:rsidR="0098324A" w:rsidRPr="00716E17"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16E17">
              <w:rPr>
                <w:rFonts w:ascii="Calibri" w:hAnsi="Calibri" w:cs="Calibri"/>
                <w:color w:val="000000"/>
                <w:sz w:val="20"/>
                <w:szCs w:val="20"/>
              </w:rPr>
              <w:t>Gmina Miejska Hrubieszów, Gmina Hrubieszów</w:t>
            </w:r>
          </w:p>
        </w:tc>
        <w:tc>
          <w:tcPr>
            <w:tcW w:w="2409" w:type="dxa"/>
            <w:vAlign w:val="center"/>
          </w:tcPr>
          <w:p w:rsidR="0098324A" w:rsidRPr="00716E17"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16E17">
              <w:rPr>
                <w:sz w:val="20"/>
                <w:szCs w:val="20"/>
              </w:rPr>
              <w:t>Organizacje pozarządowe, szkoły, przedszkola, GOK, Hrubieszowski Dom Kultury, Biblioteka Publiczna</w:t>
            </w:r>
            <w:r w:rsidR="00A21F80" w:rsidRPr="00716E17">
              <w:rPr>
                <w:sz w:val="20"/>
                <w:szCs w:val="20"/>
              </w:rPr>
              <w:t>, uczelnie wyższe</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98324A" w:rsidRDefault="0098324A" w:rsidP="0098324A">
            <w:pPr>
              <w:spacing w:before="0"/>
              <w:ind w:firstLine="0"/>
              <w:rPr>
                <w:b w:val="0"/>
              </w:rPr>
            </w:pPr>
          </w:p>
        </w:tc>
        <w:tc>
          <w:tcPr>
            <w:tcW w:w="4536" w:type="dxa"/>
            <w:vAlign w:val="center"/>
          </w:tcPr>
          <w:p w:rsidR="0098324A" w:rsidRPr="00BE2A80"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E2A80">
              <w:rPr>
                <w:rFonts w:ascii="Calibri" w:hAnsi="Calibri" w:cs="Calibri"/>
                <w:color w:val="000000"/>
                <w:sz w:val="20"/>
                <w:szCs w:val="20"/>
              </w:rPr>
              <w:t>Projekty i przedsięwzięcia w zakresie poprawy stanu materialnego zabytków i udostępnienia ich zwiedzającym</w:t>
            </w:r>
          </w:p>
        </w:tc>
        <w:tc>
          <w:tcPr>
            <w:tcW w:w="2835" w:type="dxa"/>
            <w:vAlign w:val="center"/>
          </w:tcPr>
          <w:p w:rsidR="0098324A" w:rsidRPr="00716E17"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6E17">
              <w:rPr>
                <w:rFonts w:ascii="Calibri" w:hAnsi="Calibri" w:cs="Calibri"/>
                <w:color w:val="000000"/>
                <w:sz w:val="20"/>
                <w:szCs w:val="20"/>
              </w:rPr>
              <w:t>Gmina Miejska Hrubieszów, Gmina Hrubieszów</w:t>
            </w:r>
          </w:p>
        </w:tc>
        <w:tc>
          <w:tcPr>
            <w:tcW w:w="2409" w:type="dxa"/>
            <w:vAlign w:val="center"/>
          </w:tcPr>
          <w:p w:rsidR="0098324A" w:rsidRPr="00716E17"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6E17">
              <w:rPr>
                <w:sz w:val="20"/>
                <w:szCs w:val="20"/>
              </w:rPr>
              <w:t xml:space="preserve">GOK, Hrubieszowski Dom Kultury, </w:t>
            </w:r>
            <w:r w:rsidR="00A21F80" w:rsidRPr="00716E17">
              <w:rPr>
                <w:sz w:val="20"/>
                <w:szCs w:val="20"/>
              </w:rPr>
              <w:t xml:space="preserve">LWKZ, </w:t>
            </w:r>
            <w:r w:rsidRPr="00716E17">
              <w:rPr>
                <w:sz w:val="20"/>
                <w:szCs w:val="20"/>
              </w:rPr>
              <w:t>organizacje pozarządowe</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98324A" w:rsidRPr="00B21A73" w:rsidRDefault="0098324A" w:rsidP="0098324A">
      <w:pPr>
        <w:rPr>
          <w:b/>
        </w:rPr>
      </w:pPr>
      <w:r w:rsidRPr="00B21A73">
        <w:rPr>
          <w:b/>
        </w:rPr>
        <w:t>Cel operacyjny 2.5 Edukacja ekologiczna i kształtowanie postaw proekologicznych wśród mieszkańców</w:t>
      </w:r>
    </w:p>
    <w:tbl>
      <w:tblPr>
        <w:tblStyle w:val="Jasnasiatkaakcent21"/>
        <w:tblW w:w="14142" w:type="dxa"/>
        <w:tblLook w:val="04A0" w:firstRow="1" w:lastRow="0" w:firstColumn="1" w:lastColumn="0" w:noHBand="0" w:noVBand="1"/>
      </w:tblPr>
      <w:tblGrid>
        <w:gridCol w:w="2802"/>
        <w:gridCol w:w="4536"/>
        <w:gridCol w:w="2835"/>
        <w:gridCol w:w="2409"/>
        <w:gridCol w:w="1560"/>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98324A">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98324A">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 xml:space="preserve">odmioty biorące udział w realizacji </w:t>
            </w:r>
            <w:r w:rsidRPr="003F543C">
              <w:rPr>
                <w:rFonts w:asciiTheme="minorHAnsi" w:hAnsiTheme="minorHAnsi" w:cstheme="minorHAnsi"/>
                <w:color w:val="000000"/>
                <w:sz w:val="20"/>
                <w:szCs w:val="20"/>
              </w:rPr>
              <w:lastRenderedPageBreak/>
              <w:t>(partnerzy merytoryczni, organizacyjni i finansowi)</w:t>
            </w:r>
          </w:p>
        </w:tc>
        <w:tc>
          <w:tcPr>
            <w:tcW w:w="1560" w:type="dxa"/>
          </w:tcPr>
          <w:p w:rsidR="00712E71" w:rsidRPr="003F543C" w:rsidRDefault="00712E71" w:rsidP="0098324A">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lastRenderedPageBreak/>
              <w:t>Okres realizacji</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Align w:val="center"/>
          </w:tcPr>
          <w:p w:rsidR="0098324A" w:rsidRPr="00BE2A80" w:rsidRDefault="0098324A" w:rsidP="0098324A">
            <w:pPr>
              <w:ind w:firstLine="0"/>
              <w:jc w:val="left"/>
              <w:rPr>
                <w:rFonts w:asciiTheme="minorHAnsi" w:hAnsiTheme="minorHAnsi" w:cstheme="minorHAnsi"/>
                <w:b w:val="0"/>
                <w:color w:val="000000"/>
                <w:sz w:val="20"/>
                <w:szCs w:val="20"/>
              </w:rPr>
            </w:pPr>
            <w:r>
              <w:rPr>
                <w:rFonts w:asciiTheme="minorHAnsi" w:hAnsiTheme="minorHAnsi" w:cstheme="minorHAnsi"/>
                <w:b w:val="0"/>
                <w:color w:val="000000"/>
                <w:sz w:val="20"/>
                <w:szCs w:val="20"/>
              </w:rPr>
              <w:lastRenderedPageBreak/>
              <w:t>Edukacja i uświadamianie w </w:t>
            </w:r>
            <w:r w:rsidRPr="00BE2A80">
              <w:rPr>
                <w:rFonts w:asciiTheme="minorHAnsi" w:hAnsiTheme="minorHAnsi" w:cstheme="minorHAnsi"/>
                <w:b w:val="0"/>
                <w:color w:val="000000"/>
                <w:sz w:val="20"/>
                <w:szCs w:val="20"/>
              </w:rPr>
              <w:t>dziedzinie racjonalnego korzystania z wody</w:t>
            </w:r>
          </w:p>
        </w:tc>
        <w:tc>
          <w:tcPr>
            <w:tcW w:w="4536" w:type="dxa"/>
            <w:vAlign w:val="center"/>
          </w:tcPr>
          <w:p w:rsidR="0098324A" w:rsidRPr="00BE2A80"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E2A80">
              <w:rPr>
                <w:rFonts w:ascii="Calibri" w:hAnsi="Calibri" w:cs="Calibri"/>
                <w:color w:val="000000"/>
                <w:sz w:val="20"/>
                <w:szCs w:val="20"/>
              </w:rPr>
              <w:t>Projekty o tematyce wody, w tym np.</w:t>
            </w:r>
            <w:r>
              <w:rPr>
                <w:rFonts w:ascii="Calibri" w:hAnsi="Calibri" w:cs="Calibri"/>
                <w:color w:val="000000"/>
                <w:sz w:val="20"/>
                <w:szCs w:val="20"/>
              </w:rPr>
              <w:t>: znaczenie wody w przyrodzie i </w:t>
            </w:r>
            <w:r w:rsidRPr="00BE2A80">
              <w:rPr>
                <w:rFonts w:ascii="Calibri" w:hAnsi="Calibri" w:cs="Calibri"/>
                <w:color w:val="000000"/>
                <w:sz w:val="20"/>
                <w:szCs w:val="20"/>
              </w:rPr>
              <w:t>krajobrazie kulturowym; oszczędzania wody pitnej (ślad wodny); zapobieganie zanieczyszczania wó</w:t>
            </w:r>
            <w:r>
              <w:rPr>
                <w:rFonts w:ascii="Calibri" w:hAnsi="Calibri" w:cs="Calibri"/>
                <w:color w:val="000000"/>
                <w:sz w:val="20"/>
                <w:szCs w:val="20"/>
              </w:rPr>
              <w:t>d powierzchniowych; retencja i </w:t>
            </w:r>
            <w:r w:rsidRPr="00BE2A80">
              <w:rPr>
                <w:rFonts w:ascii="Calibri" w:hAnsi="Calibri" w:cs="Calibri"/>
                <w:color w:val="000000"/>
                <w:sz w:val="20"/>
                <w:szCs w:val="20"/>
              </w:rPr>
              <w:t xml:space="preserve">ponowne wykorzystywanie wody deszczowej i szarej; zieleń miejska itp. </w:t>
            </w:r>
          </w:p>
        </w:tc>
        <w:tc>
          <w:tcPr>
            <w:tcW w:w="2835" w:type="dxa"/>
            <w:vAlign w:val="center"/>
          </w:tcPr>
          <w:p w:rsidR="0098324A" w:rsidRPr="00716E17"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6E17">
              <w:rPr>
                <w:rFonts w:ascii="Calibri" w:hAnsi="Calibri" w:cs="Calibri"/>
                <w:color w:val="000000"/>
                <w:sz w:val="20"/>
                <w:szCs w:val="20"/>
              </w:rPr>
              <w:t>Gmina Miejska Hrubieszów, Gmina Hrubieszów</w:t>
            </w:r>
            <w:r w:rsidR="00505872" w:rsidRPr="00716E17">
              <w:rPr>
                <w:rFonts w:ascii="Calibri" w:hAnsi="Calibri" w:cs="Calibri"/>
                <w:color w:val="000000"/>
                <w:sz w:val="20"/>
                <w:szCs w:val="20"/>
              </w:rPr>
              <w:t>,</w:t>
            </w:r>
            <w:r w:rsidR="00505872" w:rsidRPr="00716E17">
              <w:rPr>
                <w:sz w:val="20"/>
                <w:szCs w:val="20"/>
              </w:rPr>
              <w:t xml:space="preserve"> szkoły</w:t>
            </w:r>
          </w:p>
        </w:tc>
        <w:tc>
          <w:tcPr>
            <w:tcW w:w="2409" w:type="dxa"/>
            <w:vAlign w:val="center"/>
          </w:tcPr>
          <w:p w:rsidR="0098324A" w:rsidRDefault="0098324A" w:rsidP="00505872">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r>
              <w:rPr>
                <w:sz w:val="20"/>
                <w:szCs w:val="20"/>
              </w:rPr>
              <w:t xml:space="preserve">, przedszkola, organizacje pozarządowe, mieszkańcy - </w:t>
            </w:r>
            <w:r w:rsidRPr="00A46F01">
              <w:rPr>
                <w:bCs/>
                <w:sz w:val="20"/>
                <w:szCs w:val="20"/>
              </w:rPr>
              <w:t>osoby fizyczne, przedsiębiorcy</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Align w:val="center"/>
          </w:tcPr>
          <w:p w:rsidR="0098324A" w:rsidRPr="00BE2A80" w:rsidRDefault="0098324A" w:rsidP="0098324A">
            <w:pPr>
              <w:ind w:firstLine="0"/>
              <w:jc w:val="left"/>
              <w:rPr>
                <w:rFonts w:asciiTheme="minorHAnsi" w:hAnsiTheme="minorHAnsi" w:cstheme="minorHAnsi"/>
                <w:b w:val="0"/>
                <w:color w:val="000000"/>
                <w:sz w:val="20"/>
                <w:szCs w:val="20"/>
              </w:rPr>
            </w:pPr>
            <w:r>
              <w:rPr>
                <w:rFonts w:asciiTheme="minorHAnsi" w:hAnsiTheme="minorHAnsi" w:cstheme="minorHAnsi"/>
                <w:b w:val="0"/>
                <w:color w:val="000000"/>
                <w:sz w:val="20"/>
                <w:szCs w:val="20"/>
              </w:rPr>
              <w:t>Edukacja i kształcenie w </w:t>
            </w:r>
            <w:r w:rsidRPr="00BE2A80">
              <w:rPr>
                <w:rFonts w:asciiTheme="minorHAnsi" w:hAnsiTheme="minorHAnsi" w:cstheme="minorHAnsi"/>
                <w:b w:val="0"/>
                <w:color w:val="000000"/>
                <w:sz w:val="20"/>
                <w:szCs w:val="20"/>
              </w:rPr>
              <w:t>dziedzinie gospodarki cyrkularnej (gosp</w:t>
            </w:r>
            <w:r>
              <w:rPr>
                <w:rFonts w:asciiTheme="minorHAnsi" w:hAnsiTheme="minorHAnsi" w:cstheme="minorHAnsi"/>
                <w:b w:val="0"/>
                <w:color w:val="000000"/>
                <w:sz w:val="20"/>
                <w:szCs w:val="20"/>
              </w:rPr>
              <w:t>odarki w </w:t>
            </w:r>
            <w:r w:rsidRPr="00BE2A80">
              <w:rPr>
                <w:rFonts w:asciiTheme="minorHAnsi" w:hAnsiTheme="minorHAnsi" w:cstheme="minorHAnsi"/>
                <w:b w:val="0"/>
                <w:color w:val="000000"/>
                <w:sz w:val="20"/>
                <w:szCs w:val="20"/>
              </w:rPr>
              <w:t>obiegu zamkniętym)</w:t>
            </w:r>
          </w:p>
        </w:tc>
        <w:tc>
          <w:tcPr>
            <w:tcW w:w="4536" w:type="dxa"/>
            <w:vAlign w:val="center"/>
          </w:tcPr>
          <w:p w:rsidR="0098324A" w:rsidRPr="00BE2A80"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BE2A80">
              <w:rPr>
                <w:rFonts w:ascii="Calibri" w:hAnsi="Calibri" w:cs="Calibri"/>
                <w:color w:val="000000"/>
                <w:sz w:val="20"/>
                <w:szCs w:val="20"/>
              </w:rPr>
              <w:t>Projekty edukacyjne obejmujące m.in. takie tematy jak: zapobieganie powstawania odpadów u źródła; zrównoważona konsu</w:t>
            </w:r>
            <w:r>
              <w:rPr>
                <w:rFonts w:ascii="Calibri" w:hAnsi="Calibri" w:cs="Calibri"/>
                <w:color w:val="000000"/>
                <w:sz w:val="20"/>
                <w:szCs w:val="20"/>
              </w:rPr>
              <w:t>m</w:t>
            </w:r>
            <w:r w:rsidRPr="00BE2A80">
              <w:rPr>
                <w:rFonts w:ascii="Calibri" w:hAnsi="Calibri" w:cs="Calibri"/>
                <w:color w:val="000000"/>
                <w:sz w:val="20"/>
                <w:szCs w:val="20"/>
              </w:rPr>
              <w:t xml:space="preserve">pcja; gospodarka współdzielenia; zapobieganie marnowaniu żywności itd. </w:t>
            </w:r>
          </w:p>
        </w:tc>
        <w:tc>
          <w:tcPr>
            <w:tcW w:w="2835" w:type="dxa"/>
            <w:vAlign w:val="center"/>
          </w:tcPr>
          <w:p w:rsidR="0098324A" w:rsidRPr="00716E17"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16E17">
              <w:rPr>
                <w:rFonts w:ascii="Calibri" w:hAnsi="Calibri" w:cs="Calibri"/>
                <w:color w:val="000000"/>
                <w:sz w:val="20"/>
                <w:szCs w:val="20"/>
              </w:rPr>
              <w:t>Gmina Miejska Hrubieszów, Gmina Hrubieszów</w:t>
            </w:r>
            <w:r w:rsidR="00505872" w:rsidRPr="00716E17">
              <w:rPr>
                <w:rFonts w:ascii="Calibri" w:hAnsi="Calibri" w:cs="Calibri"/>
                <w:color w:val="000000"/>
                <w:sz w:val="20"/>
                <w:szCs w:val="20"/>
              </w:rPr>
              <w:t>,</w:t>
            </w:r>
            <w:r w:rsidR="00505872" w:rsidRPr="00716E17">
              <w:rPr>
                <w:sz w:val="20"/>
                <w:szCs w:val="20"/>
              </w:rPr>
              <w:t xml:space="preserve"> szkoły</w:t>
            </w:r>
          </w:p>
        </w:tc>
        <w:tc>
          <w:tcPr>
            <w:tcW w:w="2409" w:type="dxa"/>
            <w:vAlign w:val="center"/>
          </w:tcPr>
          <w:p w:rsidR="0098324A" w:rsidRDefault="0098324A" w:rsidP="00505872">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r>
              <w:rPr>
                <w:sz w:val="20"/>
                <w:szCs w:val="20"/>
              </w:rPr>
              <w:t xml:space="preserve">, przedszkola, organizacje pozarządowe, mieszkańcy - </w:t>
            </w:r>
            <w:r w:rsidRPr="00A46F01">
              <w:rPr>
                <w:bCs/>
                <w:sz w:val="20"/>
                <w:szCs w:val="20"/>
              </w:rPr>
              <w:t>osoby fizyczne, przedsiębiorcy</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Align w:val="center"/>
          </w:tcPr>
          <w:p w:rsidR="0098324A" w:rsidRPr="00BE2A80" w:rsidRDefault="0098324A" w:rsidP="0098324A">
            <w:pPr>
              <w:ind w:firstLine="0"/>
              <w:jc w:val="left"/>
              <w:rPr>
                <w:rFonts w:asciiTheme="minorHAnsi" w:hAnsiTheme="minorHAnsi" w:cstheme="minorHAnsi"/>
                <w:b w:val="0"/>
                <w:color w:val="000000"/>
                <w:sz w:val="20"/>
                <w:szCs w:val="20"/>
              </w:rPr>
            </w:pPr>
            <w:r w:rsidRPr="00BE2A80">
              <w:rPr>
                <w:rFonts w:asciiTheme="minorHAnsi" w:hAnsiTheme="minorHAnsi" w:cstheme="minorHAnsi"/>
                <w:b w:val="0"/>
                <w:color w:val="000000"/>
                <w:sz w:val="20"/>
                <w:szCs w:val="20"/>
              </w:rPr>
              <w:t>Edukacja i budowanie świadomości w zakresi</w:t>
            </w:r>
            <w:r>
              <w:rPr>
                <w:rFonts w:asciiTheme="minorHAnsi" w:hAnsiTheme="minorHAnsi" w:cstheme="minorHAnsi"/>
                <w:b w:val="0"/>
                <w:color w:val="000000"/>
                <w:sz w:val="20"/>
                <w:szCs w:val="20"/>
              </w:rPr>
              <w:t>e transformacji energetycznej i </w:t>
            </w:r>
            <w:r w:rsidRPr="00BE2A80">
              <w:rPr>
                <w:rFonts w:asciiTheme="minorHAnsi" w:hAnsiTheme="minorHAnsi" w:cstheme="minorHAnsi"/>
                <w:b w:val="0"/>
                <w:color w:val="000000"/>
                <w:sz w:val="20"/>
                <w:szCs w:val="20"/>
              </w:rPr>
              <w:t>czystego powietrza</w:t>
            </w:r>
          </w:p>
        </w:tc>
        <w:tc>
          <w:tcPr>
            <w:tcW w:w="4536" w:type="dxa"/>
            <w:vAlign w:val="center"/>
          </w:tcPr>
          <w:p w:rsidR="0098324A" w:rsidRPr="00BE2A80" w:rsidRDefault="0098324A" w:rsidP="0098324A">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E2A80">
              <w:rPr>
                <w:rFonts w:ascii="Calibri" w:hAnsi="Calibri" w:cs="Calibri"/>
                <w:color w:val="000000"/>
                <w:sz w:val="20"/>
                <w:szCs w:val="20"/>
              </w:rPr>
              <w:t xml:space="preserve">Projekty edukacyjne i uświadamiające w takich obszarach jak: </w:t>
            </w:r>
            <w:r>
              <w:rPr>
                <w:rFonts w:ascii="Calibri" w:hAnsi="Calibri" w:cs="Calibri"/>
                <w:color w:val="000000"/>
                <w:sz w:val="20"/>
                <w:szCs w:val="20"/>
              </w:rPr>
              <w:t>produkcja i </w:t>
            </w:r>
            <w:r w:rsidRPr="00BE2A80">
              <w:rPr>
                <w:rFonts w:ascii="Calibri" w:hAnsi="Calibri" w:cs="Calibri"/>
                <w:color w:val="000000"/>
                <w:sz w:val="20"/>
                <w:szCs w:val="20"/>
              </w:rPr>
              <w:t>oszczędzanie energii, energetyka odnawialna, elektromobilność, zanieczyszc</w:t>
            </w:r>
            <w:r w:rsidR="003759BB">
              <w:rPr>
                <w:rFonts w:ascii="Calibri" w:hAnsi="Calibri" w:cs="Calibri"/>
                <w:color w:val="000000"/>
                <w:sz w:val="20"/>
                <w:szCs w:val="20"/>
              </w:rPr>
              <w:t>zenie powietrza i jego ochrona</w:t>
            </w:r>
          </w:p>
        </w:tc>
        <w:tc>
          <w:tcPr>
            <w:tcW w:w="2835" w:type="dxa"/>
            <w:vAlign w:val="center"/>
          </w:tcPr>
          <w:p w:rsidR="0098324A" w:rsidRPr="00716E17"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6E17">
              <w:rPr>
                <w:rFonts w:ascii="Calibri" w:hAnsi="Calibri" w:cs="Calibri"/>
                <w:color w:val="000000"/>
                <w:sz w:val="20"/>
                <w:szCs w:val="20"/>
              </w:rPr>
              <w:t>Gmina Miejska Hrubieszów, Gmina Hrubieszów</w:t>
            </w:r>
          </w:p>
        </w:tc>
        <w:tc>
          <w:tcPr>
            <w:tcW w:w="2409"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sz w:val="20"/>
                <w:szCs w:val="20"/>
              </w:rPr>
              <w:t xml:space="preserve">GZUK, </w:t>
            </w:r>
            <w:proofErr w:type="spellStart"/>
            <w:r w:rsidRPr="00AE7837">
              <w:rPr>
                <w:sz w:val="20"/>
                <w:szCs w:val="20"/>
              </w:rPr>
              <w:t>PGKiM</w:t>
            </w:r>
            <w:proofErr w:type="spellEnd"/>
            <w:r>
              <w:rPr>
                <w:sz w:val="20"/>
                <w:szCs w:val="20"/>
              </w:rPr>
              <w:t xml:space="preserve">, szkoły, przedszkola, organizacje pozarządowe, mieszkańcy - </w:t>
            </w:r>
            <w:r w:rsidRPr="00A46F01">
              <w:rPr>
                <w:bCs/>
                <w:sz w:val="20"/>
                <w:szCs w:val="20"/>
              </w:rPr>
              <w:t>osoby fizyczne, przedsiębiorcy</w:t>
            </w:r>
          </w:p>
        </w:tc>
        <w:tc>
          <w:tcPr>
            <w:tcW w:w="1560" w:type="dxa"/>
            <w:vAlign w:val="center"/>
          </w:tcPr>
          <w:p w:rsidR="0098324A" w:rsidRDefault="0098324A" w:rsidP="0098324A">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8324A"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Align w:val="center"/>
          </w:tcPr>
          <w:p w:rsidR="0098324A" w:rsidRPr="00BE2A80" w:rsidRDefault="0098324A" w:rsidP="0098324A">
            <w:pPr>
              <w:ind w:firstLine="0"/>
              <w:jc w:val="left"/>
              <w:rPr>
                <w:rFonts w:asciiTheme="minorHAnsi" w:hAnsiTheme="minorHAnsi" w:cstheme="minorHAnsi"/>
                <w:b w:val="0"/>
                <w:color w:val="000000"/>
                <w:sz w:val="20"/>
                <w:szCs w:val="20"/>
              </w:rPr>
            </w:pPr>
            <w:r w:rsidRPr="00BE2A80">
              <w:rPr>
                <w:rFonts w:asciiTheme="minorHAnsi" w:hAnsiTheme="minorHAnsi" w:cstheme="minorHAnsi"/>
                <w:b w:val="0"/>
                <w:color w:val="000000"/>
                <w:sz w:val="20"/>
                <w:szCs w:val="20"/>
              </w:rPr>
              <w:t xml:space="preserve">Edukacja i </w:t>
            </w:r>
            <w:r>
              <w:rPr>
                <w:rFonts w:asciiTheme="minorHAnsi" w:hAnsiTheme="minorHAnsi" w:cstheme="minorHAnsi"/>
                <w:b w:val="0"/>
                <w:color w:val="000000"/>
                <w:sz w:val="20"/>
                <w:szCs w:val="20"/>
              </w:rPr>
              <w:t>budowanie proaktywnych postaw w </w:t>
            </w:r>
            <w:r w:rsidRPr="00BE2A80">
              <w:rPr>
                <w:rFonts w:asciiTheme="minorHAnsi" w:hAnsiTheme="minorHAnsi" w:cstheme="minorHAnsi"/>
                <w:b w:val="0"/>
                <w:color w:val="000000"/>
                <w:sz w:val="20"/>
                <w:szCs w:val="20"/>
              </w:rPr>
              <w:t>zakresie ochrony przyrody i</w:t>
            </w:r>
            <w:r>
              <w:rPr>
                <w:rFonts w:asciiTheme="minorHAnsi" w:hAnsiTheme="minorHAnsi" w:cstheme="minorHAnsi"/>
                <w:b w:val="0"/>
                <w:color w:val="000000"/>
                <w:sz w:val="20"/>
                <w:szCs w:val="20"/>
              </w:rPr>
              <w:t> właściwego korzystania z dziedzictwa naturalnego i </w:t>
            </w:r>
            <w:r w:rsidRPr="00BE2A80">
              <w:rPr>
                <w:rFonts w:asciiTheme="minorHAnsi" w:hAnsiTheme="minorHAnsi" w:cstheme="minorHAnsi"/>
                <w:b w:val="0"/>
                <w:color w:val="000000"/>
                <w:sz w:val="20"/>
                <w:szCs w:val="20"/>
              </w:rPr>
              <w:t>kulturowego</w:t>
            </w:r>
          </w:p>
        </w:tc>
        <w:tc>
          <w:tcPr>
            <w:tcW w:w="4536" w:type="dxa"/>
            <w:vAlign w:val="center"/>
          </w:tcPr>
          <w:p w:rsidR="0098324A" w:rsidRPr="00BE2A80" w:rsidRDefault="0098324A" w:rsidP="0098324A">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BE2A80">
              <w:rPr>
                <w:rFonts w:ascii="Calibri" w:hAnsi="Calibri" w:cs="Calibri"/>
                <w:color w:val="000000"/>
                <w:sz w:val="20"/>
                <w:szCs w:val="20"/>
              </w:rPr>
              <w:t>Projekty edukacyjne w takich obszarach jak: przyroda i jej bioróżnorodność, wpływ człowieka na</w:t>
            </w:r>
            <w:r>
              <w:rPr>
                <w:rFonts w:ascii="Calibri" w:hAnsi="Calibri" w:cs="Calibri"/>
                <w:color w:val="000000"/>
                <w:sz w:val="20"/>
                <w:szCs w:val="20"/>
              </w:rPr>
              <w:t> </w:t>
            </w:r>
            <w:r w:rsidRPr="00BE2A80">
              <w:rPr>
                <w:rFonts w:ascii="Calibri" w:hAnsi="Calibri" w:cs="Calibri"/>
                <w:color w:val="000000"/>
                <w:sz w:val="20"/>
                <w:szCs w:val="20"/>
              </w:rPr>
              <w:t>przyrodę, dziedzictwo i kultura, tradycje i produkty lokalne itp.</w:t>
            </w:r>
          </w:p>
        </w:tc>
        <w:tc>
          <w:tcPr>
            <w:tcW w:w="2835" w:type="dxa"/>
            <w:vAlign w:val="center"/>
          </w:tcPr>
          <w:p w:rsidR="0098324A" w:rsidRPr="00716E17"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16E17">
              <w:rPr>
                <w:rFonts w:ascii="Calibri" w:hAnsi="Calibri" w:cs="Calibri"/>
                <w:color w:val="000000"/>
                <w:sz w:val="20"/>
                <w:szCs w:val="20"/>
              </w:rPr>
              <w:t>Gmina Miejska Hrubieszów, Gmina Hrubieszów</w:t>
            </w:r>
            <w:r w:rsidR="00505872" w:rsidRPr="00716E17">
              <w:rPr>
                <w:rFonts w:ascii="Calibri" w:hAnsi="Calibri" w:cs="Calibri"/>
                <w:color w:val="000000"/>
                <w:sz w:val="20"/>
                <w:szCs w:val="20"/>
              </w:rPr>
              <w:t>,</w:t>
            </w:r>
            <w:r w:rsidR="00505872" w:rsidRPr="00716E17">
              <w:rPr>
                <w:sz w:val="20"/>
                <w:szCs w:val="20"/>
              </w:rPr>
              <w:t xml:space="preserve"> szkoły</w:t>
            </w:r>
          </w:p>
        </w:tc>
        <w:tc>
          <w:tcPr>
            <w:tcW w:w="2409" w:type="dxa"/>
            <w:vAlign w:val="center"/>
          </w:tcPr>
          <w:p w:rsidR="0098324A" w:rsidRDefault="0098324A" w:rsidP="00505872">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46F01">
              <w:rPr>
                <w:sz w:val="20"/>
                <w:szCs w:val="20"/>
              </w:rPr>
              <w:t>Nadleśnictwo, Regionalna Dyrekcja Ochrony Środowiska, Zarząd Parków Krajobrazowych</w:t>
            </w:r>
            <w:r>
              <w:rPr>
                <w:sz w:val="20"/>
                <w:szCs w:val="20"/>
              </w:rPr>
              <w:t xml:space="preserve">, </w:t>
            </w:r>
            <w:r w:rsidRPr="002D0DA3">
              <w:rPr>
                <w:sz w:val="20"/>
                <w:szCs w:val="20"/>
              </w:rPr>
              <w:t>GOK, Hrubieszowski Dom Kultury</w:t>
            </w:r>
            <w:r>
              <w:rPr>
                <w:sz w:val="20"/>
                <w:szCs w:val="20"/>
              </w:rPr>
              <w:t xml:space="preserve">, Biblioteka Publiczna, przedszkola, organizacje pozarządowe, mieszkańcy - </w:t>
            </w:r>
            <w:r w:rsidRPr="00A46F01">
              <w:rPr>
                <w:bCs/>
                <w:sz w:val="20"/>
                <w:szCs w:val="20"/>
              </w:rPr>
              <w:t>osoby fizyczne, przedsiębiorcy</w:t>
            </w:r>
          </w:p>
        </w:tc>
        <w:tc>
          <w:tcPr>
            <w:tcW w:w="1560" w:type="dxa"/>
            <w:vAlign w:val="center"/>
          </w:tcPr>
          <w:p w:rsidR="0098324A" w:rsidRDefault="0098324A" w:rsidP="0098324A">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C3715A" w:rsidRPr="00061671" w:rsidRDefault="00C3715A" w:rsidP="00A6060E">
      <w:pPr>
        <w:rPr>
          <w:rFonts w:cstheme="minorHAnsi"/>
          <w:b/>
        </w:rPr>
      </w:pPr>
      <w:r w:rsidRPr="00061671">
        <w:rPr>
          <w:rFonts w:cstheme="minorHAnsi"/>
          <w:b/>
        </w:rPr>
        <w:t>Cel operacyjny 2.6 Partnerskie wspieranie efektywności energetycznej i energooszczędności na obszarze HOF</w:t>
      </w:r>
    </w:p>
    <w:p w:rsidR="00C3715A" w:rsidRPr="00061671" w:rsidRDefault="00C3715A" w:rsidP="00C3715A">
      <w:pPr>
        <w:spacing w:after="0"/>
      </w:pPr>
      <w:r w:rsidRPr="00061671">
        <w:t>Cel polityki: CP</w:t>
      </w:r>
      <w:r w:rsidR="00520223" w:rsidRPr="00061671">
        <w:t>2 – Bardziej przyjazna dla środowiska, niskoemisyjna i przechodząca w kierunku gospodarki zer</w:t>
      </w:r>
      <w:r w:rsidR="005E288D" w:rsidRPr="00061671">
        <w:t>oemisyjnej oraz odporna E</w:t>
      </w:r>
      <w:r w:rsidR="00520223" w:rsidRPr="00061671">
        <w:t>uropa dzięki promowaniu czystej i sprawiedliwej transformacji energetycznej, zielonych i niebieskich inwestycji, gospodarki i obiegu zamkniętym, łagodzenia zmian klimatu i przystosowania się do nich, zapobiegania ryzyku i zarządzania ryzykiem, oraz zrównoważonej mobilności miejskiej.</w:t>
      </w:r>
    </w:p>
    <w:p w:rsidR="00520223" w:rsidRPr="00061671" w:rsidRDefault="00520223" w:rsidP="00C3715A">
      <w:pPr>
        <w:spacing w:after="0"/>
      </w:pPr>
      <w:r w:rsidRPr="00061671">
        <w:t>EFRR</w:t>
      </w:r>
      <w:r w:rsidR="00BE3A3D" w:rsidRPr="00061671">
        <w:t>.CP2.I Wspieranie efektywności energetycznej i redukcji emisji gazów cieplarnianych.</w:t>
      </w:r>
    </w:p>
    <w:p w:rsidR="00C3715A" w:rsidRPr="00061671" w:rsidRDefault="00C3715A" w:rsidP="00C3715A">
      <w:r w:rsidRPr="00061671">
        <w:lastRenderedPageBreak/>
        <w:t>Cel realizuje wymiar przestrzenny</w:t>
      </w:r>
      <w:r w:rsidR="004A09A4" w:rsidRPr="00061671">
        <w:t>.</w:t>
      </w:r>
    </w:p>
    <w:p w:rsidR="00C3715A" w:rsidRPr="00061671" w:rsidRDefault="00C3715A" w:rsidP="00C3715A">
      <w:r w:rsidRPr="00061671">
        <w:t xml:space="preserve">Opis celu: </w:t>
      </w:r>
      <w:r w:rsidR="00F50E46" w:rsidRPr="00061671">
        <w:t>Obecnie wyraźnie zauważalne są zmiany klimatu, dlatego też na każdym szczeblu podejmowane są działania zmierzające do ograniczenia negatywnych skutków tego zjawiska. Zmiany klimatu</w:t>
      </w:r>
      <w:r w:rsidR="003C23B0" w:rsidRPr="00061671">
        <w:t xml:space="preserve"> oddziaływają na wiele aspektów codziennego życia,</w:t>
      </w:r>
      <w:r w:rsidR="00F50E46" w:rsidRPr="00061671">
        <w:t xml:space="preserve"> </w:t>
      </w:r>
      <w:r w:rsidR="003C23B0" w:rsidRPr="00061671">
        <w:t xml:space="preserve">zjawiska ekstremalne wpływają także niekorzystnie na strefę społeczną i gospodarczą oraz zdrowie ludzi. Zjawiska te </w:t>
      </w:r>
      <w:r w:rsidR="00F50E46" w:rsidRPr="00061671">
        <w:t>odbijają się również bezpośrednio na sektor</w:t>
      </w:r>
      <w:r w:rsidR="003C23B0" w:rsidRPr="00061671">
        <w:t>ze</w:t>
      </w:r>
      <w:r w:rsidR="00F50E46" w:rsidRPr="00061671">
        <w:t xml:space="preserve"> energetyczny</w:t>
      </w:r>
      <w:r w:rsidR="003C23B0" w:rsidRPr="00061671">
        <w:t>m. C</w:t>
      </w:r>
      <w:r w:rsidR="00F50E46" w:rsidRPr="00061671">
        <w:t xml:space="preserve">oraz częstsze zjawiska ekstremalne będą skutkowały problemami w dystrybucji energii elektrycznej. Aby ograniczyć zmiany warto prowadzić wszelkie działania związane z zastosowaniem odnawialnych źródeł energii oraz utrzymaniem czystego środowiskowo obszaru o małym poziomie zanieczyszczenia. Między innymi </w:t>
      </w:r>
      <w:r w:rsidR="003C23B0" w:rsidRPr="00061671">
        <w:t xml:space="preserve">działania związane z </w:t>
      </w:r>
      <w:r w:rsidR="00F50E46" w:rsidRPr="00061671">
        <w:t>termomo</w:t>
      </w:r>
      <w:r w:rsidR="003C23B0" w:rsidRPr="00061671">
        <w:t>dernizacją oraz wymianą nieefektywnych źródeł ciepła wpłyną</w:t>
      </w:r>
      <w:r w:rsidR="00F50E46" w:rsidRPr="00061671">
        <w:t xml:space="preserve"> na zwiększenie efektywności systemów grzewczych i chłodniczych, co wiąże się bezpośrednio z działa</w:t>
      </w:r>
      <w:r w:rsidR="003C23B0" w:rsidRPr="00061671">
        <w:t xml:space="preserve">niami na rzeczy ochrony klimatu, a przez to również ochrony </w:t>
      </w:r>
      <w:r w:rsidR="00345290" w:rsidRPr="00345290">
        <w:t>środowiska. Dodatkowo</w:t>
      </w:r>
      <w:r w:rsidR="00345290">
        <w:t xml:space="preserve"> planowane są działania związane z wymianą źródeł światła w budynkach na energooszczędne oraz wymiana instalacji elektrycznej.</w:t>
      </w:r>
      <w:r w:rsidR="00FA3DBE" w:rsidRPr="00061671">
        <w:t xml:space="preserve"> </w:t>
      </w:r>
      <w:r w:rsidR="005E288D" w:rsidRPr="00061671">
        <w:t>W</w:t>
      </w:r>
      <w:r w:rsidR="00FA3DBE" w:rsidRPr="00061671">
        <w:t xml:space="preserve"> HOF udział obszarów prawnie chronionych w powierzchni ogółem</w:t>
      </w:r>
      <w:r w:rsidR="005E288D" w:rsidRPr="00061671">
        <w:t xml:space="preserve"> </w:t>
      </w:r>
      <w:r w:rsidR="00FA3DBE" w:rsidRPr="00061671">
        <w:t>wynosi 21,15% (6 180,5 ha)</w:t>
      </w:r>
      <w:r w:rsidR="005E288D" w:rsidRPr="00061671">
        <w:t>. S</w:t>
      </w:r>
      <w:r w:rsidR="00FA3DBE" w:rsidRPr="00061671">
        <w:t>ieć</w:t>
      </w:r>
      <w:r w:rsidR="005E288D" w:rsidRPr="00061671">
        <w:t xml:space="preserve"> tych</w:t>
      </w:r>
      <w:r w:rsidR="00FA3DBE" w:rsidRPr="00061671">
        <w:t xml:space="preserve"> obszarów budują: park krajobrazowy wraz z otuliną, obszary chronionego krajobrazu, użytki ekologiczne oraz sieć obszarów Natura 2000.</w:t>
      </w:r>
    </w:p>
    <w:p w:rsidR="00FA3DBE" w:rsidRPr="00061671" w:rsidRDefault="00FA3DBE" w:rsidP="00012752">
      <w:r w:rsidRPr="00061671">
        <w:t xml:space="preserve">Hrubieszowski Obszar Funkcjonalny w zależności od grupy odbiorców zaopatrywany jest w ciepło z różnych mediów: olej opałowy, węgiel a także gaz propan - butan. </w:t>
      </w:r>
      <w:r w:rsidR="00012752" w:rsidRPr="00061671">
        <w:t>Funkcjonują</w:t>
      </w:r>
      <w:r w:rsidR="005E288D" w:rsidRPr="00061671">
        <w:t xml:space="preserve"> </w:t>
      </w:r>
      <w:r w:rsidR="0024340A" w:rsidRPr="00061671">
        <w:t>tutaj</w:t>
      </w:r>
      <w:r w:rsidR="00012752" w:rsidRPr="00061671">
        <w:t xml:space="preserve"> centralna kotłownia cieplna opalan</w:t>
      </w:r>
      <w:r w:rsidR="00A710A8" w:rsidRPr="00061671">
        <w:t>a</w:t>
      </w:r>
      <w:r w:rsidR="00012752" w:rsidRPr="00061671">
        <w:t xml:space="preserve"> gazem, oraz sieć gazowa średnioprężna ze stacją redukcyjną w pobliskim Moroczynie. Jednakże </w:t>
      </w:r>
      <w:r w:rsidR="0024340A" w:rsidRPr="00061671">
        <w:rPr>
          <w:rFonts w:cstheme="minorHAnsi"/>
        </w:rPr>
        <w:t>s</w:t>
      </w:r>
      <w:r w:rsidR="00012752" w:rsidRPr="00061671">
        <w:rPr>
          <w:rFonts w:cstheme="minorHAnsi"/>
        </w:rPr>
        <w:t>i</w:t>
      </w:r>
      <w:r w:rsidR="0024340A" w:rsidRPr="00061671">
        <w:rPr>
          <w:rFonts w:cstheme="minorHAnsi"/>
        </w:rPr>
        <w:t>eć ciepłownicza działa</w:t>
      </w:r>
      <w:r w:rsidR="00012752" w:rsidRPr="00061671">
        <w:rPr>
          <w:rFonts w:cstheme="minorHAnsi"/>
        </w:rPr>
        <w:t xml:space="preserve"> tylko na obszarze miejskim i jest niedostatecznie rozwinięta. </w:t>
      </w:r>
      <w:r w:rsidR="00012752" w:rsidRPr="00061671">
        <w:rPr>
          <w:rFonts w:eastAsia="Calibri Light" w:cstheme="minorHAnsi"/>
        </w:rPr>
        <w:t>Zdecydowana większość budynków mieszkalnych w mieście nie jest podłączona do miejskiej sieci ciepłowniczej i dla tych budynków głównym źródłem ciepła są kotły węglowe. W granicach gminy wiejskiej c</w:t>
      </w:r>
      <w:r w:rsidR="00012752" w:rsidRPr="00061671">
        <w:rPr>
          <w:rFonts w:cstheme="minorHAnsi"/>
          <w:bCs/>
          <w:color w:val="000000"/>
        </w:rPr>
        <w:t xml:space="preserve">iepło produkowane jest za pomocą indywidualnych kotłowni i systemów grzewczych. </w:t>
      </w:r>
      <w:r w:rsidR="00A710A8" w:rsidRPr="00061671">
        <w:rPr>
          <w:rFonts w:cstheme="minorHAnsi"/>
          <w:bCs/>
          <w:color w:val="000000"/>
        </w:rPr>
        <w:t>L</w:t>
      </w:r>
      <w:r w:rsidR="00012752" w:rsidRPr="00061671">
        <w:rPr>
          <w:rFonts w:cstheme="minorHAnsi"/>
          <w:bCs/>
          <w:color w:val="000000"/>
        </w:rPr>
        <w:t xml:space="preserve">okalnymi systemami ciepłowniczymi </w:t>
      </w:r>
      <w:r w:rsidR="00A710A8" w:rsidRPr="00061671">
        <w:rPr>
          <w:rFonts w:cstheme="minorHAnsi"/>
          <w:bCs/>
          <w:color w:val="000000"/>
        </w:rPr>
        <w:t xml:space="preserve">na obszarze wiejskim </w:t>
      </w:r>
      <w:r w:rsidR="00012752" w:rsidRPr="00061671">
        <w:rPr>
          <w:rFonts w:cstheme="minorHAnsi"/>
          <w:bCs/>
          <w:color w:val="000000"/>
        </w:rPr>
        <w:t>są dwie kotłownie węglowe, zaopatrujące w energię cieplną bu</w:t>
      </w:r>
      <w:r w:rsidR="00A710A8" w:rsidRPr="00061671">
        <w:rPr>
          <w:rFonts w:cstheme="minorHAnsi"/>
          <w:bCs/>
          <w:color w:val="000000"/>
        </w:rPr>
        <w:t>dynki spółdzielni mieszkaniowej, s</w:t>
      </w:r>
      <w:r w:rsidR="00012752" w:rsidRPr="00061671">
        <w:rPr>
          <w:rFonts w:cstheme="minorHAnsi"/>
          <w:bCs/>
          <w:color w:val="000000"/>
        </w:rPr>
        <w:t>łabo rozwinięta jest również sieć gazowa.</w:t>
      </w:r>
      <w:r w:rsidR="00012752" w:rsidRPr="00061671">
        <w:t xml:space="preserve"> </w:t>
      </w:r>
      <w:r w:rsidR="00012752" w:rsidRPr="00061671">
        <w:rPr>
          <w:rFonts w:cstheme="minorHAnsi"/>
        </w:rPr>
        <w:t xml:space="preserve">W ramach ochrony powietrza, ograniczenia smogu i nieprzekraczania norm w zakresie zanieczyszczenia powietrza, jak również poprawy stopnia wykorzystania odnawialnych źródeł energii w bilansie energetycznym </w:t>
      </w:r>
      <w:r w:rsidR="009B16A6" w:rsidRPr="00061671">
        <w:rPr>
          <w:rFonts w:cstheme="minorHAnsi"/>
        </w:rPr>
        <w:t xml:space="preserve">HOF należy </w:t>
      </w:r>
      <w:proofErr w:type="gramStart"/>
      <w:r w:rsidR="009B16A6" w:rsidRPr="00061671">
        <w:rPr>
          <w:rFonts w:cstheme="minorHAnsi"/>
        </w:rPr>
        <w:t xml:space="preserve">zmniejszyć </w:t>
      </w:r>
      <w:r w:rsidR="00012752" w:rsidRPr="00061671">
        <w:rPr>
          <w:rFonts w:cstheme="minorHAnsi"/>
        </w:rPr>
        <w:t xml:space="preserve"> zużycie</w:t>
      </w:r>
      <w:proofErr w:type="gramEnd"/>
      <w:r w:rsidR="00012752" w:rsidRPr="00061671">
        <w:rPr>
          <w:rFonts w:cstheme="minorHAnsi"/>
        </w:rPr>
        <w:t xml:space="preserve"> paliw węglowych i wprowadzić na ich miejsce paliwa ciekłe lub gazowe o niskiej zawartości szkodliwych substancji chemicznych oraz niezawierających popiołów lotnych. W przypadku, gdy zmiana rodzaju paliwa jest niemożliwa należy zastępować je paliwami o lepszych parametrach, tj. o większej wartości opałowej oraz mniejszej zawartości związków siarki. Warto wykorzystywać energię ze źródeł odnawialnych, takich jak energia biomasy, energia solarna, czy możliwość uzyskania ciepła z pomp cieplnych. </w:t>
      </w:r>
      <w:r w:rsidRPr="00061671">
        <w:rPr>
          <w:rFonts w:eastAsia="Calibri" w:cs="Times New Roman"/>
        </w:rPr>
        <w:t xml:space="preserve">Na obszarze HOF występują </w:t>
      </w:r>
      <w:r w:rsidRPr="00061671">
        <w:t>najkorzystniejsze w skali kraju warunki</w:t>
      </w:r>
      <w:r w:rsidRPr="00061671">
        <w:rPr>
          <w:rFonts w:eastAsia="Calibri" w:cs="Times New Roman"/>
        </w:rPr>
        <w:t xml:space="preserve"> do rozwoju energetyki słonecznej</w:t>
      </w:r>
      <w:r w:rsidRPr="00061671">
        <w:t>, tzn., że energia promieniowania słonecznego na 1 m</w:t>
      </w:r>
      <w:r w:rsidRPr="00061671">
        <w:rPr>
          <w:rFonts w:cstheme="minorHAnsi"/>
        </w:rPr>
        <w:t>²</w:t>
      </w:r>
      <w:r w:rsidRPr="00061671">
        <w:t xml:space="preserve"> wynosi rocznie 1200 kWh. </w:t>
      </w:r>
      <w:r w:rsidR="007A0664" w:rsidRPr="00061671">
        <w:t xml:space="preserve">Zmniejszenie emisji związanej z zaopatrzeniem w ciepło gospodarstw domowych oraz budynków użyteczności publicznej można uzyskać poprzez realizację </w:t>
      </w:r>
      <w:r w:rsidR="00A710A8" w:rsidRPr="00061671">
        <w:t>prac</w:t>
      </w:r>
      <w:r w:rsidR="009B16A6" w:rsidRPr="00061671">
        <w:t xml:space="preserve"> poprawiających efektywność energetyczną budynków, w tym prac</w:t>
      </w:r>
      <w:r w:rsidR="00A710A8" w:rsidRPr="00061671">
        <w:t xml:space="preserve"> termomodernizacyjnych</w:t>
      </w:r>
      <w:r w:rsidR="00137AC0" w:rsidRPr="00061671">
        <w:t xml:space="preserve"> oraz wymianie oświetlenia wewnętrznego na energooszczędne</w:t>
      </w:r>
      <w:r w:rsidR="007A0664" w:rsidRPr="00061671">
        <w:t>.</w:t>
      </w:r>
      <w:r w:rsidR="00A710A8" w:rsidRPr="00061671">
        <w:t xml:space="preserve"> Ze względu na wzrost cen za energię oraz pogłębiający się kryzys energetyczny zwiększają się naciski na podejmowanie działań wpływających na oszczę</w:t>
      </w:r>
      <w:r w:rsidR="00064032" w:rsidRPr="00061671">
        <w:t>dność energetyczną oraz działań proekologicznych.</w:t>
      </w:r>
    </w:p>
    <w:p w:rsidR="0024340A" w:rsidRPr="00061671" w:rsidRDefault="0024340A" w:rsidP="005C13F0">
      <w:r w:rsidRPr="00061671">
        <w:lastRenderedPageBreak/>
        <w:t>Działania prowadzące do transformacji energetycznej pozwalają uzyskać niskoemisyjną energię cieplną z poszanowaniem środowiska, co wpłynie pozytywnie na łagodzenie zmian klimatu oraz przystosowanie się do tych zmian.</w:t>
      </w:r>
      <w:r w:rsidR="00C22B46" w:rsidRPr="00061671">
        <w:t xml:space="preserve"> Założeniem jest racjonalizacja zużycia energii oraz ograniczenie oddziaływań związanych z produkcją energii, czego bezpośrednimi efektami będą redukcja niskiej emisji, wzrost udziału energii wytwarzanej z OZE oraz oszczędność energetyczna zmodernizowanych obiektów. </w:t>
      </w:r>
      <w:r w:rsidR="009B16A6" w:rsidRPr="00061671">
        <w:t xml:space="preserve">Doprowadzi to do ograniczenia </w:t>
      </w:r>
      <w:r w:rsidR="00C22B46" w:rsidRPr="00061671">
        <w:t>emisji szkodliwych substancji do środowiska</w:t>
      </w:r>
      <w:r w:rsidR="005C13F0" w:rsidRPr="00061671">
        <w:t xml:space="preserve"> (obniżenie emisji CO</w:t>
      </w:r>
      <w:r w:rsidR="005C13F0" w:rsidRPr="00061671">
        <w:rPr>
          <w:vertAlign w:val="subscript"/>
        </w:rPr>
        <w:t>2</w:t>
      </w:r>
      <w:r w:rsidR="005C13F0" w:rsidRPr="00061671">
        <w:t xml:space="preserve"> i pyłu PM 10 oraz PM 2,5 do atmosfer</w:t>
      </w:r>
      <w:r w:rsidR="004E092C" w:rsidRPr="00061671">
        <w:t>y, wzrost</w:t>
      </w:r>
      <w:r w:rsidR="005C13F0" w:rsidRPr="00061671">
        <w:t xml:space="preserve"> wykorzystania </w:t>
      </w:r>
      <w:proofErr w:type="gramStart"/>
      <w:r w:rsidR="005C13F0" w:rsidRPr="00061671">
        <w:t>OZE</w:t>
      </w:r>
      <w:r w:rsidR="004E092C" w:rsidRPr="00061671">
        <w:t>)</w:t>
      </w:r>
      <w:r w:rsidR="005C13F0" w:rsidRPr="00061671">
        <w:t xml:space="preserve"> </w:t>
      </w:r>
      <w:r w:rsidR="00C22B46" w:rsidRPr="00061671">
        <w:t xml:space="preserve">, </w:t>
      </w:r>
      <w:proofErr w:type="gramEnd"/>
      <w:r w:rsidR="00C22B46" w:rsidRPr="00061671">
        <w:t>poprawy zdrowia i jakości życia mieszkańców, jak również zmniejszenia kosztów użytkowania budynków</w:t>
      </w:r>
      <w:r w:rsidR="005C13F0" w:rsidRPr="00061671">
        <w:t xml:space="preserve"> (obniżenie energii pierwotnej, wzrost wykorzystania OZE)</w:t>
      </w:r>
      <w:r w:rsidR="00C22B46" w:rsidRPr="00061671">
        <w:t>.</w:t>
      </w:r>
    </w:p>
    <w:p w:rsidR="00B61A09" w:rsidRPr="00061671" w:rsidRDefault="00B61A09" w:rsidP="00B61A09">
      <w:r w:rsidRPr="00061671">
        <w:t xml:space="preserve">Zakres tematyczny działań zmierzających do realizacji celu zakłada: termomodernizację budynków oraz wymianę źródeł ciepła na bardziej ekologiczne i energooszczędne jak również rozwój odnawialnych źródeł energii na terenie HOF.  </w:t>
      </w:r>
      <w:r w:rsidRPr="00061671">
        <w:rPr>
          <w:rFonts w:cstheme="minorHAnsi"/>
          <w:sz w:val="20"/>
          <w:szCs w:val="20"/>
        </w:rPr>
        <w:t xml:space="preserve">Realizacja celu zakłada objęcie efektami całego obszaru HOF. </w:t>
      </w:r>
      <w:r w:rsidRPr="00061671">
        <w:t xml:space="preserve">Głównymi odbiorcami interwencji są mieszkańcy Gminy Hrubieszów oraz Miasta Hrubieszów stanowiącego rdzeń obszaru funkcjonalnego. </w:t>
      </w:r>
      <w:r w:rsidR="00C22B46" w:rsidRPr="00061671">
        <w:t xml:space="preserve">zmniejszona emisja szkodliwych substancji do środowiska wpływać będzie na </w:t>
      </w:r>
      <w:proofErr w:type="gramStart"/>
      <w:r w:rsidR="00C22B46" w:rsidRPr="00061671">
        <w:t>poprawę jakości</w:t>
      </w:r>
      <w:proofErr w:type="gramEnd"/>
      <w:r w:rsidR="00C22B46" w:rsidRPr="00061671">
        <w:t xml:space="preserve"> powietrza na terenie całego HOF oraz zdrowia wszystkich jej mieszkańców.</w:t>
      </w:r>
    </w:p>
    <w:p w:rsidR="00B61A09" w:rsidRPr="00061671" w:rsidRDefault="00B61A09" w:rsidP="00E846BA">
      <w:r w:rsidRPr="00061671">
        <w:t>Za realizację celu odpowiedzialne są Gmin</w:t>
      </w:r>
      <w:r w:rsidR="00064032" w:rsidRPr="00061671">
        <w:t>y,</w:t>
      </w:r>
      <w:r w:rsidRPr="00061671">
        <w:t xml:space="preserve"> </w:t>
      </w:r>
      <w:r w:rsidR="00E846BA" w:rsidRPr="00061671">
        <w:t>Spółdzielnie, Wspólnoty Mieszkaniowe, Zarządcy budynków</w:t>
      </w:r>
      <w:r w:rsidRPr="00061671">
        <w:t xml:space="preserve">. Natomiast niezwykle istotne jest zaangażowanie partnerów merytorycznych, organizacyjnych i finansowych z różnych sektorów. </w:t>
      </w:r>
      <w:r w:rsidRPr="00061671">
        <w:rPr>
          <w:rFonts w:cstheme="minorHAnsi"/>
          <w:color w:val="000000"/>
        </w:rPr>
        <w:t xml:space="preserve">Potencjalne podmioty biorące udział w realizacji celu, to głównie </w:t>
      </w:r>
      <w:r w:rsidRPr="00061671">
        <w:rPr>
          <w:rFonts w:ascii="Calibri" w:hAnsi="Calibri" w:cs="Calibri"/>
          <w:color w:val="000000"/>
        </w:rPr>
        <w:t xml:space="preserve">przedszkola, szkoły, </w:t>
      </w:r>
      <w:r w:rsidR="00E846BA" w:rsidRPr="00061671">
        <w:rPr>
          <w:rFonts w:ascii="Calibri" w:hAnsi="Calibri" w:cs="Calibri"/>
          <w:color w:val="000000"/>
        </w:rPr>
        <w:t xml:space="preserve">przedsiębiorcy, Gminny Zakład Usług Komunalnych, Przedsiębiorstwo Gospodarki Komunalnej i Mieszkaniowej </w:t>
      </w:r>
      <w:r w:rsidRPr="00061671">
        <w:t>oraz mieszkańcy – osoby fizyczne.</w:t>
      </w:r>
    </w:p>
    <w:p w:rsidR="00B61A09" w:rsidRPr="00061671" w:rsidRDefault="00B61A09" w:rsidP="00B61A09">
      <w:r w:rsidRPr="00061671">
        <w:t>Propozycje projektów, które będą przyczyniały się do realizowania celu opisanego powyżej stanowią kierunki działań zaprezentowane w tabeli poniżej.</w:t>
      </w:r>
    </w:p>
    <w:tbl>
      <w:tblPr>
        <w:tblStyle w:val="Jasnasiatkaakcent23"/>
        <w:tblW w:w="14142" w:type="dxa"/>
        <w:tblLook w:val="04A0" w:firstRow="1" w:lastRow="0" w:firstColumn="1" w:lastColumn="0" w:noHBand="0" w:noVBand="1"/>
      </w:tblPr>
      <w:tblGrid>
        <w:gridCol w:w="2802"/>
        <w:gridCol w:w="4536"/>
        <w:gridCol w:w="2835"/>
        <w:gridCol w:w="2409"/>
        <w:gridCol w:w="1560"/>
      </w:tblGrid>
      <w:tr w:rsidR="00C3715A" w:rsidTr="00C371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C3715A" w:rsidRPr="003F543C" w:rsidRDefault="00C3715A" w:rsidP="00322AB8">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C3715A" w:rsidRPr="003F543C" w:rsidRDefault="00C3715A" w:rsidP="00322AB8">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C3715A" w:rsidRPr="003F543C" w:rsidRDefault="00C3715A" w:rsidP="00322AB8">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C3715A" w:rsidRPr="003F543C" w:rsidRDefault="00C3715A" w:rsidP="00322AB8">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560" w:type="dxa"/>
          </w:tcPr>
          <w:p w:rsidR="00C3715A" w:rsidRPr="003F543C" w:rsidRDefault="00C3715A" w:rsidP="00322AB8">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96075B" w:rsidTr="00AA66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96075B" w:rsidRPr="00BE2A80" w:rsidRDefault="00AA6622" w:rsidP="00AA6622">
            <w:pPr>
              <w:ind w:firstLine="0"/>
              <w:jc w:val="left"/>
              <w:rPr>
                <w:rFonts w:asciiTheme="minorHAnsi" w:hAnsiTheme="minorHAnsi" w:cstheme="minorHAnsi"/>
                <w:b w:val="0"/>
                <w:color w:val="000000"/>
                <w:sz w:val="20"/>
                <w:szCs w:val="20"/>
              </w:rPr>
            </w:pPr>
            <w:r w:rsidRPr="00BE2A80">
              <w:rPr>
                <w:rFonts w:asciiTheme="minorHAnsi" w:hAnsiTheme="minorHAnsi" w:cstheme="minorHAnsi"/>
                <w:b w:val="0"/>
                <w:sz w:val="20"/>
                <w:szCs w:val="20"/>
              </w:rPr>
              <w:t>Termomodernizacja budynkó</w:t>
            </w:r>
            <w:r>
              <w:rPr>
                <w:rFonts w:asciiTheme="minorHAnsi" w:hAnsiTheme="minorHAnsi" w:cstheme="minorHAnsi"/>
                <w:b w:val="0"/>
                <w:sz w:val="20"/>
                <w:szCs w:val="20"/>
              </w:rPr>
              <w:t>w oraz wymiana źródeł ciepła na bardziej ekologiczne i </w:t>
            </w:r>
            <w:r w:rsidRPr="00BE2A80">
              <w:rPr>
                <w:rFonts w:asciiTheme="minorHAnsi" w:hAnsiTheme="minorHAnsi" w:cstheme="minorHAnsi"/>
                <w:b w:val="0"/>
                <w:sz w:val="20"/>
                <w:szCs w:val="20"/>
              </w:rPr>
              <w:t>energooszczędne</w:t>
            </w:r>
            <w:r>
              <w:rPr>
                <w:rFonts w:asciiTheme="minorHAnsi" w:hAnsiTheme="minorHAnsi" w:cstheme="minorHAnsi"/>
                <w:b w:val="0"/>
                <w:sz w:val="20"/>
                <w:szCs w:val="20"/>
              </w:rPr>
              <w:t xml:space="preserve"> oraz rozwój </w:t>
            </w:r>
            <w:r w:rsidRPr="00BE2A80">
              <w:rPr>
                <w:rFonts w:asciiTheme="minorHAnsi" w:hAnsiTheme="minorHAnsi" w:cstheme="minorHAnsi"/>
                <w:b w:val="0"/>
                <w:sz w:val="20"/>
                <w:szCs w:val="20"/>
              </w:rPr>
              <w:t>odnawialnych źródeł energii na terenie HOF</w:t>
            </w:r>
          </w:p>
        </w:tc>
        <w:tc>
          <w:tcPr>
            <w:tcW w:w="4536" w:type="dxa"/>
          </w:tcPr>
          <w:p w:rsidR="0096075B" w:rsidRPr="00BE2A80" w:rsidRDefault="0096075B" w:rsidP="00B61A09">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E3A3D">
              <w:rPr>
                <w:rFonts w:ascii="Calibri" w:hAnsi="Calibri" w:cs="Calibri"/>
                <w:color w:val="000000"/>
                <w:sz w:val="20"/>
                <w:szCs w:val="20"/>
              </w:rPr>
              <w:t>Przebudowa/wymiana nieefektywnych źródeł ciepła</w:t>
            </w:r>
            <w:r w:rsidR="00B61A09">
              <w:rPr>
                <w:rFonts w:ascii="Calibri" w:hAnsi="Calibri" w:cs="Calibri"/>
                <w:color w:val="000000"/>
                <w:sz w:val="20"/>
                <w:szCs w:val="20"/>
              </w:rPr>
              <w:t xml:space="preserve"> </w:t>
            </w:r>
            <w:r w:rsidRPr="00BE3A3D">
              <w:rPr>
                <w:rFonts w:ascii="Calibri" w:hAnsi="Calibri" w:cs="Calibri"/>
                <w:color w:val="000000"/>
                <w:sz w:val="20"/>
                <w:szCs w:val="20"/>
              </w:rPr>
              <w:t>opartych o paliwa stałe, w tym zastosowanie</w:t>
            </w:r>
            <w:r w:rsidR="00B61A09">
              <w:rPr>
                <w:rFonts w:ascii="Calibri" w:hAnsi="Calibri" w:cs="Calibri"/>
                <w:color w:val="000000"/>
                <w:sz w:val="20"/>
                <w:szCs w:val="20"/>
              </w:rPr>
              <w:t xml:space="preserve"> </w:t>
            </w:r>
            <w:r w:rsidRPr="00BE3A3D">
              <w:rPr>
                <w:rFonts w:ascii="Calibri" w:hAnsi="Calibri" w:cs="Calibri"/>
                <w:color w:val="000000"/>
                <w:sz w:val="20"/>
                <w:szCs w:val="20"/>
              </w:rPr>
              <w:t>systemów grzewczych opartych na niskoemisyjnych</w:t>
            </w:r>
            <w:r w:rsidR="00B61A09">
              <w:rPr>
                <w:rFonts w:ascii="Calibri" w:hAnsi="Calibri" w:cs="Calibri"/>
                <w:color w:val="000000"/>
                <w:sz w:val="20"/>
                <w:szCs w:val="20"/>
              </w:rPr>
              <w:t xml:space="preserve"> </w:t>
            </w:r>
            <w:r w:rsidRPr="00BE3A3D">
              <w:rPr>
                <w:rFonts w:ascii="Calibri" w:hAnsi="Calibri" w:cs="Calibri"/>
                <w:color w:val="000000"/>
                <w:sz w:val="20"/>
                <w:szCs w:val="20"/>
              </w:rPr>
              <w:t>źródłach energii/OZE wraz z przyłączami budynków</w:t>
            </w:r>
            <w:r w:rsidR="00B61A09">
              <w:rPr>
                <w:rFonts w:ascii="Calibri" w:hAnsi="Calibri" w:cs="Calibri"/>
                <w:color w:val="000000"/>
                <w:sz w:val="20"/>
                <w:szCs w:val="20"/>
              </w:rPr>
              <w:t xml:space="preserve"> </w:t>
            </w:r>
            <w:r w:rsidRPr="00BE3A3D">
              <w:rPr>
                <w:rFonts w:ascii="Calibri" w:hAnsi="Calibri" w:cs="Calibri"/>
                <w:color w:val="000000"/>
                <w:sz w:val="20"/>
                <w:szCs w:val="20"/>
              </w:rPr>
              <w:t>do sieci gazowej i miejskiej sieci ciepłowniczej</w:t>
            </w:r>
            <w:r w:rsidR="00B61A09">
              <w:rPr>
                <w:rFonts w:ascii="Calibri" w:hAnsi="Calibri" w:cs="Calibri"/>
                <w:color w:val="000000"/>
                <w:sz w:val="20"/>
                <w:szCs w:val="20"/>
              </w:rPr>
              <w:t xml:space="preserve"> </w:t>
            </w:r>
            <w:r w:rsidRPr="00BE3A3D">
              <w:rPr>
                <w:rFonts w:ascii="Calibri" w:hAnsi="Calibri" w:cs="Calibri"/>
                <w:color w:val="000000"/>
                <w:sz w:val="20"/>
                <w:szCs w:val="20"/>
              </w:rPr>
              <w:t>połączona z termomodernizacją budynków, z</w:t>
            </w:r>
            <w:r w:rsidR="00B61A09">
              <w:rPr>
                <w:rFonts w:ascii="Calibri" w:hAnsi="Calibri" w:cs="Calibri"/>
                <w:color w:val="000000"/>
                <w:sz w:val="20"/>
                <w:szCs w:val="20"/>
              </w:rPr>
              <w:t xml:space="preserve"> </w:t>
            </w:r>
            <w:r w:rsidRPr="00BE3A3D">
              <w:rPr>
                <w:rFonts w:ascii="Calibri" w:hAnsi="Calibri" w:cs="Calibri"/>
                <w:color w:val="000000"/>
                <w:sz w:val="20"/>
                <w:szCs w:val="20"/>
              </w:rPr>
              <w:t>wyłączeniem inwestycji w budownictwie</w:t>
            </w:r>
            <w:r w:rsidR="00B61A09">
              <w:rPr>
                <w:rFonts w:ascii="Calibri" w:hAnsi="Calibri" w:cs="Calibri"/>
                <w:color w:val="000000"/>
                <w:sz w:val="20"/>
                <w:szCs w:val="20"/>
              </w:rPr>
              <w:t xml:space="preserve"> </w:t>
            </w:r>
            <w:r w:rsidRPr="00BE3A3D">
              <w:rPr>
                <w:rFonts w:ascii="Calibri" w:hAnsi="Calibri" w:cs="Calibri"/>
                <w:color w:val="000000"/>
                <w:sz w:val="20"/>
                <w:szCs w:val="20"/>
              </w:rPr>
              <w:t>jednorodzinnym</w:t>
            </w:r>
          </w:p>
        </w:tc>
        <w:tc>
          <w:tcPr>
            <w:tcW w:w="2835" w:type="dxa"/>
            <w:vAlign w:val="center"/>
          </w:tcPr>
          <w:p w:rsidR="0096075B" w:rsidRPr="00716E17" w:rsidRDefault="00B43994" w:rsidP="0096075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96075B" w:rsidRPr="00674630" w:rsidRDefault="00674630" w:rsidP="0096075B">
            <w:pPr>
              <w:spacing w:before="0"/>
              <w:ind w:firstLine="0"/>
              <w:jc w:val="center"/>
              <w:cnfStyle w:val="000000100000" w:firstRow="0" w:lastRow="0" w:firstColumn="0" w:lastColumn="0" w:oddVBand="0" w:evenVBand="0" w:oddHBand="1" w:evenHBand="0" w:firstRowFirstColumn="0" w:firstRowLastColumn="0" w:lastRowFirstColumn="0" w:lastRowLastColumn="0"/>
            </w:pPr>
            <w:r w:rsidRPr="00674630">
              <w:rPr>
                <w:sz w:val="20"/>
              </w:rPr>
              <w:t>Mieszkańcy – osoby fizyczne, przedsiębiorcy</w:t>
            </w:r>
          </w:p>
        </w:tc>
        <w:tc>
          <w:tcPr>
            <w:tcW w:w="1560" w:type="dxa"/>
            <w:vAlign w:val="center"/>
          </w:tcPr>
          <w:p w:rsidR="0096075B" w:rsidRDefault="0096075B" w:rsidP="0096075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96075B" w:rsidTr="0096075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96075B" w:rsidRPr="00BE2A80" w:rsidRDefault="0096075B" w:rsidP="00322AB8">
            <w:pPr>
              <w:ind w:firstLine="0"/>
              <w:jc w:val="left"/>
              <w:rPr>
                <w:rFonts w:asciiTheme="minorHAnsi" w:hAnsiTheme="minorHAnsi" w:cstheme="minorHAnsi"/>
                <w:b w:val="0"/>
                <w:color w:val="000000"/>
                <w:sz w:val="20"/>
                <w:szCs w:val="20"/>
              </w:rPr>
            </w:pPr>
          </w:p>
        </w:tc>
        <w:tc>
          <w:tcPr>
            <w:tcW w:w="4536" w:type="dxa"/>
          </w:tcPr>
          <w:p w:rsidR="0096075B" w:rsidRPr="00BE2A80" w:rsidRDefault="0096075B" w:rsidP="00B61A09">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BE3A3D">
              <w:rPr>
                <w:rFonts w:ascii="Calibri" w:hAnsi="Calibri" w:cs="Calibri"/>
                <w:color w:val="000000"/>
                <w:sz w:val="20"/>
                <w:szCs w:val="20"/>
              </w:rPr>
              <w:t>Kompleksowa modernizacja energetyczna</w:t>
            </w:r>
            <w:r w:rsidR="00B61A09">
              <w:rPr>
                <w:rFonts w:ascii="Calibri" w:hAnsi="Calibri" w:cs="Calibri"/>
                <w:color w:val="000000"/>
                <w:sz w:val="20"/>
                <w:szCs w:val="20"/>
              </w:rPr>
              <w:t xml:space="preserve"> </w:t>
            </w:r>
            <w:r w:rsidRPr="00BE3A3D">
              <w:rPr>
                <w:rFonts w:ascii="Calibri" w:hAnsi="Calibri" w:cs="Calibri"/>
                <w:color w:val="000000"/>
                <w:sz w:val="20"/>
                <w:szCs w:val="20"/>
              </w:rPr>
              <w:t>budynków użyteczności publicznej wraz z instalacją</w:t>
            </w:r>
            <w:r w:rsidR="00B61A09">
              <w:rPr>
                <w:rFonts w:ascii="Calibri" w:hAnsi="Calibri" w:cs="Calibri"/>
                <w:color w:val="000000"/>
                <w:sz w:val="20"/>
                <w:szCs w:val="20"/>
              </w:rPr>
              <w:t xml:space="preserve"> </w:t>
            </w:r>
            <w:r w:rsidRPr="00BE3A3D">
              <w:rPr>
                <w:rFonts w:ascii="Calibri" w:hAnsi="Calibri" w:cs="Calibri"/>
                <w:color w:val="000000"/>
                <w:sz w:val="20"/>
                <w:szCs w:val="20"/>
              </w:rPr>
              <w:t xml:space="preserve">urządzeń </w:t>
            </w:r>
            <w:r w:rsidRPr="00BE3A3D">
              <w:rPr>
                <w:rFonts w:ascii="Calibri" w:hAnsi="Calibri" w:cs="Calibri"/>
                <w:color w:val="000000"/>
                <w:sz w:val="20"/>
                <w:szCs w:val="20"/>
              </w:rPr>
              <w:lastRenderedPageBreak/>
              <w:t>OZE oraz wymianą/modernizacją źródeł</w:t>
            </w:r>
            <w:r w:rsidR="00B61A09">
              <w:rPr>
                <w:rFonts w:ascii="Calibri" w:hAnsi="Calibri" w:cs="Calibri"/>
                <w:color w:val="000000"/>
                <w:sz w:val="20"/>
                <w:szCs w:val="20"/>
              </w:rPr>
              <w:t xml:space="preserve"> </w:t>
            </w:r>
            <w:r w:rsidRPr="00BE3A3D">
              <w:rPr>
                <w:rFonts w:ascii="Calibri" w:hAnsi="Calibri" w:cs="Calibri"/>
                <w:color w:val="000000"/>
                <w:sz w:val="20"/>
                <w:szCs w:val="20"/>
              </w:rPr>
              <w:t>ciepła albo podłączeniem do sieci ciepłowniczej /</w:t>
            </w:r>
            <w:r w:rsidR="00B61A09">
              <w:rPr>
                <w:rFonts w:ascii="Calibri" w:hAnsi="Calibri" w:cs="Calibri"/>
                <w:color w:val="000000"/>
                <w:sz w:val="20"/>
                <w:szCs w:val="20"/>
              </w:rPr>
              <w:t xml:space="preserve"> </w:t>
            </w:r>
            <w:r w:rsidRPr="00BE3A3D">
              <w:rPr>
                <w:rFonts w:ascii="Calibri" w:hAnsi="Calibri" w:cs="Calibri"/>
                <w:color w:val="000000"/>
                <w:sz w:val="20"/>
                <w:szCs w:val="20"/>
              </w:rPr>
              <w:t>chłodniczej, a także instalacją systemów</w:t>
            </w:r>
            <w:r w:rsidR="00B61A09">
              <w:rPr>
                <w:rFonts w:ascii="Calibri" w:hAnsi="Calibri" w:cs="Calibri"/>
                <w:color w:val="000000"/>
                <w:sz w:val="20"/>
                <w:szCs w:val="20"/>
              </w:rPr>
              <w:t xml:space="preserve"> </w:t>
            </w:r>
            <w:r w:rsidRPr="00BE3A3D">
              <w:rPr>
                <w:rFonts w:ascii="Calibri" w:hAnsi="Calibri" w:cs="Calibri"/>
                <w:color w:val="000000"/>
                <w:sz w:val="20"/>
                <w:szCs w:val="20"/>
              </w:rPr>
              <w:t>zarządzania energią oraz promowaniem</w:t>
            </w:r>
            <w:r w:rsidR="00B61A09">
              <w:rPr>
                <w:rFonts w:ascii="Calibri" w:hAnsi="Calibri" w:cs="Calibri"/>
                <w:color w:val="000000"/>
                <w:sz w:val="20"/>
                <w:szCs w:val="20"/>
              </w:rPr>
              <w:t xml:space="preserve"> </w:t>
            </w:r>
            <w:r w:rsidRPr="00BE3A3D">
              <w:rPr>
                <w:rFonts w:ascii="Calibri" w:hAnsi="Calibri" w:cs="Calibri"/>
                <w:color w:val="000000"/>
                <w:sz w:val="20"/>
                <w:szCs w:val="20"/>
              </w:rPr>
              <w:t>energooszczędności</w:t>
            </w:r>
          </w:p>
        </w:tc>
        <w:tc>
          <w:tcPr>
            <w:tcW w:w="2835" w:type="dxa"/>
            <w:vAlign w:val="center"/>
          </w:tcPr>
          <w:p w:rsidR="0096075B" w:rsidRPr="00716E17" w:rsidRDefault="00B43994" w:rsidP="0096075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lastRenderedPageBreak/>
              <w:t>Gmina Miejska Hrubieszów, Gmina Hrubieszów</w:t>
            </w:r>
          </w:p>
        </w:tc>
        <w:tc>
          <w:tcPr>
            <w:tcW w:w="2409" w:type="dxa"/>
            <w:vAlign w:val="center"/>
          </w:tcPr>
          <w:p w:rsidR="00B43994" w:rsidRPr="00733E8D" w:rsidRDefault="00B43994" w:rsidP="00B43994">
            <w:pPr>
              <w:spacing w:before="0"/>
              <w:ind w:firstLine="0"/>
              <w:jc w:val="center"/>
              <w:cnfStyle w:val="000000010000" w:firstRow="0" w:lastRow="0" w:firstColumn="0" w:lastColumn="0" w:oddVBand="0" w:evenVBand="0" w:oddHBand="0" w:evenHBand="1" w:firstRowFirstColumn="0" w:firstRowLastColumn="0" w:lastRowFirstColumn="0" w:lastRowLastColumn="0"/>
              <w:rPr>
                <w:bCs/>
                <w:sz w:val="20"/>
                <w:szCs w:val="20"/>
              </w:rPr>
            </w:pPr>
            <w:r w:rsidRPr="00733E8D">
              <w:rPr>
                <w:bCs/>
                <w:sz w:val="20"/>
                <w:szCs w:val="20"/>
              </w:rPr>
              <w:t>Szkoły podstawowe i przedszkola,</w:t>
            </w:r>
          </w:p>
          <w:p w:rsidR="0096075B" w:rsidRDefault="00B43994" w:rsidP="00B43994">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proofErr w:type="gramStart"/>
            <w:r w:rsidRPr="00733E8D">
              <w:rPr>
                <w:bCs/>
                <w:sz w:val="20"/>
                <w:szCs w:val="20"/>
              </w:rPr>
              <w:lastRenderedPageBreak/>
              <w:t>mieszkańcy</w:t>
            </w:r>
            <w:proofErr w:type="gramEnd"/>
            <w:r w:rsidRPr="00733E8D">
              <w:rPr>
                <w:bCs/>
                <w:sz w:val="20"/>
                <w:szCs w:val="20"/>
              </w:rPr>
              <w:t xml:space="preserve"> – osoby fizyczne, przedsiębiorcy, </w:t>
            </w:r>
            <w:r w:rsidRPr="00733E8D">
              <w:rPr>
                <w:sz w:val="20"/>
                <w:szCs w:val="20"/>
              </w:rPr>
              <w:t xml:space="preserve">GZUK, </w:t>
            </w:r>
            <w:proofErr w:type="spellStart"/>
            <w:r w:rsidRPr="00733E8D">
              <w:rPr>
                <w:sz w:val="20"/>
                <w:szCs w:val="20"/>
              </w:rPr>
              <w:t>PGKiM</w:t>
            </w:r>
            <w:proofErr w:type="spellEnd"/>
            <w:r w:rsidRPr="00733E8D">
              <w:rPr>
                <w:bCs/>
                <w:sz w:val="20"/>
                <w:szCs w:val="20"/>
              </w:rPr>
              <w:t>, organizacje pozarządowe</w:t>
            </w:r>
          </w:p>
        </w:tc>
        <w:tc>
          <w:tcPr>
            <w:tcW w:w="1560" w:type="dxa"/>
            <w:vAlign w:val="center"/>
          </w:tcPr>
          <w:p w:rsidR="0096075B" w:rsidRDefault="0096075B" w:rsidP="0096075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674630" w:rsidTr="00960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674630" w:rsidRPr="00BE2A80" w:rsidRDefault="00674630" w:rsidP="00322AB8">
            <w:pPr>
              <w:ind w:firstLine="0"/>
              <w:jc w:val="left"/>
              <w:rPr>
                <w:rFonts w:asciiTheme="minorHAnsi" w:hAnsiTheme="minorHAnsi" w:cstheme="minorHAnsi"/>
                <w:b w:val="0"/>
                <w:color w:val="000000"/>
                <w:sz w:val="20"/>
                <w:szCs w:val="20"/>
              </w:rPr>
            </w:pPr>
          </w:p>
        </w:tc>
        <w:tc>
          <w:tcPr>
            <w:tcW w:w="4536" w:type="dxa"/>
          </w:tcPr>
          <w:p w:rsidR="00674630" w:rsidRPr="00BE2A80" w:rsidRDefault="00674630" w:rsidP="00B61A09">
            <w:pPr>
              <w:tabs>
                <w:tab w:val="left" w:pos="567"/>
              </w:tabs>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E3A3D">
              <w:rPr>
                <w:rFonts w:ascii="Calibri" w:hAnsi="Calibri" w:cs="Calibri"/>
                <w:color w:val="000000"/>
                <w:sz w:val="20"/>
                <w:szCs w:val="20"/>
              </w:rPr>
              <w:t>Kompleksowa modernizacja energetyczna</w:t>
            </w:r>
            <w:r w:rsidR="00B61A09">
              <w:rPr>
                <w:rFonts w:ascii="Calibri" w:hAnsi="Calibri" w:cs="Calibri"/>
                <w:color w:val="000000"/>
                <w:sz w:val="20"/>
                <w:szCs w:val="20"/>
              </w:rPr>
              <w:t xml:space="preserve"> </w:t>
            </w:r>
            <w:r w:rsidRPr="00BE3A3D">
              <w:rPr>
                <w:rFonts w:ascii="Calibri" w:hAnsi="Calibri" w:cs="Calibri"/>
                <w:color w:val="000000"/>
                <w:sz w:val="20"/>
                <w:szCs w:val="20"/>
              </w:rPr>
              <w:t>wielorodzinnych budynków mieszkalnych wraz z</w:t>
            </w:r>
            <w:r w:rsidR="00B61A09">
              <w:rPr>
                <w:rFonts w:ascii="Calibri" w:hAnsi="Calibri" w:cs="Calibri"/>
                <w:color w:val="000000"/>
                <w:sz w:val="20"/>
                <w:szCs w:val="20"/>
              </w:rPr>
              <w:t xml:space="preserve"> </w:t>
            </w:r>
            <w:r w:rsidRPr="00BE3A3D">
              <w:rPr>
                <w:rFonts w:ascii="Calibri" w:hAnsi="Calibri" w:cs="Calibri"/>
                <w:color w:val="000000"/>
                <w:sz w:val="20"/>
                <w:szCs w:val="20"/>
              </w:rPr>
              <w:t>instalacją urządzeń OZE oraz</w:t>
            </w:r>
            <w:r w:rsidR="00B61A09">
              <w:rPr>
                <w:rFonts w:ascii="Calibri" w:hAnsi="Calibri" w:cs="Calibri"/>
                <w:color w:val="000000"/>
                <w:sz w:val="20"/>
                <w:szCs w:val="20"/>
              </w:rPr>
              <w:t xml:space="preserve"> </w:t>
            </w:r>
            <w:r w:rsidRPr="00BE3A3D">
              <w:rPr>
                <w:rFonts w:ascii="Calibri" w:hAnsi="Calibri" w:cs="Calibri"/>
                <w:color w:val="000000"/>
                <w:sz w:val="20"/>
                <w:szCs w:val="20"/>
              </w:rPr>
              <w:t>wymianą/modernizacją źródeł ciepła albo</w:t>
            </w:r>
            <w:r w:rsidR="00B61A09">
              <w:rPr>
                <w:rFonts w:ascii="Calibri" w:hAnsi="Calibri" w:cs="Calibri"/>
                <w:color w:val="000000"/>
                <w:sz w:val="20"/>
                <w:szCs w:val="20"/>
              </w:rPr>
              <w:t xml:space="preserve"> </w:t>
            </w:r>
            <w:r w:rsidRPr="00BE3A3D">
              <w:rPr>
                <w:rFonts w:ascii="Calibri" w:hAnsi="Calibri" w:cs="Calibri"/>
                <w:color w:val="000000"/>
                <w:sz w:val="20"/>
                <w:szCs w:val="20"/>
              </w:rPr>
              <w:t xml:space="preserve">podłączeniem do sieci </w:t>
            </w:r>
            <w:r w:rsidR="00B61A09">
              <w:rPr>
                <w:rFonts w:ascii="Calibri" w:hAnsi="Calibri" w:cs="Calibri"/>
                <w:color w:val="000000"/>
                <w:sz w:val="20"/>
                <w:szCs w:val="20"/>
              </w:rPr>
              <w:t>ci</w:t>
            </w:r>
            <w:r w:rsidRPr="00BE3A3D">
              <w:rPr>
                <w:rFonts w:ascii="Calibri" w:hAnsi="Calibri" w:cs="Calibri"/>
                <w:color w:val="000000"/>
                <w:sz w:val="20"/>
                <w:szCs w:val="20"/>
              </w:rPr>
              <w:t>epłowniczej / chłodniczej, a</w:t>
            </w:r>
            <w:r w:rsidR="00B61A09">
              <w:rPr>
                <w:rFonts w:ascii="Calibri" w:hAnsi="Calibri" w:cs="Calibri"/>
                <w:color w:val="000000"/>
                <w:sz w:val="20"/>
                <w:szCs w:val="20"/>
              </w:rPr>
              <w:t xml:space="preserve"> </w:t>
            </w:r>
            <w:r w:rsidRPr="00BE3A3D">
              <w:rPr>
                <w:rFonts w:ascii="Calibri" w:hAnsi="Calibri" w:cs="Calibri"/>
                <w:color w:val="000000"/>
                <w:sz w:val="20"/>
                <w:szCs w:val="20"/>
              </w:rPr>
              <w:t>także instalacją systemów zarządzania energią oraz</w:t>
            </w:r>
            <w:r w:rsidR="00B61A09">
              <w:rPr>
                <w:rFonts w:ascii="Calibri" w:hAnsi="Calibri" w:cs="Calibri"/>
                <w:color w:val="000000"/>
                <w:sz w:val="20"/>
                <w:szCs w:val="20"/>
              </w:rPr>
              <w:t xml:space="preserve"> </w:t>
            </w:r>
            <w:r w:rsidRPr="00BE3A3D">
              <w:rPr>
                <w:rFonts w:ascii="Calibri" w:hAnsi="Calibri" w:cs="Calibri"/>
                <w:color w:val="000000"/>
                <w:sz w:val="20"/>
                <w:szCs w:val="20"/>
              </w:rPr>
              <w:t>promowaniem energooszczędności</w:t>
            </w:r>
            <w:r>
              <w:rPr>
                <w:rFonts w:ascii="Calibri" w:hAnsi="Calibri" w:cs="Calibri"/>
                <w:color w:val="000000"/>
                <w:sz w:val="20"/>
                <w:szCs w:val="20"/>
              </w:rPr>
              <w:tab/>
            </w:r>
          </w:p>
        </w:tc>
        <w:tc>
          <w:tcPr>
            <w:tcW w:w="2835" w:type="dxa"/>
            <w:vAlign w:val="center"/>
          </w:tcPr>
          <w:p w:rsidR="004B68B9" w:rsidRDefault="004B68B9"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6E17">
              <w:rPr>
                <w:sz w:val="20"/>
                <w:szCs w:val="20"/>
              </w:rPr>
              <w:t xml:space="preserve">Spółdzielnie, Wspólnoty </w:t>
            </w:r>
            <w:r w:rsidRPr="00716E17">
              <w:rPr>
                <w:sz w:val="20"/>
                <w:szCs w:val="20"/>
              </w:rPr>
              <w:br/>
              <w:t>Mieszkaniowe, Zarządcy budynków</w:t>
            </w:r>
          </w:p>
        </w:tc>
        <w:tc>
          <w:tcPr>
            <w:tcW w:w="2409" w:type="dxa"/>
            <w:vAlign w:val="center"/>
          </w:tcPr>
          <w:p w:rsidR="004B68B9" w:rsidRDefault="004B68B9" w:rsidP="004B68B9">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E7837">
              <w:rPr>
                <w:rFonts w:ascii="Calibri" w:hAnsi="Calibri" w:cs="Calibri"/>
                <w:color w:val="000000"/>
                <w:sz w:val="20"/>
                <w:szCs w:val="20"/>
              </w:rPr>
              <w:t>Gmina Miejska Hrubieszów</w:t>
            </w:r>
            <w:r>
              <w:rPr>
                <w:rFonts w:ascii="Calibri" w:hAnsi="Calibri" w:cs="Calibri"/>
                <w:color w:val="000000"/>
                <w:sz w:val="20"/>
                <w:szCs w:val="20"/>
              </w:rPr>
              <w:t>,</w:t>
            </w:r>
          </w:p>
          <w:p w:rsidR="00674630" w:rsidRPr="00733E8D" w:rsidRDefault="004B68B9" w:rsidP="004B68B9">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AE7837">
              <w:rPr>
                <w:rFonts w:ascii="Calibri" w:hAnsi="Calibri" w:cs="Calibri"/>
                <w:color w:val="000000"/>
                <w:sz w:val="20"/>
                <w:szCs w:val="20"/>
              </w:rPr>
              <w:t>Gmina Hrubieszów</w:t>
            </w:r>
          </w:p>
        </w:tc>
        <w:tc>
          <w:tcPr>
            <w:tcW w:w="1560" w:type="dxa"/>
            <w:vAlign w:val="center"/>
          </w:tcPr>
          <w:p w:rsidR="00674630" w:rsidRDefault="00674630" w:rsidP="0096075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674630" w:rsidTr="006746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674630" w:rsidRPr="00BE2A80" w:rsidRDefault="00674630" w:rsidP="00322AB8">
            <w:pPr>
              <w:ind w:firstLine="0"/>
              <w:jc w:val="left"/>
              <w:rPr>
                <w:rFonts w:asciiTheme="minorHAnsi" w:hAnsiTheme="minorHAnsi" w:cstheme="minorHAnsi"/>
                <w:b w:val="0"/>
                <w:color w:val="000000"/>
                <w:sz w:val="20"/>
                <w:szCs w:val="20"/>
              </w:rPr>
            </w:pPr>
          </w:p>
        </w:tc>
        <w:tc>
          <w:tcPr>
            <w:tcW w:w="4536" w:type="dxa"/>
            <w:vAlign w:val="center"/>
          </w:tcPr>
          <w:p w:rsidR="00674630" w:rsidRPr="00BE2A80" w:rsidRDefault="00674630" w:rsidP="00B61A09">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BE3A3D">
              <w:rPr>
                <w:rFonts w:ascii="Calibri" w:hAnsi="Calibri" w:cs="Calibri"/>
                <w:color w:val="000000"/>
                <w:sz w:val="20"/>
                <w:szCs w:val="20"/>
              </w:rPr>
              <w:t>Budowa budynków pasywnych przez sektor</w:t>
            </w:r>
            <w:r w:rsidR="00B61A09">
              <w:rPr>
                <w:rFonts w:ascii="Calibri" w:hAnsi="Calibri" w:cs="Calibri"/>
                <w:color w:val="000000"/>
                <w:sz w:val="20"/>
                <w:szCs w:val="20"/>
              </w:rPr>
              <w:t xml:space="preserve"> </w:t>
            </w:r>
            <w:r w:rsidRPr="00BE3A3D">
              <w:rPr>
                <w:rFonts w:ascii="Calibri" w:hAnsi="Calibri" w:cs="Calibri"/>
                <w:color w:val="000000"/>
                <w:sz w:val="20"/>
                <w:szCs w:val="20"/>
              </w:rPr>
              <w:t>publiczny, mająca na celu pełnienie przez ten sektor</w:t>
            </w:r>
            <w:r w:rsidR="00B61A09">
              <w:rPr>
                <w:rFonts w:ascii="Calibri" w:hAnsi="Calibri" w:cs="Calibri"/>
                <w:color w:val="000000"/>
                <w:sz w:val="20"/>
                <w:szCs w:val="20"/>
              </w:rPr>
              <w:t xml:space="preserve"> </w:t>
            </w:r>
            <w:r w:rsidRPr="00BE3A3D">
              <w:rPr>
                <w:rFonts w:ascii="Calibri" w:hAnsi="Calibri" w:cs="Calibri"/>
                <w:color w:val="000000"/>
                <w:sz w:val="20"/>
                <w:szCs w:val="20"/>
              </w:rPr>
              <w:t>wzorcowej roli w zakresie EE</w:t>
            </w:r>
          </w:p>
        </w:tc>
        <w:tc>
          <w:tcPr>
            <w:tcW w:w="2835" w:type="dxa"/>
            <w:vAlign w:val="center"/>
          </w:tcPr>
          <w:p w:rsidR="00674630" w:rsidRDefault="00674630"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674630" w:rsidRPr="00733E8D" w:rsidRDefault="00674630"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bCs/>
                <w:sz w:val="20"/>
                <w:szCs w:val="20"/>
              </w:rPr>
            </w:pPr>
            <w:r w:rsidRPr="00733E8D">
              <w:rPr>
                <w:bCs/>
                <w:sz w:val="20"/>
                <w:szCs w:val="20"/>
              </w:rPr>
              <w:t>Szkoły podstawowe i przedszkola,</w:t>
            </w:r>
          </w:p>
          <w:p w:rsidR="00674630" w:rsidRPr="00733E8D" w:rsidRDefault="00674630"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proofErr w:type="gramStart"/>
            <w:r w:rsidRPr="00733E8D">
              <w:rPr>
                <w:bCs/>
                <w:sz w:val="20"/>
                <w:szCs w:val="20"/>
              </w:rPr>
              <w:t>mieszkańcy</w:t>
            </w:r>
            <w:proofErr w:type="gramEnd"/>
            <w:r w:rsidRPr="00733E8D">
              <w:rPr>
                <w:bCs/>
                <w:sz w:val="20"/>
                <w:szCs w:val="20"/>
              </w:rPr>
              <w:t xml:space="preserve"> – osoby fizyczne, przedsiębiorcy, </w:t>
            </w:r>
            <w:r w:rsidRPr="00733E8D">
              <w:rPr>
                <w:sz w:val="20"/>
                <w:szCs w:val="20"/>
              </w:rPr>
              <w:t xml:space="preserve">GZUK, </w:t>
            </w:r>
            <w:proofErr w:type="spellStart"/>
            <w:r w:rsidRPr="00733E8D">
              <w:rPr>
                <w:sz w:val="20"/>
                <w:szCs w:val="20"/>
              </w:rPr>
              <w:t>PGKiM</w:t>
            </w:r>
            <w:proofErr w:type="spellEnd"/>
            <w:r w:rsidRPr="00733E8D">
              <w:rPr>
                <w:bCs/>
                <w:sz w:val="20"/>
                <w:szCs w:val="20"/>
              </w:rPr>
              <w:t>, organizacje pozarządowe</w:t>
            </w:r>
          </w:p>
        </w:tc>
        <w:tc>
          <w:tcPr>
            <w:tcW w:w="1560" w:type="dxa"/>
            <w:vAlign w:val="center"/>
          </w:tcPr>
          <w:p w:rsidR="00674630" w:rsidRDefault="00674630" w:rsidP="0096075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674630" w:rsidTr="009607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674630" w:rsidRPr="00BE2A80" w:rsidRDefault="00674630" w:rsidP="00322AB8">
            <w:pPr>
              <w:ind w:firstLine="0"/>
              <w:jc w:val="left"/>
              <w:rPr>
                <w:rFonts w:cstheme="minorHAnsi"/>
                <w:b w:val="0"/>
                <w:color w:val="000000"/>
                <w:sz w:val="20"/>
                <w:szCs w:val="20"/>
              </w:rPr>
            </w:pPr>
          </w:p>
        </w:tc>
        <w:tc>
          <w:tcPr>
            <w:tcW w:w="4536" w:type="dxa"/>
          </w:tcPr>
          <w:p w:rsidR="00674630" w:rsidRPr="00BE3A3D" w:rsidRDefault="00674630" w:rsidP="00B61A09">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BE3A3D">
              <w:rPr>
                <w:rFonts w:ascii="Calibri" w:hAnsi="Calibri" w:cs="Calibri"/>
                <w:color w:val="000000"/>
                <w:sz w:val="20"/>
                <w:szCs w:val="20"/>
              </w:rPr>
              <w:t>Efektywne sieci ciepłownicze/chłodnicze wraz z</w:t>
            </w:r>
            <w:r w:rsidR="00B61A09">
              <w:rPr>
                <w:rFonts w:ascii="Calibri" w:hAnsi="Calibri" w:cs="Calibri"/>
                <w:color w:val="000000"/>
                <w:sz w:val="20"/>
                <w:szCs w:val="20"/>
              </w:rPr>
              <w:t xml:space="preserve"> </w:t>
            </w:r>
            <w:r w:rsidRPr="00BE3A3D">
              <w:rPr>
                <w:rFonts w:ascii="Calibri" w:hAnsi="Calibri" w:cs="Calibri"/>
                <w:color w:val="000000"/>
                <w:sz w:val="20"/>
                <w:szCs w:val="20"/>
              </w:rPr>
              <w:t>magazynami energii (budowa/rozbudowa/</w:t>
            </w:r>
            <w:r w:rsidR="00B61A09">
              <w:rPr>
                <w:rFonts w:ascii="Calibri" w:hAnsi="Calibri" w:cs="Calibri"/>
                <w:color w:val="000000"/>
                <w:sz w:val="20"/>
                <w:szCs w:val="20"/>
              </w:rPr>
              <w:t xml:space="preserve"> </w:t>
            </w:r>
            <w:r w:rsidRPr="00BE3A3D">
              <w:rPr>
                <w:rFonts w:ascii="Calibri" w:hAnsi="Calibri" w:cs="Calibri"/>
                <w:color w:val="000000"/>
                <w:sz w:val="20"/>
                <w:szCs w:val="20"/>
              </w:rPr>
              <w:t>modernizacja), inwestycje do 5 MW mocy</w:t>
            </w:r>
            <w:r w:rsidR="00B61A09">
              <w:rPr>
                <w:rFonts w:ascii="Calibri" w:hAnsi="Calibri" w:cs="Calibri"/>
                <w:color w:val="000000"/>
                <w:sz w:val="20"/>
                <w:szCs w:val="20"/>
              </w:rPr>
              <w:t xml:space="preserve"> </w:t>
            </w:r>
            <w:r w:rsidRPr="00BE3A3D">
              <w:rPr>
                <w:rFonts w:ascii="Calibri" w:hAnsi="Calibri" w:cs="Calibri"/>
                <w:color w:val="000000"/>
                <w:sz w:val="20"/>
                <w:szCs w:val="20"/>
              </w:rPr>
              <w:t>zamówionej</w:t>
            </w:r>
          </w:p>
        </w:tc>
        <w:tc>
          <w:tcPr>
            <w:tcW w:w="2835" w:type="dxa"/>
            <w:vAlign w:val="center"/>
          </w:tcPr>
          <w:p w:rsidR="00674630" w:rsidRDefault="00674630"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AE7837">
              <w:rPr>
                <w:rFonts w:ascii="Calibri" w:hAnsi="Calibri" w:cs="Calibri"/>
                <w:color w:val="000000"/>
                <w:sz w:val="20"/>
                <w:szCs w:val="20"/>
              </w:rPr>
              <w:t>Gmina Miejska Hrubieszów, Gmina Hrubieszów</w:t>
            </w:r>
          </w:p>
        </w:tc>
        <w:tc>
          <w:tcPr>
            <w:tcW w:w="2409" w:type="dxa"/>
            <w:vAlign w:val="center"/>
          </w:tcPr>
          <w:p w:rsidR="00674630" w:rsidRPr="00733E8D" w:rsidRDefault="00674630"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733E8D">
              <w:rPr>
                <w:sz w:val="20"/>
                <w:szCs w:val="20"/>
              </w:rPr>
              <w:t>Organizacje pozarządowe, przedsiębiorcy</w:t>
            </w:r>
            <w:r>
              <w:rPr>
                <w:sz w:val="20"/>
                <w:szCs w:val="20"/>
              </w:rPr>
              <w:t>, mieszkańcy</w:t>
            </w:r>
          </w:p>
        </w:tc>
        <w:tc>
          <w:tcPr>
            <w:tcW w:w="1560" w:type="dxa"/>
            <w:vAlign w:val="center"/>
          </w:tcPr>
          <w:p w:rsidR="00674630" w:rsidRDefault="00674630" w:rsidP="0096075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322AB8" w:rsidRPr="00574FE5" w:rsidRDefault="00322AB8" w:rsidP="00322AB8">
      <w:r w:rsidRPr="00574FE5">
        <w:t xml:space="preserve">Indykatywny wykaz wstępnie zidentyfikowanych projektów i przedsięwzięć inwestycyjnych wpisujący się w zakres celu strategicznego </w:t>
      </w:r>
      <w:r>
        <w:t>2 w pozakonkursowych celach operacyjnych</w:t>
      </w:r>
      <w:r w:rsidRPr="00574FE5">
        <w:t>:</w:t>
      </w:r>
    </w:p>
    <w:tbl>
      <w:tblPr>
        <w:tblStyle w:val="Jasnasiatkaakcent5"/>
        <w:tblW w:w="0" w:type="auto"/>
        <w:tblLook w:val="04A0" w:firstRow="1" w:lastRow="0" w:firstColumn="1" w:lastColumn="0" w:noHBand="0" w:noVBand="1"/>
      </w:tblPr>
      <w:tblGrid>
        <w:gridCol w:w="7338"/>
        <w:gridCol w:w="3827"/>
        <w:gridCol w:w="2979"/>
      </w:tblGrid>
      <w:tr w:rsidR="00A6060E" w:rsidTr="00574FE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A6060E" w:rsidRPr="006D233E" w:rsidRDefault="00A6060E" w:rsidP="00037A14">
            <w:pPr>
              <w:ind w:firstLine="0"/>
              <w:jc w:val="center"/>
              <w:rPr>
                <w:rFonts w:asciiTheme="minorHAnsi" w:hAnsiTheme="minorHAnsi" w:cstheme="minorHAnsi"/>
                <w:b w:val="0"/>
                <w:bCs w:val="0"/>
              </w:rPr>
            </w:pPr>
            <w:r w:rsidRPr="006D233E">
              <w:rPr>
                <w:rFonts w:asciiTheme="minorHAnsi" w:hAnsiTheme="minorHAnsi" w:cstheme="minorHAnsi"/>
              </w:rPr>
              <w:t>Projekty</w:t>
            </w:r>
            <w:r w:rsidRPr="006D233E">
              <w:rPr>
                <w:rFonts w:asciiTheme="minorHAnsi" w:hAnsiTheme="minorHAnsi" w:cstheme="minorHAnsi"/>
                <w:bCs w:val="0"/>
              </w:rPr>
              <w:t xml:space="preserve"> / przedsięwzięcia </w:t>
            </w:r>
          </w:p>
        </w:tc>
        <w:tc>
          <w:tcPr>
            <w:tcW w:w="3827" w:type="dxa"/>
          </w:tcPr>
          <w:p w:rsidR="00A6060E" w:rsidRPr="006D233E" w:rsidRDefault="00A6060E" w:rsidP="00037A14">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D233E">
              <w:rPr>
                <w:rFonts w:asciiTheme="minorHAnsi" w:hAnsiTheme="minorHAnsi" w:cstheme="minorHAnsi"/>
                <w:bCs w:val="0"/>
              </w:rPr>
              <w:t xml:space="preserve">Podmiot odpowiedzialny za realizację </w:t>
            </w:r>
          </w:p>
        </w:tc>
        <w:tc>
          <w:tcPr>
            <w:tcW w:w="2979" w:type="dxa"/>
          </w:tcPr>
          <w:p w:rsidR="00A6060E" w:rsidRPr="006D233E" w:rsidRDefault="00A6060E" w:rsidP="00037A14">
            <w:pPr>
              <w:ind w:firstLine="34"/>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rPr>
            </w:pPr>
            <w:r w:rsidRPr="006D233E">
              <w:rPr>
                <w:rFonts w:asciiTheme="minorHAnsi" w:hAnsiTheme="minorHAnsi" w:cstheme="minorHAnsi"/>
                <w:bCs w:val="0"/>
              </w:rPr>
              <w:t>Szacowana wartość (</w:t>
            </w:r>
            <w:r w:rsidRPr="006D233E">
              <w:rPr>
                <w:rFonts w:asciiTheme="minorHAnsi" w:hAnsiTheme="minorHAnsi" w:cstheme="minorHAnsi"/>
              </w:rPr>
              <w:t>z</w:t>
            </w:r>
            <w:r w:rsidRPr="006D233E">
              <w:rPr>
                <w:rFonts w:asciiTheme="minorHAnsi" w:hAnsiTheme="minorHAnsi" w:cstheme="minorHAnsi"/>
                <w:bCs w:val="0"/>
              </w:rPr>
              <w:t xml:space="preserve">ł) </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Modernizacja/przebudowa sieci wodociągowej w ulicy Kolejowej od skrzyżowania w ul. Basaja do skrzyżowania z ulicą nową, wpięcie wodociągów z ul. Polnej i Listopadowej</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rFonts w:cstheme="minorHAnsi"/>
                <w:bCs/>
              </w:rPr>
            </w:pPr>
            <w:r w:rsidRPr="007A752A">
              <w:rPr>
                <w:rFonts w:cstheme="minorHAnsi"/>
                <w:bCs/>
              </w:rPr>
              <w:t>1 500 000,00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sieci wodociągowej w ulicy Sokolskiej</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b/>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rFonts w:cstheme="minorHAnsi"/>
                <w:bCs/>
              </w:rPr>
            </w:pPr>
            <w:r w:rsidRPr="007A752A">
              <w:rPr>
                <w:rFonts w:cstheme="minorHAnsi"/>
                <w:bCs/>
              </w:rPr>
              <w:t>300 000,00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 xml:space="preserve">Budowa sieci wodociągowej oraz budowa i rozbudowa sieci kanalizacji sanitarnej w ulicy Dworcowej </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rFonts w:cstheme="minorHAnsi"/>
                <w:bCs/>
              </w:rPr>
            </w:pPr>
            <w:r w:rsidRPr="007A752A">
              <w:rPr>
                <w:rFonts w:cstheme="minorHAnsi"/>
                <w:bCs/>
              </w:rPr>
              <w:t>1 000 000,00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sieci wodociągowej w ulicy Uchańskiej bocznej</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b/>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rFonts w:cstheme="minorHAnsi"/>
                <w:bCs/>
              </w:rPr>
            </w:pPr>
            <w:r w:rsidRPr="007A752A">
              <w:rPr>
                <w:rFonts w:cstheme="minorHAnsi"/>
                <w:bCs/>
              </w:rPr>
              <w:t>150 000,00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Modernizacja sieci wodociągowych na terenie aglomeracji Hrubieszów (odcinek sieci Kom. Krawczyka – Dwernickiego)</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rFonts w:cstheme="minorHAnsi"/>
                <w:bCs/>
              </w:rPr>
            </w:pPr>
            <w:r w:rsidRPr="007A752A">
              <w:rPr>
                <w:rFonts w:cstheme="minorHAnsi"/>
                <w:bCs/>
              </w:rPr>
              <w:t>300 000,00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lastRenderedPageBreak/>
              <w:t>Budowa sieci wodociągowej w ulicy Michałówka (od ulicy Basaja do ulicy Michałówka)</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b/>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rFonts w:cstheme="minorHAnsi"/>
                <w:bCs/>
              </w:rPr>
            </w:pPr>
            <w:r w:rsidRPr="007A752A">
              <w:rPr>
                <w:rFonts w:cstheme="minorHAnsi"/>
                <w:bCs/>
              </w:rPr>
              <w:t>250 000,00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Rozbudowa sieci wodociągowej w ulicy Partyzantów</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rFonts w:cstheme="minorHAnsi"/>
                <w:bCs/>
              </w:rPr>
            </w:pPr>
            <w:r w:rsidRPr="007A752A">
              <w:rPr>
                <w:rFonts w:cstheme="minorHAnsi"/>
                <w:bCs/>
              </w:rPr>
              <w:t>50 000,00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Montaż czujników ciśnienia na sieci wodociągowej (urządzenie do aktywnego sterowania ciśnieniem w sieci wodociągowej</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b/>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rFonts w:cstheme="minorHAnsi"/>
                <w:bCs/>
              </w:rPr>
            </w:pPr>
            <w:r w:rsidRPr="007A752A">
              <w:rPr>
                <w:rFonts w:cstheme="minorHAnsi"/>
                <w:bCs/>
              </w:rPr>
              <w:t>30 000,00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 xml:space="preserve">Modernizacja i wyposażenie SUW ul. </w:t>
            </w:r>
            <w:proofErr w:type="spellStart"/>
            <w:r w:rsidRPr="007866C8">
              <w:rPr>
                <w:rFonts w:asciiTheme="minorHAnsi" w:hAnsiTheme="minorHAnsi" w:cstheme="minorHAnsi"/>
                <w:b w:val="0"/>
                <w:sz w:val="20"/>
                <w:szCs w:val="20"/>
              </w:rPr>
              <w:t>Teresówka</w:t>
            </w:r>
            <w:proofErr w:type="spellEnd"/>
            <w:r w:rsidRPr="007866C8">
              <w:rPr>
                <w:rFonts w:asciiTheme="minorHAnsi" w:hAnsiTheme="minorHAnsi" w:cstheme="minorHAnsi"/>
                <w:b w:val="0"/>
                <w:sz w:val="20"/>
                <w:szCs w:val="20"/>
              </w:rPr>
              <w:t xml:space="preserve"> 14a (dostawa szaf sterowniczych na studnie głębinowe, remont szachtów studni głębinowych, remonty i modernizacje urządzeń technologicznych, remonty obiektów SUW, zoptymalizowanie pracy urządzeń uczestniczących w procesach technologicznych poboru i uzdatniania wody za pomocą Aparatury Kontrolno-Pomiarowej i Automatyki i systemów SCADA).</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rFonts w:cstheme="minorHAnsi"/>
                <w:bCs/>
              </w:rPr>
            </w:pPr>
            <w:r w:rsidRPr="007A752A">
              <w:rPr>
                <w:rFonts w:cstheme="minorHAnsi"/>
                <w:bCs/>
              </w:rPr>
              <w:t>2 000 000,00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Modernizacja oczyszczalni ścieków ul. Gródecka 116 (modernizacja kolektora odprowadzającego ścieki do odbiornika, modernizacja pompowni osadu wstępnego, Modernizacja mieszadeł na komorach denitryfikacji i </w:t>
            </w:r>
            <w:proofErr w:type="spellStart"/>
            <w:r w:rsidRPr="007866C8">
              <w:rPr>
                <w:rFonts w:asciiTheme="minorHAnsi" w:hAnsiTheme="minorHAnsi" w:cstheme="minorHAnsi"/>
                <w:b w:val="0"/>
                <w:sz w:val="20"/>
                <w:szCs w:val="20"/>
              </w:rPr>
              <w:t>defosfatacjii</w:t>
            </w:r>
            <w:proofErr w:type="spellEnd"/>
            <w:r w:rsidRPr="007866C8">
              <w:rPr>
                <w:rFonts w:asciiTheme="minorHAnsi" w:hAnsiTheme="minorHAnsi" w:cstheme="minorHAnsi"/>
                <w:b w:val="0"/>
                <w:sz w:val="20"/>
                <w:szCs w:val="20"/>
              </w:rPr>
              <w:t xml:space="preserve"> odtleniania, zakup dmuchawy zbiorowej, zoptymalizowanie pracy urządzeń uczestniczących w procesach technologicznych oczyszczania ścieków za pomocą Aparatury Kontrolno-Pomiarowej i Automatyki i systemów SCADA, modernizacja zbiornika retencyjnego na zbiornik buforowy przepływowy oraz wymiana separatora piasku na piaskownik wirowy)</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rFonts w:cstheme="minorHAnsi"/>
                <w:bCs/>
              </w:rPr>
            </w:pPr>
            <w:r w:rsidRPr="007A752A">
              <w:rPr>
                <w:rFonts w:cstheme="minorHAnsi"/>
                <w:bCs/>
              </w:rPr>
              <w:t>3 500 000,00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Modernizacja sieci kanalizacyjnej Gródecka – oś Jagiellońskie</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rFonts w:cstheme="minorHAnsi"/>
                <w:bCs/>
              </w:rPr>
            </w:pPr>
            <w:r w:rsidRPr="007A752A">
              <w:rPr>
                <w:rFonts w:cstheme="minorHAnsi"/>
                <w:bCs/>
              </w:rPr>
              <w:t>200 000,00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sieci kanalizacji sanitarnej w ulicy Michałówka</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rFonts w:cstheme="minorHAnsi"/>
                <w:bCs/>
              </w:rPr>
            </w:pPr>
            <w:r w:rsidRPr="007A752A">
              <w:rPr>
                <w:rFonts w:cstheme="minorHAnsi"/>
                <w:bCs/>
              </w:rPr>
              <w:t>950 000,00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Modernizacja sieci kanalizacyjnej w ulicy Piłsudskiego</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rFonts w:cstheme="minorHAnsi"/>
                <w:bCs/>
              </w:rPr>
            </w:pPr>
            <w:r w:rsidRPr="007A752A">
              <w:rPr>
                <w:rFonts w:cstheme="minorHAnsi"/>
                <w:bCs/>
              </w:rPr>
              <w:t>500 000,00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sieci kanalizacyjnej w ulicy Uchańskiej bocznej</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rFonts w:cstheme="minorHAnsi"/>
                <w:bCs/>
              </w:rPr>
            </w:pPr>
            <w:r w:rsidRPr="007A752A">
              <w:rPr>
                <w:rFonts w:cstheme="minorHAnsi"/>
                <w:bCs/>
              </w:rPr>
              <w:t>300 000,00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sieci kanalizacji sanitarnej w ulicy Michałówka (od ulicy Basaja do ulicy Michałówka)</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rFonts w:cstheme="minorHAnsi"/>
                <w:bCs/>
              </w:rPr>
            </w:pPr>
            <w:r w:rsidRPr="007A752A">
              <w:rPr>
                <w:rFonts w:cstheme="minorHAnsi"/>
                <w:bCs/>
              </w:rPr>
              <w:t>400 000,00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 xml:space="preserve">Modernizacja sieci kanalizacji sanitarnej w ulicy Gródeckiej (metoda rękawa z włókna szklanego utwardzanego promieniami UV)  </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A752A" w:rsidRDefault="000A1324"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rFonts w:cstheme="minorHAnsi"/>
                <w:bCs/>
              </w:rPr>
            </w:pPr>
            <w:r w:rsidRPr="007A752A">
              <w:rPr>
                <w:rFonts w:cstheme="minorHAnsi"/>
                <w:bCs/>
              </w:rPr>
              <w:t>800 000,00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Modernizacja sieci kanalizacji sanitarnej w ulicy Kościelnej</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14285B"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rFonts w:cstheme="minorHAnsi"/>
                <w:bCs/>
              </w:rPr>
            </w:pPr>
            <w:r w:rsidRPr="0014285B">
              <w:rPr>
                <w:rFonts w:cstheme="minorHAnsi"/>
                <w:bCs/>
              </w:rPr>
              <w:t>40 000,00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Modernizacja sieci wodociągowej oraz ujęć wody, monitoring sieci wodociągowej, zwiększenie wydajności ujęć wody, budowa zbiorników wody</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7866C8">
              <w:rPr>
                <w:rFonts w:cstheme="minorHAnsi"/>
                <w:sz w:val="20"/>
                <w:szCs w:val="20"/>
              </w:rPr>
              <w:t>Gmina Hrubieszów</w:t>
            </w:r>
          </w:p>
        </w:tc>
        <w:tc>
          <w:tcPr>
            <w:tcW w:w="2979" w:type="dxa"/>
            <w:vAlign w:val="center"/>
          </w:tcPr>
          <w:p w:rsidR="000A1324" w:rsidRPr="0014285B"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rFonts w:cstheme="minorHAnsi"/>
                <w:b/>
              </w:rPr>
            </w:pPr>
            <w:r w:rsidRPr="0014285B">
              <w:rPr>
                <w:rFonts w:cstheme="minorHAnsi"/>
              </w:rPr>
              <w:t>5 000 000,00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Modernizacja istniejących oczyszczalni ścieków (Mieniany, Dziekanów i Husynne)</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Hrubieszów</w:t>
            </w:r>
          </w:p>
        </w:tc>
        <w:tc>
          <w:tcPr>
            <w:tcW w:w="2979" w:type="dxa"/>
            <w:vAlign w:val="center"/>
          </w:tcPr>
          <w:p w:rsidR="000A1324" w:rsidRPr="0014285B" w:rsidRDefault="000A1324" w:rsidP="000A1324">
            <w:pPr>
              <w:spacing w:before="0"/>
              <w:jc w:val="right"/>
              <w:cnfStyle w:val="000000100000" w:firstRow="0" w:lastRow="0" w:firstColumn="0" w:lastColumn="0" w:oddVBand="0" w:evenVBand="0" w:oddHBand="1" w:evenHBand="0" w:firstRowFirstColumn="0" w:firstRowLastColumn="0" w:lastRowFirstColumn="0" w:lastRowLastColumn="0"/>
              <w:rPr>
                <w:rFonts w:cstheme="minorHAnsi"/>
                <w:b/>
              </w:rPr>
            </w:pPr>
            <w:r w:rsidRPr="0014285B">
              <w:rPr>
                <w:rFonts w:cstheme="minorHAnsi"/>
              </w:rPr>
              <w:t>4 000 000,00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color w:val="000000"/>
                <w:sz w:val="20"/>
                <w:szCs w:val="20"/>
              </w:rPr>
            </w:pPr>
            <w:r w:rsidRPr="007866C8">
              <w:rPr>
                <w:rFonts w:asciiTheme="minorHAnsi" w:hAnsiTheme="minorHAnsi" w:cstheme="minorHAnsi"/>
                <w:b w:val="0"/>
                <w:color w:val="000000"/>
                <w:sz w:val="20"/>
                <w:szCs w:val="20"/>
              </w:rPr>
              <w:t>Budowa oczyszczalni ścieków oraz przydomowych oczyszczalni ścieków</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7866C8">
              <w:rPr>
                <w:rFonts w:cstheme="minorHAnsi"/>
                <w:sz w:val="20"/>
                <w:szCs w:val="20"/>
              </w:rPr>
              <w:t>Gmina Hrubieszów</w:t>
            </w:r>
          </w:p>
        </w:tc>
        <w:tc>
          <w:tcPr>
            <w:tcW w:w="2979" w:type="dxa"/>
            <w:vAlign w:val="center"/>
          </w:tcPr>
          <w:p w:rsidR="000A1324" w:rsidRPr="0014285B"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rFonts w:cstheme="minorHAnsi"/>
                <w:b/>
              </w:rPr>
            </w:pPr>
            <w:r w:rsidRPr="0014285B">
              <w:rPr>
                <w:rFonts w:cstheme="minorHAnsi"/>
              </w:rPr>
              <w:t>10 000 000,00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zbiorników retencyjnych</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Hrubieszów</w:t>
            </w:r>
          </w:p>
        </w:tc>
        <w:tc>
          <w:tcPr>
            <w:tcW w:w="2979" w:type="dxa"/>
            <w:vAlign w:val="center"/>
          </w:tcPr>
          <w:p w:rsidR="000A1324" w:rsidRPr="0014285B" w:rsidRDefault="000A1324" w:rsidP="000A1324">
            <w:pPr>
              <w:spacing w:before="0"/>
              <w:jc w:val="right"/>
              <w:cnfStyle w:val="000000100000" w:firstRow="0" w:lastRow="0" w:firstColumn="0" w:lastColumn="0" w:oddVBand="0" w:evenVBand="0" w:oddHBand="1" w:evenHBand="0" w:firstRowFirstColumn="0" w:firstRowLastColumn="0" w:lastRowFirstColumn="0" w:lastRowLastColumn="0"/>
              <w:rPr>
                <w:rFonts w:cstheme="minorHAnsi"/>
                <w:b/>
              </w:rPr>
            </w:pPr>
            <w:r w:rsidRPr="0014285B">
              <w:rPr>
                <w:rFonts w:cstheme="minorHAnsi"/>
              </w:rPr>
              <w:t>5 000 000,00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FA3E3C">
              <w:rPr>
                <w:rFonts w:asciiTheme="minorHAnsi" w:hAnsiTheme="minorHAnsi" w:cstheme="minorHAnsi"/>
                <w:b w:val="0"/>
                <w:sz w:val="20"/>
                <w:szCs w:val="20"/>
              </w:rPr>
              <w:t>Budowa zbiornika retencyjnego –</w:t>
            </w:r>
            <w:r>
              <w:rPr>
                <w:rFonts w:asciiTheme="minorHAnsi" w:hAnsiTheme="minorHAnsi" w:cstheme="minorHAnsi"/>
                <w:b w:val="0"/>
                <w:sz w:val="20"/>
                <w:szCs w:val="20"/>
              </w:rPr>
              <w:t xml:space="preserve"> </w:t>
            </w:r>
            <w:r w:rsidRPr="00FA3E3C">
              <w:rPr>
                <w:rFonts w:asciiTheme="minorHAnsi" w:hAnsiTheme="minorHAnsi" w:cstheme="minorHAnsi"/>
                <w:b w:val="0"/>
                <w:sz w:val="20"/>
                <w:szCs w:val="20"/>
              </w:rPr>
              <w:t>rekreacyjnego na działce nr 2294, obręb Podgórze w dolinie rzeki Huczwy w m. Hrubieszów</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866C8"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rFonts w:cstheme="minorHAnsi"/>
                <w:b/>
                <w:sz w:val="20"/>
                <w:szCs w:val="20"/>
              </w:rPr>
            </w:pPr>
            <w:r w:rsidRPr="007A752A">
              <w:rPr>
                <w:rFonts w:eastAsia="Calibri" w:cstheme="minorHAnsi"/>
                <w:bCs/>
              </w:rPr>
              <w:t>30 000 000,00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 xml:space="preserve">Wspieranie przechodzenia na gospodarkę o obiegu zamkniętym (budowa stacji segregacji odpadów selektywnie zebranych wraz z linią do produkcji </w:t>
            </w:r>
            <w:proofErr w:type="spellStart"/>
            <w:r w:rsidRPr="007866C8">
              <w:rPr>
                <w:rFonts w:asciiTheme="minorHAnsi" w:hAnsiTheme="minorHAnsi" w:cstheme="minorHAnsi"/>
                <w:b w:val="0"/>
                <w:sz w:val="20"/>
                <w:szCs w:val="20"/>
              </w:rPr>
              <w:t>regranulatu</w:t>
            </w:r>
            <w:proofErr w:type="spellEnd"/>
            <w:r w:rsidRPr="007866C8">
              <w:rPr>
                <w:rFonts w:asciiTheme="minorHAnsi" w:hAnsiTheme="minorHAnsi" w:cstheme="minorHAnsi"/>
                <w:b w:val="0"/>
                <w:sz w:val="20"/>
                <w:szCs w:val="20"/>
              </w:rPr>
              <w:t xml:space="preserve"> oraz </w:t>
            </w:r>
            <w:r w:rsidRPr="007866C8">
              <w:rPr>
                <w:rFonts w:asciiTheme="minorHAnsi" w:hAnsiTheme="minorHAnsi" w:cstheme="minorHAnsi"/>
                <w:b w:val="0"/>
                <w:sz w:val="20"/>
                <w:szCs w:val="20"/>
              </w:rPr>
              <w:lastRenderedPageBreak/>
              <w:t>wielokomorowa prasą do zgniatania i paczkowania odpadów, budowa stacji zbiórki odpadów selektywnie zebranych wraz z punktem, ich ponownego wykorzystania, budowa kompostowni odpadów biodegradowalnych oraz osadu ściekowego wraz z zakupem niezbędnego sprzętu, zakup mobilnego rozdrabniacza wolnoobrotowego wraz z separatorem metalu, do odpadów budowlanych i wielkogabarytowych)</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lastRenderedPageBreak/>
              <w:t>Gmina Miejska Hrubieszów</w:t>
            </w:r>
          </w:p>
        </w:tc>
        <w:tc>
          <w:tcPr>
            <w:tcW w:w="2979" w:type="dxa"/>
            <w:vAlign w:val="center"/>
          </w:tcPr>
          <w:p w:rsidR="000A1324" w:rsidRPr="007866C8" w:rsidRDefault="000A1324" w:rsidP="000A1324">
            <w:pPr>
              <w:spacing w:before="0"/>
              <w:jc w:val="right"/>
              <w:cnfStyle w:val="000000100000" w:firstRow="0" w:lastRow="0" w:firstColumn="0" w:lastColumn="0" w:oddVBand="0" w:evenVBand="0" w:oddHBand="1" w:evenHBand="0" w:firstRowFirstColumn="0" w:firstRowLastColumn="0" w:lastRowFirstColumn="0" w:lastRowLastColumn="0"/>
              <w:rPr>
                <w:rFonts w:cstheme="minorHAnsi"/>
                <w:b/>
                <w:sz w:val="20"/>
                <w:szCs w:val="20"/>
              </w:rPr>
            </w:pPr>
            <w:r w:rsidRPr="00254C5C">
              <w:rPr>
                <w:rFonts w:cstheme="minorHAnsi"/>
                <w:bCs/>
              </w:rPr>
              <w:t>20 000 000,00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lastRenderedPageBreak/>
              <w:t xml:space="preserve">Przyjazne dla środowiska niskoemisyjne i przystosowane do zmian klimatu Miasto Hrubieszów (np. gospodarka w obiegu zamkniętym, OZE, zielono-niebieska infrastruktura, OZE, magazyny energii): Termomodernizacje, wymiany źródła ciepła, PV, kolektory słoneczne, pompy ciepła, modernizacja </w:t>
            </w:r>
            <w:r>
              <w:rPr>
                <w:rFonts w:asciiTheme="minorHAnsi" w:hAnsiTheme="minorHAnsi" w:cstheme="minorHAnsi"/>
                <w:b w:val="0"/>
                <w:sz w:val="20"/>
                <w:szCs w:val="20"/>
              </w:rPr>
              <w:t>miejskich systemów grzewczych i </w:t>
            </w:r>
            <w:r w:rsidRPr="007866C8">
              <w:rPr>
                <w:rFonts w:asciiTheme="minorHAnsi" w:hAnsiTheme="minorHAnsi" w:cstheme="minorHAnsi"/>
                <w:b w:val="0"/>
                <w:sz w:val="20"/>
                <w:szCs w:val="20"/>
              </w:rPr>
              <w:t>eliminacja indywidualnych źródeł ciepła, wymiana oświetlenia na energooszczędne, zagospodarowania wód opadowych i kształtowania zieleni miejskiej, w tym: „zielono-niebieska” infrastruktura, likwidacja powierzchni nieprzepuszczalnych, systemy zagospodarowania wód opadowych oraz rozwój terenów zieleni w mieście</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7866C8">
              <w:rPr>
                <w:rFonts w:cstheme="minorHAnsi"/>
                <w:sz w:val="20"/>
                <w:szCs w:val="20"/>
              </w:rPr>
              <w:t>Gmina Miejska Hrubieszów</w:t>
            </w:r>
          </w:p>
        </w:tc>
        <w:tc>
          <w:tcPr>
            <w:tcW w:w="2979" w:type="dxa"/>
            <w:vAlign w:val="center"/>
          </w:tcPr>
          <w:p w:rsidR="000A1324" w:rsidRPr="007866C8"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rFonts w:cstheme="minorHAnsi"/>
                <w:b/>
                <w:sz w:val="20"/>
                <w:szCs w:val="20"/>
              </w:rPr>
            </w:pPr>
            <w:r w:rsidRPr="005C47EB">
              <w:rPr>
                <w:rFonts w:eastAsia="Calibri" w:cstheme="minorHAnsi"/>
                <w:bCs/>
              </w:rPr>
              <w:t>29 500 000,00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instalacji OZE i inwestycje w efektywność energetyczną</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7866C8">
              <w:rPr>
                <w:rFonts w:cstheme="minorHAnsi"/>
                <w:sz w:val="20"/>
                <w:szCs w:val="20"/>
              </w:rPr>
              <w:t>Gmina Hrubieszów</w:t>
            </w:r>
          </w:p>
        </w:tc>
        <w:tc>
          <w:tcPr>
            <w:tcW w:w="2979" w:type="dxa"/>
            <w:vAlign w:val="center"/>
          </w:tcPr>
          <w:p w:rsidR="000A1324" w:rsidRPr="0014285B" w:rsidRDefault="000A1324" w:rsidP="000A1324">
            <w:pPr>
              <w:spacing w:before="0"/>
              <w:jc w:val="right"/>
              <w:cnfStyle w:val="000000100000" w:firstRow="0" w:lastRow="0" w:firstColumn="0" w:lastColumn="0" w:oddVBand="0" w:evenVBand="0" w:oddHBand="1" w:evenHBand="0" w:firstRowFirstColumn="0" w:firstRowLastColumn="0" w:lastRowFirstColumn="0" w:lastRowLastColumn="0"/>
              <w:rPr>
                <w:rFonts w:cstheme="minorHAnsi"/>
                <w:b/>
              </w:rPr>
            </w:pPr>
            <w:r w:rsidRPr="0014285B">
              <w:rPr>
                <w:rFonts w:cs="Times New Roman"/>
              </w:rPr>
              <w:t>30 000 000,00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energooszczędnego oświetlenia ulicznego</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7866C8">
              <w:rPr>
                <w:rFonts w:cstheme="minorHAnsi"/>
                <w:sz w:val="20"/>
                <w:szCs w:val="20"/>
              </w:rPr>
              <w:t>Gmina Hrubieszów</w:t>
            </w:r>
          </w:p>
        </w:tc>
        <w:tc>
          <w:tcPr>
            <w:tcW w:w="2979" w:type="dxa"/>
            <w:vAlign w:val="center"/>
          </w:tcPr>
          <w:p w:rsidR="000A1324" w:rsidRPr="0014285B"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rFonts w:cstheme="minorHAnsi"/>
                <w:b/>
              </w:rPr>
            </w:pPr>
            <w:r w:rsidRPr="0014285B">
              <w:rPr>
                <w:rFonts w:cs="Times New Roman"/>
              </w:rPr>
              <w:t>350 000,00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5" w:type="dxa"/>
            <w:gridSpan w:val="2"/>
          </w:tcPr>
          <w:p w:rsidR="000A1324" w:rsidRPr="007866C8" w:rsidRDefault="000A1324" w:rsidP="004604BB">
            <w:pPr>
              <w:spacing w:before="0"/>
              <w:ind w:firstLine="0"/>
              <w:jc w:val="left"/>
              <w:rPr>
                <w:rFonts w:cstheme="minorHAnsi"/>
                <w:sz w:val="20"/>
                <w:szCs w:val="20"/>
              </w:rPr>
            </w:pPr>
            <w:r w:rsidRPr="007866C8">
              <w:rPr>
                <w:rFonts w:cstheme="minorHAnsi"/>
                <w:sz w:val="20"/>
                <w:szCs w:val="20"/>
              </w:rPr>
              <w:t>Razem</w:t>
            </w:r>
          </w:p>
        </w:tc>
        <w:tc>
          <w:tcPr>
            <w:tcW w:w="2979" w:type="dxa"/>
          </w:tcPr>
          <w:p w:rsidR="000A1324" w:rsidRPr="00A92085" w:rsidRDefault="000A1324" w:rsidP="004604BB">
            <w:pPr>
              <w:spacing w:before="0"/>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A92085">
              <w:rPr>
                <w:rFonts w:ascii="Calibri" w:hAnsi="Calibri" w:cs="Calibri"/>
                <w:b/>
                <w:color w:val="000000"/>
              </w:rPr>
              <w:t>146 120 000,00</w:t>
            </w:r>
          </w:p>
        </w:tc>
      </w:tr>
    </w:tbl>
    <w:p w:rsidR="00322AB8" w:rsidRDefault="00322AB8" w:rsidP="00322AB8">
      <w:r w:rsidRPr="00574FE5">
        <w:t xml:space="preserve">Indykatywny wykaz zidentyfikowanych </w:t>
      </w:r>
      <w:r>
        <w:t xml:space="preserve">zintegrowanych </w:t>
      </w:r>
      <w:r w:rsidRPr="00574FE5">
        <w:t xml:space="preserve">projektów i przedsięwzięć inwestycyjnych wpisujący się w zakres celu strategicznego </w:t>
      </w:r>
      <w:r>
        <w:t>2 w celach operacyjnych ZIT:</w:t>
      </w:r>
    </w:p>
    <w:tbl>
      <w:tblPr>
        <w:tblStyle w:val="Jasnasiatkaakcent23"/>
        <w:tblW w:w="0" w:type="auto"/>
        <w:tblLook w:val="04A0" w:firstRow="1" w:lastRow="0" w:firstColumn="1" w:lastColumn="0" w:noHBand="0" w:noVBand="1"/>
      </w:tblPr>
      <w:tblGrid>
        <w:gridCol w:w="7338"/>
        <w:gridCol w:w="3260"/>
        <w:gridCol w:w="1134"/>
        <w:gridCol w:w="2268"/>
      </w:tblGrid>
      <w:tr w:rsidR="00D534F3" w:rsidTr="00884BE2">
        <w:trPr>
          <w:cnfStyle w:val="100000000000" w:firstRow="1" w:lastRow="0" w:firstColumn="0" w:lastColumn="0" w:oddVBand="0" w:evenVBand="0" w:oddHBand="0" w:evenHBand="0" w:firstRowFirstColumn="0" w:firstRowLastColumn="0" w:lastRowFirstColumn="0" w:lastRowLastColumn="0"/>
          <w:trHeight w:val="406"/>
        </w:trPr>
        <w:tc>
          <w:tcPr>
            <w:cnfStyle w:val="001000000000" w:firstRow="0" w:lastRow="0" w:firstColumn="1" w:lastColumn="0" w:oddVBand="0" w:evenVBand="0" w:oddHBand="0" w:evenHBand="0" w:firstRowFirstColumn="0" w:firstRowLastColumn="0" w:lastRowFirstColumn="0" w:lastRowLastColumn="0"/>
            <w:tcW w:w="14000" w:type="dxa"/>
            <w:gridSpan w:val="4"/>
            <w:shd w:val="clear" w:color="auto" w:fill="auto"/>
            <w:vAlign w:val="center"/>
          </w:tcPr>
          <w:p w:rsidR="00D534F3" w:rsidRPr="005A3422" w:rsidRDefault="00D534F3" w:rsidP="007A6453">
            <w:pPr>
              <w:ind w:firstLine="34"/>
              <w:jc w:val="center"/>
              <w:rPr>
                <w:bCs w:val="0"/>
                <w:sz w:val="20"/>
                <w:szCs w:val="20"/>
              </w:rPr>
            </w:pPr>
            <w:r w:rsidRPr="00843AE8">
              <w:t>Cel strategiczny 2.</w:t>
            </w:r>
            <w:r w:rsidRPr="00843AE8">
              <w:tab/>
              <w:t>CZYSTE ŚRODOWISKO I ADAPTACJA DO ZMIAN KLIMATU</w:t>
            </w:r>
          </w:p>
        </w:tc>
      </w:tr>
      <w:tr w:rsidR="00D534F3" w:rsidTr="00947F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vAlign w:val="center"/>
          </w:tcPr>
          <w:p w:rsidR="00D534F3" w:rsidRPr="00B514A6" w:rsidRDefault="00D534F3" w:rsidP="00947F55">
            <w:pPr>
              <w:spacing w:before="0"/>
              <w:ind w:firstLine="0"/>
              <w:jc w:val="center"/>
              <w:rPr>
                <w:bCs w:val="0"/>
                <w:sz w:val="20"/>
                <w:szCs w:val="20"/>
              </w:rPr>
            </w:pPr>
            <w:r w:rsidRPr="00B514A6">
              <w:rPr>
                <w:sz w:val="20"/>
                <w:szCs w:val="20"/>
              </w:rPr>
              <w:t>Projekty</w:t>
            </w:r>
            <w:r w:rsidRPr="00B514A6">
              <w:rPr>
                <w:bCs w:val="0"/>
                <w:sz w:val="20"/>
                <w:szCs w:val="20"/>
              </w:rPr>
              <w:t xml:space="preserve"> / przedsięwzięcia</w:t>
            </w:r>
          </w:p>
        </w:tc>
        <w:tc>
          <w:tcPr>
            <w:tcW w:w="3260" w:type="dxa"/>
            <w:tcBorders>
              <w:right w:val="single" w:sz="8" w:space="0" w:color="C00000"/>
            </w:tcBorders>
            <w:vAlign w:val="center"/>
          </w:tcPr>
          <w:p w:rsidR="00D534F3" w:rsidRPr="00B514A6" w:rsidRDefault="00D534F3" w:rsidP="00947F55">
            <w:pPr>
              <w:spacing w:before="0"/>
              <w:ind w:firstLine="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B514A6">
              <w:rPr>
                <w:b/>
                <w:bCs/>
                <w:sz w:val="20"/>
                <w:szCs w:val="20"/>
              </w:rPr>
              <w:t>Podmiot odpowiedzialny za realizację</w:t>
            </w:r>
          </w:p>
        </w:tc>
        <w:tc>
          <w:tcPr>
            <w:tcW w:w="1134" w:type="dxa"/>
            <w:tcBorders>
              <w:left w:val="single" w:sz="8" w:space="0" w:color="C00000"/>
            </w:tcBorders>
            <w:vAlign w:val="center"/>
          </w:tcPr>
          <w:p w:rsidR="00D534F3" w:rsidRPr="00B514A6" w:rsidRDefault="00D534F3" w:rsidP="00947F55">
            <w:pPr>
              <w:spacing w:before="0"/>
              <w:ind w:firstLine="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B514A6">
              <w:rPr>
                <w:b/>
                <w:bCs/>
                <w:sz w:val="20"/>
                <w:szCs w:val="20"/>
              </w:rPr>
              <w:t>Źródło wsparcia</w:t>
            </w:r>
          </w:p>
        </w:tc>
        <w:tc>
          <w:tcPr>
            <w:tcW w:w="2268" w:type="dxa"/>
            <w:vAlign w:val="center"/>
          </w:tcPr>
          <w:p w:rsidR="00D534F3" w:rsidRPr="00B514A6" w:rsidRDefault="00D534F3" w:rsidP="00947F55">
            <w:pPr>
              <w:spacing w:before="0"/>
              <w:ind w:firstLine="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B514A6">
              <w:rPr>
                <w:b/>
                <w:bCs/>
                <w:sz w:val="20"/>
                <w:szCs w:val="20"/>
              </w:rPr>
              <w:t>Szacowana wartość (</w:t>
            </w:r>
            <w:r w:rsidRPr="00B514A6">
              <w:rPr>
                <w:b/>
                <w:sz w:val="20"/>
                <w:szCs w:val="20"/>
              </w:rPr>
              <w:t>z</w:t>
            </w:r>
            <w:r w:rsidRPr="00B514A6">
              <w:rPr>
                <w:b/>
                <w:bCs/>
                <w:sz w:val="20"/>
                <w:szCs w:val="20"/>
              </w:rPr>
              <w:t>ł)</w:t>
            </w:r>
          </w:p>
        </w:tc>
      </w:tr>
      <w:tr w:rsidR="00D534F3" w:rsidTr="000A132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vAlign w:val="center"/>
          </w:tcPr>
          <w:p w:rsidR="00D534F3" w:rsidRPr="007866C8" w:rsidRDefault="00D534F3" w:rsidP="00947F55">
            <w:pPr>
              <w:spacing w:before="0"/>
              <w:ind w:firstLine="0"/>
              <w:jc w:val="left"/>
              <w:rPr>
                <w:rFonts w:asciiTheme="minorHAnsi" w:hAnsiTheme="minorHAnsi" w:cstheme="minorHAnsi"/>
                <w:b w:val="0"/>
                <w:sz w:val="20"/>
                <w:szCs w:val="20"/>
              </w:rPr>
            </w:pPr>
            <w:r>
              <w:rPr>
                <w:rFonts w:asciiTheme="minorHAnsi" w:hAnsiTheme="minorHAnsi" w:cstheme="minorHAnsi"/>
                <w:b w:val="0"/>
                <w:sz w:val="20"/>
                <w:szCs w:val="20"/>
              </w:rPr>
              <w:t>HOF przyjazny środowisku – poprawa efektywności energetycznej budynków użyteczności publicznej</w:t>
            </w:r>
          </w:p>
        </w:tc>
        <w:tc>
          <w:tcPr>
            <w:tcW w:w="3260" w:type="dxa"/>
            <w:tcBorders>
              <w:right w:val="single" w:sz="8" w:space="0" w:color="C00000"/>
            </w:tcBorders>
            <w:vAlign w:val="center"/>
          </w:tcPr>
          <w:p w:rsidR="00D534F3" w:rsidRPr="00B514A6" w:rsidRDefault="00D534F3" w:rsidP="00947F55">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514A6">
              <w:rPr>
                <w:sz w:val="20"/>
                <w:szCs w:val="20"/>
              </w:rPr>
              <w:t>Lider: Gmina Miejska Hrubieszów</w:t>
            </w:r>
          </w:p>
          <w:p w:rsidR="00D534F3" w:rsidRPr="007866C8" w:rsidRDefault="00D534F3" w:rsidP="00947F55">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514A6">
              <w:rPr>
                <w:sz w:val="20"/>
                <w:szCs w:val="20"/>
              </w:rPr>
              <w:t>Partner: Gmina Hrubieszów</w:t>
            </w:r>
          </w:p>
        </w:tc>
        <w:tc>
          <w:tcPr>
            <w:tcW w:w="1134" w:type="dxa"/>
            <w:tcBorders>
              <w:left w:val="single" w:sz="8" w:space="0" w:color="C00000"/>
            </w:tcBorders>
            <w:vAlign w:val="center"/>
          </w:tcPr>
          <w:p w:rsidR="00D534F3" w:rsidRPr="007866C8" w:rsidRDefault="00D534F3" w:rsidP="00947F55">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EFRR</w:t>
            </w:r>
          </w:p>
        </w:tc>
        <w:tc>
          <w:tcPr>
            <w:tcW w:w="2268" w:type="dxa"/>
            <w:vAlign w:val="center"/>
          </w:tcPr>
          <w:p w:rsidR="00D534F3" w:rsidRPr="00CC3682" w:rsidRDefault="000A1324" w:rsidP="00651651">
            <w:pPr>
              <w:spacing w:before="0"/>
              <w:ind w:firstLine="0"/>
              <w:jc w:val="right"/>
              <w:cnfStyle w:val="000000010000" w:firstRow="0" w:lastRow="0" w:firstColumn="0" w:lastColumn="0" w:oddVBand="0" w:evenVBand="0" w:oddHBand="0" w:evenHBand="1" w:firstRowFirstColumn="0" w:firstRowLastColumn="0" w:lastRowFirstColumn="0" w:lastRowLastColumn="0"/>
            </w:pPr>
            <w:r>
              <w:t>19 523 719,8</w:t>
            </w:r>
            <w:r w:rsidR="00651651">
              <w:t>9</w:t>
            </w:r>
          </w:p>
        </w:tc>
      </w:tr>
      <w:tr w:rsidR="00947F55" w:rsidTr="007A645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32" w:type="dxa"/>
            <w:gridSpan w:val="3"/>
          </w:tcPr>
          <w:p w:rsidR="00947F55" w:rsidRPr="007866C8" w:rsidRDefault="00947F55" w:rsidP="00D534F3">
            <w:pPr>
              <w:ind w:firstLine="0"/>
              <w:rPr>
                <w:b w:val="0"/>
                <w:bCs w:val="0"/>
                <w:sz w:val="20"/>
                <w:szCs w:val="20"/>
              </w:rPr>
            </w:pPr>
            <w:r w:rsidRPr="007866C8">
              <w:rPr>
                <w:sz w:val="20"/>
                <w:szCs w:val="20"/>
              </w:rPr>
              <w:t>Razem</w:t>
            </w:r>
          </w:p>
        </w:tc>
        <w:tc>
          <w:tcPr>
            <w:tcW w:w="2268" w:type="dxa"/>
          </w:tcPr>
          <w:p w:rsidR="00947F55" w:rsidRPr="000A1324" w:rsidRDefault="009B16A6" w:rsidP="00651651">
            <w:pPr>
              <w:ind w:firstLine="0"/>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sidRPr="000A1324">
              <w:rPr>
                <w:b/>
              </w:rPr>
              <w:t>19 523 719,8</w:t>
            </w:r>
            <w:r w:rsidR="00651651">
              <w:rPr>
                <w:b/>
              </w:rPr>
              <w:t>9</w:t>
            </w:r>
          </w:p>
        </w:tc>
      </w:tr>
    </w:tbl>
    <w:p w:rsidR="00B76C4B" w:rsidRDefault="00B21A73" w:rsidP="00843AE8">
      <w:pPr>
        <w:pStyle w:val="Nagwek12"/>
      </w:pPr>
      <w:bookmarkStart w:id="51" w:name="_Toc138068780"/>
      <w:r w:rsidRPr="00163727">
        <w:t>Cel s</w:t>
      </w:r>
      <w:r w:rsidRPr="007478E0">
        <w:t>trategiczny</w:t>
      </w:r>
      <w:r>
        <w:rPr>
          <w:color w:val="02706D" w:themeColor="accent6" w:themeShade="80"/>
        </w:rPr>
        <w:t xml:space="preserve"> </w:t>
      </w:r>
      <w:r w:rsidRPr="00ED141A">
        <w:t>3.</w:t>
      </w:r>
      <w:r w:rsidRPr="00ED141A">
        <w:tab/>
        <w:t>ROZWIJAJĄCA SIĘ GOSPODARKA I LOKALNY RYNEK PRACY</w:t>
      </w:r>
      <w:bookmarkEnd w:id="51"/>
    </w:p>
    <w:p w:rsidR="00F36B14" w:rsidRDefault="00F36B14" w:rsidP="00F36B14">
      <w:pPr>
        <w:ind w:firstLine="708"/>
        <w:rPr>
          <w:rFonts w:cs="Times New Roman"/>
        </w:rPr>
      </w:pPr>
      <w:r>
        <w:rPr>
          <w:rFonts w:cs="Times New Roman"/>
        </w:rPr>
        <w:t>Z przeprowadzonych analiz i badań wynika, iż lokalni przedsiębiorcy oraz rolnicy prowadząc</w:t>
      </w:r>
      <w:r w:rsidR="004A09A4">
        <w:rPr>
          <w:rFonts w:cs="Times New Roman"/>
        </w:rPr>
        <w:t>y</w:t>
      </w:r>
      <w:r>
        <w:rPr>
          <w:rFonts w:cs="Times New Roman"/>
        </w:rPr>
        <w:t xml:space="preserve"> gospodarstwa rolne borykają się z szeregiem problemów i barier, które skutecznie ograniczają ich konkurencyjność i perspektywy stabilnego rozwoju. Zdecydowana większość przedsiębiorstw funkcjonuje na rynku lokalnym i działa w branżach o niskim stopniu zaawansowania technologicznego. Najwięcej firm działa w branży usługowej związanej </w:t>
      </w:r>
      <w:r>
        <w:rPr>
          <w:rFonts w:cs="Times New Roman"/>
        </w:rPr>
        <w:lastRenderedPageBreak/>
        <w:t>głównie z handlem, transportem, naprawami, budownictwem i rolnictwem i konkurują na mało rozwojowym rynku lokalnym. Aby poprawić konkurencyjność lokalnych przedsiębiorstw władze gminne mogą podjąć działania w zakresie lepszego dostępu przedsiębiorstw do informacji i usług otoczenia biznesu, czy też kreować przyjazną dla lokalnego biznesu politykę podatkową. Władze gminne mogą również podejmować działania prowadzące do większej integracji lokalnego biznesu, a także dbać o właściwą infrastrukturę do prowadzenia działalności gospodarczej (tereny inwestycyjne, lokale, media, drogi itp</w:t>
      </w:r>
      <w:proofErr w:type="gramStart"/>
      <w:r>
        <w:rPr>
          <w:rFonts w:cs="Times New Roman"/>
        </w:rPr>
        <w:t>.). Dużym</w:t>
      </w:r>
      <w:proofErr w:type="gramEnd"/>
      <w:r>
        <w:rPr>
          <w:rFonts w:cs="Times New Roman"/>
        </w:rPr>
        <w:t xml:space="preserve"> walorem HOF</w:t>
      </w:r>
      <w:r w:rsidRPr="00F36B14">
        <w:t xml:space="preserve"> jest utworzenie i rozwój kompetencji Kreatywnego Centrum Edukacji i Współpracy Gospodarczej jako głównej instytucji otoczenia biznesu na obszarze HOF.</w:t>
      </w:r>
      <w:r w:rsidR="000D7F0C">
        <w:t xml:space="preserve"> Dostęp do specjalistycznej wiedzy i usług w zakresie nowych technologii i rozwiązań, zarządzania, kształcenia kadr i marketingu jest kołem zamachowym do rozwoju gospodarczego.</w:t>
      </w:r>
      <w:r>
        <w:t xml:space="preserve"> </w:t>
      </w:r>
      <w:r>
        <w:rPr>
          <w:rFonts w:cs="Times New Roman"/>
        </w:rPr>
        <w:t>Kluczem do pomyślnej realizacji działań związanych z r</w:t>
      </w:r>
      <w:r w:rsidR="00CC5E1A">
        <w:rPr>
          <w:rFonts w:cs="Times New Roman"/>
        </w:rPr>
        <w:t>ozwojem gospodarki i </w:t>
      </w:r>
      <w:r>
        <w:rPr>
          <w:rFonts w:cs="Times New Roman"/>
        </w:rPr>
        <w:t>lokalnego rynku pracy będzie bliska współpraca gmin</w:t>
      </w:r>
      <w:r w:rsidR="001376C6">
        <w:rPr>
          <w:rFonts w:cs="Times New Roman"/>
        </w:rPr>
        <w:t xml:space="preserve"> HOF</w:t>
      </w:r>
      <w:r>
        <w:rPr>
          <w:rFonts w:cs="Times New Roman"/>
        </w:rPr>
        <w:t xml:space="preserve"> z podmiotami gospodarczymi (przedsiębiorstwami, rolnika</w:t>
      </w:r>
      <w:r w:rsidR="00CC5E1A">
        <w:rPr>
          <w:rFonts w:cs="Times New Roman"/>
        </w:rPr>
        <w:t>mi), które będą miały pomysł na </w:t>
      </w:r>
      <w:r>
        <w:rPr>
          <w:rFonts w:cs="Times New Roman"/>
        </w:rPr>
        <w:t>rozwój swojej firmy lub gospodarstwa i podejmą wysiłek organizacyjny w celu zdobycia środków inwestycyjnych na zaplanowan</w:t>
      </w:r>
      <w:r w:rsidR="001376C6">
        <w:rPr>
          <w:rFonts w:cs="Times New Roman"/>
        </w:rPr>
        <w:t>e przedsięwzięcia inwestycyjne.</w:t>
      </w:r>
    </w:p>
    <w:p w:rsidR="001376C6" w:rsidRDefault="001376C6" w:rsidP="00F36B14">
      <w:pPr>
        <w:ind w:firstLine="708"/>
        <w:rPr>
          <w:rFonts w:cs="Times New Roman"/>
        </w:rPr>
      </w:pPr>
      <w:r>
        <w:rPr>
          <w:rFonts w:cs="Times New Roman"/>
        </w:rPr>
        <w:t xml:space="preserve">Z przeprowadzonej diagnozy wynika, że atrakcyjność inwestycyjna HOF jest dość mocno ograniczana przez szereg czynników zewnętrznych </w:t>
      </w:r>
      <w:r w:rsidR="00CC5E1A">
        <w:rPr>
          <w:rFonts w:cs="Times New Roman"/>
        </w:rPr>
        <w:t>i </w:t>
      </w:r>
      <w:r>
        <w:rPr>
          <w:rFonts w:cs="Times New Roman"/>
        </w:rPr>
        <w:t>wewnętrznych</w:t>
      </w:r>
      <w:r w:rsidRPr="00C7114C">
        <w:rPr>
          <w:rFonts w:cs="Times New Roman"/>
        </w:rPr>
        <w:t xml:space="preserve">. </w:t>
      </w:r>
      <w:r w:rsidRPr="00C7114C">
        <w:rPr>
          <w:rFonts w:cstheme="minorHAnsi"/>
        </w:rPr>
        <w:t>Niezwykle istotne są działania zmierzające do przekucia bariery związanej z przygranicznym położeniem HOF w potencjał rozwoju związany</w:t>
      </w:r>
      <w:r w:rsidR="00C7114C">
        <w:rPr>
          <w:rFonts w:cstheme="minorHAnsi"/>
        </w:rPr>
        <w:t xml:space="preserve"> </w:t>
      </w:r>
      <w:r w:rsidR="00C7114C">
        <w:rPr>
          <w:rFonts w:cs="Times New Roman"/>
        </w:rPr>
        <w:t>z </w:t>
      </w:r>
      <w:r w:rsidR="000D7F0C">
        <w:rPr>
          <w:rFonts w:cs="Times New Roman"/>
        </w:rPr>
        <w:t>położeniem HOF</w:t>
      </w:r>
      <w:r w:rsidR="000D7F0C">
        <w:t xml:space="preserve"> na głównych szlakach łączących zachód i wschód Polski (droga krajowa 74 i linia LHS 72) oraz</w:t>
      </w:r>
      <w:r w:rsidR="000D7F0C">
        <w:rPr>
          <w:rFonts w:cs="Times New Roman"/>
        </w:rPr>
        <w:t xml:space="preserve"> </w:t>
      </w:r>
      <w:r w:rsidR="00C7114C">
        <w:rPr>
          <w:rFonts w:cs="Times New Roman"/>
        </w:rPr>
        <w:t>funkcjonującym kolejowym przejściem granicznym Hrubieszów/</w:t>
      </w:r>
      <w:proofErr w:type="spellStart"/>
      <w:r w:rsidR="00C7114C">
        <w:rPr>
          <w:rFonts w:cs="Times New Roman"/>
        </w:rPr>
        <w:t>Izov</w:t>
      </w:r>
      <w:proofErr w:type="spellEnd"/>
      <w:r w:rsidR="00C7114C">
        <w:rPr>
          <w:rFonts w:cs="Times New Roman"/>
        </w:rPr>
        <w:t>.</w:t>
      </w:r>
      <w:r w:rsidR="000D7F0C">
        <w:rPr>
          <w:rFonts w:cs="Times New Roman"/>
        </w:rPr>
        <w:t xml:space="preserve"> </w:t>
      </w:r>
      <w:r w:rsidR="000D7F0C">
        <w:t>Rozwój gospodarczy uzależniony jest w dużej mierze od wyposażenia obszaru w podstawową infrastrukturę techniczną.</w:t>
      </w:r>
      <w:r w:rsidR="00C7114C">
        <w:rPr>
          <w:rFonts w:cs="Times New Roman"/>
        </w:rPr>
        <w:t xml:space="preserve"> Aby kreować przyjazne warunki do przyciągania inwestycji </w:t>
      </w:r>
      <w:r w:rsidR="000D7F0C">
        <w:rPr>
          <w:rFonts w:cs="Times New Roman"/>
        </w:rPr>
        <w:t>należy wykorzystać takie możliwości jak wyznaczanie i kompleksowe przygotowywanie terenów inwestycyjnych, prowadzenie właściwej polityki w zakresie planowania przestrzennego i zagospodarowywania tere</w:t>
      </w:r>
      <w:r w:rsidR="00CC5E1A">
        <w:rPr>
          <w:rFonts w:cs="Times New Roman"/>
        </w:rPr>
        <w:t>nów i obiektów zdegradowanych i </w:t>
      </w:r>
      <w:r w:rsidR="000D7F0C">
        <w:rPr>
          <w:rFonts w:cs="Times New Roman"/>
        </w:rPr>
        <w:t xml:space="preserve">poprzemysłowych, czy też kreowanie wobec lokalnych przedsiębiorców i zewnętrznych inwestorów </w:t>
      </w:r>
      <w:r w:rsidR="000D7F0C" w:rsidRPr="001A5195">
        <w:rPr>
          <w:rFonts w:cs="Times New Roman"/>
        </w:rPr>
        <w:t xml:space="preserve">przyjaznej polityki </w:t>
      </w:r>
      <w:r w:rsidR="000D7F0C">
        <w:rPr>
          <w:rFonts w:cs="Times New Roman"/>
        </w:rPr>
        <w:t>podatkowej.</w:t>
      </w:r>
    </w:p>
    <w:p w:rsidR="00BA3406" w:rsidRPr="00CF35D5" w:rsidRDefault="000D7F0C" w:rsidP="00CF35D5">
      <w:pPr>
        <w:ind w:firstLine="708"/>
      </w:pPr>
      <w:r>
        <w:t xml:space="preserve">Na rozwój gospodarczy HOF wpływa dobrze rozwinięte rolnictwo powiatu hrubieszowskiego, </w:t>
      </w:r>
      <w:proofErr w:type="gramStart"/>
      <w:r>
        <w:t>miasto jako</w:t>
      </w:r>
      <w:proofErr w:type="gramEnd"/>
      <w:r>
        <w:t xml:space="preserve"> stolica powiatu stanowi główny punkt zbytu płodów rolnych i przetwórstwa rolno-spożywczego.</w:t>
      </w:r>
      <w:r w:rsidR="00CF35D5">
        <w:t xml:space="preserve"> </w:t>
      </w:r>
      <w:r w:rsidR="00CF35D5" w:rsidRPr="008B2C59">
        <w:rPr>
          <w:rFonts w:cstheme="minorHAnsi"/>
        </w:rPr>
        <w:t xml:space="preserve">Hrubieszowski Obszar Funkcjonalny jest producentem produktów rolnych o niskiej wartości dodanej i niskim stopniu przetworzenia. Jest to cecha charakterystyczna dla wszystkich gmin zlokalizowanych w Żywicielskim Obszarze Strategicznej Interwencji Województwa Lubelskiego. </w:t>
      </w:r>
      <w:r w:rsidR="00BA3406">
        <w:t xml:space="preserve"> Ważnym elementem rozwoju lokalnej przedsiębiorczości będzie zbudowanie wizerunku HOF, jako miejsca produkcji i przetwarzania płodów rolnych w tym produktów ekologicznych.</w:t>
      </w:r>
      <w:r w:rsidR="00CF35D5">
        <w:t xml:space="preserve"> Aby zapewnić rozwój sektora rolno-spożywczego istotne jest </w:t>
      </w:r>
      <w:r w:rsidR="00CF35D5" w:rsidRPr="00CF35D5">
        <w:t>w</w:t>
      </w:r>
      <w:r w:rsidR="00BA3406" w:rsidRPr="00CF35D5">
        <w:t xml:space="preserve">spieranie różnorodnych partnerów w inicjatywach wykorzystujących gospodarczo potencjał rolniczy </w:t>
      </w:r>
      <w:r w:rsidR="00CF35D5" w:rsidRPr="00CF35D5">
        <w:t>HOF</w:t>
      </w:r>
      <w:r w:rsidR="00BA3406" w:rsidRPr="00CF35D5">
        <w:t>, m.in.: wprowadzanie nowoczesnych i innowacyjnych metod gospodarowania, rozwój przetwórstwa rolno-spożywczego, magazynowanie, chłodnie, suszarnie itp.</w:t>
      </w:r>
      <w:r w:rsidR="00CF35D5" w:rsidRPr="00CF35D5">
        <w:t xml:space="preserve"> Pozytywnym wpływem na rozwój tego sektora charakteryzują się również działania </w:t>
      </w:r>
      <w:r w:rsidR="00BA3406" w:rsidRPr="00CF35D5">
        <w:t>na rzecz skracania łańcuchów dostaw w przetwórstwie rolno-spożywczym</w:t>
      </w:r>
      <w:r w:rsidR="00CF35D5" w:rsidRPr="00CF35D5">
        <w:t>.</w:t>
      </w:r>
      <w:r w:rsidR="00CF35D5">
        <w:t xml:space="preserve"> Ważnym kierunkiem działań jest </w:t>
      </w:r>
      <w:r w:rsidR="00CF35D5" w:rsidRPr="00CF35D5">
        <w:t>prowadzenie projektów skierowanych do lokalnych producentów w zakresie marketingu i sprzedaży produktów lokalnych.</w:t>
      </w:r>
      <w:r w:rsidR="00CF35D5">
        <w:t xml:space="preserve"> Ze względu na przynależność HOF </w:t>
      </w:r>
      <w:r w:rsidR="00CF35D5" w:rsidRPr="00CF35D5">
        <w:t xml:space="preserve">do Żywicielskiego OSI warto ukierunkować rozwój HOF, jako ponadlokalnego ośrodka rozwoju gospodarki żywnościowej w województwie i kraju chociażby </w:t>
      </w:r>
      <w:r w:rsidR="00CF35D5" w:rsidRPr="00CF35D5">
        <w:lastRenderedPageBreak/>
        <w:t>przez ro</w:t>
      </w:r>
      <w:r w:rsidR="007F2303">
        <w:t>zwój lokalnych specjalizacji w r</w:t>
      </w:r>
      <w:r w:rsidR="00CF35D5" w:rsidRPr="00CF35D5">
        <w:t>olnictwie czy zapewnienie lepszego otoczenia instytucjonalnego w zakresie obs</w:t>
      </w:r>
      <w:r w:rsidR="00CC5E1A">
        <w:t>ługi branży rolno-spożywczej na </w:t>
      </w:r>
      <w:r w:rsidR="00CF35D5" w:rsidRPr="00CF35D5">
        <w:t>terenie HOF.</w:t>
      </w:r>
    </w:p>
    <w:p w:rsidR="00061072" w:rsidRPr="00222158" w:rsidRDefault="00222158" w:rsidP="006D689A">
      <w:r>
        <w:t xml:space="preserve">Sektor usług turystycznych wymaga wielokierunkowego wsparcia, by w pełni </w:t>
      </w:r>
      <w:r>
        <w:rPr>
          <w:rFonts w:cs="Times New Roman"/>
        </w:rPr>
        <w:t xml:space="preserve">wykorzystać istniejące szanse i potencjały. Duże znaczenie ma stworzenie </w:t>
      </w:r>
      <w:r w:rsidRPr="00222158">
        <w:t>zintegrowanej oferty turystycznej HOF jak również jej późniejsza promocja.</w:t>
      </w:r>
      <w:r>
        <w:t xml:space="preserve"> W tym kontekście wagi nabiera konieczność rozbudowania bazy noclegowej, jak również </w:t>
      </w:r>
      <w:r w:rsidRPr="00DD60A2">
        <w:rPr>
          <w:rFonts w:cs="Times New Roman"/>
          <w:noProof/>
          <w:lang w:eastAsia="pl-PL"/>
        </w:rPr>
        <w:t>przygotowanie atrakcji turystycznych do korzystania przez turystów w formie kokretnych usług turystycznych oferowanych w ramach spójnego produktu sieciowego.</w:t>
      </w:r>
      <w:r w:rsidR="001D759C">
        <w:rPr>
          <w:rFonts w:cs="Times New Roman"/>
          <w:noProof/>
          <w:lang w:eastAsia="pl-PL"/>
        </w:rPr>
        <w:t xml:space="preserve"> </w:t>
      </w:r>
      <w:r w:rsidR="00F36B14" w:rsidRPr="00872DE2">
        <w:rPr>
          <w:rFonts w:cs="Times New Roman"/>
        </w:rPr>
        <w:t xml:space="preserve">Oprócz administracji i władz samorządowych, do współpracy nad rozwojem </w:t>
      </w:r>
      <w:r w:rsidR="00F36B14">
        <w:rPr>
          <w:rFonts w:cs="Times New Roman"/>
        </w:rPr>
        <w:t>sieciowego produktu turystycznego</w:t>
      </w:r>
      <w:r w:rsidR="00F36B14" w:rsidRPr="00872DE2">
        <w:rPr>
          <w:rFonts w:cs="Times New Roman"/>
        </w:rPr>
        <w:t xml:space="preserve"> powinni zostać </w:t>
      </w:r>
      <w:r w:rsidR="00F36B14">
        <w:rPr>
          <w:rFonts w:cs="Times New Roman"/>
        </w:rPr>
        <w:t>zaangażowani</w:t>
      </w:r>
      <w:r w:rsidR="00F36B14" w:rsidRPr="00872DE2">
        <w:rPr>
          <w:rFonts w:cs="Times New Roman"/>
        </w:rPr>
        <w:t xml:space="preserve"> główni interesariusze rozwoju sektora turystyki </w:t>
      </w:r>
      <w:r w:rsidR="00F36B14">
        <w:rPr>
          <w:rFonts w:cs="Times New Roman"/>
        </w:rPr>
        <w:t>(</w:t>
      </w:r>
      <w:r w:rsidR="00F36B14" w:rsidRPr="00872DE2">
        <w:rPr>
          <w:rFonts w:cs="Times New Roman"/>
        </w:rPr>
        <w:t>właściciele obiektów hotelowych i gastronomicznych, firmy transportowe, instytucje kultury</w:t>
      </w:r>
      <w:r w:rsidR="00F36B14">
        <w:rPr>
          <w:rFonts w:cs="Times New Roman"/>
        </w:rPr>
        <w:t>)</w:t>
      </w:r>
      <w:r w:rsidR="00F36B14" w:rsidRPr="00872DE2">
        <w:rPr>
          <w:rFonts w:cs="Times New Roman"/>
        </w:rPr>
        <w:t xml:space="preserve"> oraz organizacje odpowiedzialne za zarządzanie obiektami zabytkowymi, a także podmioty zarządzające istniejącymi ścieżkami edukacyjnymi i szlakami turystycznymi.</w:t>
      </w:r>
      <w:r w:rsidR="00F36B14">
        <w:rPr>
          <w:rFonts w:cs="Times New Roman"/>
        </w:rPr>
        <w:t xml:space="preserve"> Ważną rolę powinny odegrać również organizacje pozarządowe.</w:t>
      </w:r>
      <w:r w:rsidR="000D7F0C">
        <w:rPr>
          <w:rFonts w:cs="Times New Roman"/>
        </w:rPr>
        <w:t xml:space="preserve"> </w:t>
      </w:r>
      <w:r w:rsidR="000D7F0C">
        <w:t xml:space="preserve">Dużą szansą dla rozwoju turystycznego jest udostępnienie dla turystów zabytkowych murowanych podziemi miasta, utworzenie </w:t>
      </w:r>
      <w:r w:rsidR="000D7F0C" w:rsidRPr="000D7F0C">
        <w:t xml:space="preserve">Centrum Dziedzictwa Archeologicznego i Kulturowego w </w:t>
      </w:r>
      <w:proofErr w:type="spellStart"/>
      <w:r w:rsidR="000D7F0C" w:rsidRPr="000D7F0C">
        <w:t>Masłomęczu</w:t>
      </w:r>
      <w:proofErr w:type="spellEnd"/>
      <w:r w:rsidR="000D7F0C" w:rsidRPr="000D7F0C">
        <w:t xml:space="preserve"> </w:t>
      </w:r>
      <w:r w:rsidR="000D7F0C">
        <w:t>oraz budowa zbiornika retencyjnego z towarzyszącą mu infrastrukturą sportowo-rekreacyjną.</w:t>
      </w:r>
      <w:r w:rsidR="00BA3406">
        <w:t xml:space="preserve"> </w:t>
      </w:r>
      <w:r w:rsidR="00BA3406" w:rsidRPr="002775CB">
        <w:t>Zasoby naturalne Gminy Hrubieszów sprawiają, że szansę na rozwój ma również turystyka przyrodnicza</w:t>
      </w:r>
    </w:p>
    <w:p w:rsidR="00D5266E" w:rsidRDefault="007478E0" w:rsidP="00953E49">
      <w:r>
        <w:rPr>
          <w:noProof/>
          <w:lang w:eastAsia="pl-PL"/>
        </w:rPr>
        <w:lastRenderedPageBreak/>
        <mc:AlternateContent>
          <mc:Choice Requires="wps">
            <w:drawing>
              <wp:anchor distT="0" distB="0" distL="114300" distR="114300" simplePos="0" relativeHeight="251722752" behindDoc="0" locked="0" layoutInCell="1" allowOverlap="1" wp14:anchorId="20EBD913" wp14:editId="12F36BCC">
                <wp:simplePos x="0" y="0"/>
                <wp:positionH relativeFrom="column">
                  <wp:posOffset>3692252</wp:posOffset>
                </wp:positionH>
                <wp:positionV relativeFrom="paragraph">
                  <wp:posOffset>824775</wp:posOffset>
                </wp:positionV>
                <wp:extent cx="1108075" cy="297815"/>
                <wp:effectExtent l="0" t="0" r="15875" b="15240"/>
                <wp:wrapNone/>
                <wp:docPr id="46" name="Prostokąt zaokrąglony 46"/>
                <wp:cNvGraphicFramePr/>
                <a:graphic xmlns:a="http://schemas.openxmlformats.org/drawingml/2006/main">
                  <a:graphicData uri="http://schemas.microsoft.com/office/word/2010/wordprocessingShape">
                    <wps:wsp>
                      <wps:cNvSpPr/>
                      <wps:spPr>
                        <a:xfrm>
                          <a:off x="0" y="0"/>
                          <a:ext cx="1108075" cy="2978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441D5" w:rsidRPr="004364AE" w:rsidRDefault="002441D5" w:rsidP="007478E0">
                            <w:pPr>
                              <w:spacing w:before="0" w:after="0" w:line="240" w:lineRule="auto"/>
                              <w:ind w:firstLine="0"/>
                              <w:jc w:val="left"/>
                              <w:rPr>
                                <w:color w:val="000000" w:themeColor="text1"/>
                                <w:sz w:val="18"/>
                                <w:szCs w:val="18"/>
                              </w:rPr>
                            </w:pPr>
                            <w:r>
                              <w:rPr>
                                <w:color w:val="000000" w:themeColor="text1"/>
                                <w:sz w:val="18"/>
                                <w:szCs w:val="18"/>
                              </w:rPr>
                              <w:t>Cel strategiczny 3</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oundrect id="Prostokąt zaokrąglony 46" o:spid="_x0000_s1049" style="position:absolute;left:0;text-align:left;margin-left:290.75pt;margin-top:64.95pt;width:87.25pt;height:23.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" fillcolor="#31b6fd [3204]" strokecolor="#016194 [1604]" strokeweight="2pt">
                <v:textbox style="mso-fit-shape-to-text:t" inset=",0,,0">
                  <w:txbxContent>
                    <w:p w:rsidR="002441D5" w:rsidRPr="004364AE" w:rsidRDefault="002441D5" w:rsidP="007478E0">
                      <w:pPr>
                        <w:spacing w:before="0" w:after="0" w:line="240" w:lineRule="auto"/>
                        <w:ind w:firstLine="0"/>
                        <w:jc w:val="left"/>
                        <w:rPr>
                          <w:color w:val="000000" w:themeColor="text1"/>
                          <w:sz w:val="18"/>
                          <w:szCs w:val="18"/>
                        </w:rPr>
                      </w:pPr>
                      <w:r>
                        <w:rPr>
                          <w:color w:val="000000" w:themeColor="text1"/>
                          <w:sz w:val="18"/>
                          <w:szCs w:val="18"/>
                        </w:rPr>
                        <w:t>Cel strategiczny 3</w:t>
                      </w:r>
                    </w:p>
                  </w:txbxContent>
                </v:textbox>
              </v:roundrect>
            </w:pict>
          </mc:Fallback>
        </mc:AlternateContent>
      </w:r>
      <w:r w:rsidR="00953E49">
        <w:rPr>
          <w:noProof/>
          <w:lang w:eastAsia="pl-PL"/>
        </w:rPr>
        <w:drawing>
          <wp:inline distT="0" distB="0" distL="0" distR="0" wp14:anchorId="1F7B25F0" wp14:editId="526B1DD6">
            <wp:extent cx="5486400" cy="4073237"/>
            <wp:effectExtent l="0" t="0" r="19050" b="0"/>
            <wp:docPr id="39"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953E49" w:rsidRDefault="00953E49" w:rsidP="00953E49">
      <w:r>
        <w:t xml:space="preserve">Poniżej zestawienie możliwych kierunków działań realizujących założenia celu strategicznego </w:t>
      </w:r>
      <w:r>
        <w:rPr>
          <w:color w:val="000000" w:themeColor="text1"/>
        </w:rPr>
        <w:t>3.</w:t>
      </w:r>
      <w:r w:rsidRPr="00335AE0">
        <w:rPr>
          <w:color w:val="000000" w:themeColor="text1"/>
        </w:rPr>
        <w:tab/>
      </w:r>
      <w:r>
        <w:rPr>
          <w:color w:val="000000" w:themeColor="text1"/>
        </w:rPr>
        <w:t xml:space="preserve"> </w:t>
      </w:r>
      <w:r w:rsidRPr="00953E49">
        <w:t xml:space="preserve">ROZWIJAJĄCA SIĘ GOSPODARKA I LOKALNY RYNEK PRACY. </w:t>
      </w:r>
      <w:r w:rsidRPr="003E1FF5">
        <w:t>Zbiór przedstawionych kierunków interwencji nie stanowi katalogu zamkniętego.</w:t>
      </w:r>
    </w:p>
    <w:p w:rsidR="00716E17" w:rsidRDefault="00716E17" w:rsidP="00953E49"/>
    <w:p w:rsidR="00716E17" w:rsidRDefault="00716E17" w:rsidP="00953E49"/>
    <w:p w:rsidR="00716E17" w:rsidRDefault="00716E17" w:rsidP="00953E49"/>
    <w:p w:rsidR="007A2DBC" w:rsidRPr="00953E49" w:rsidRDefault="007A2DBC" w:rsidP="007A2DBC">
      <w:pPr>
        <w:spacing w:after="0"/>
        <w:ind w:left="360" w:firstLine="0"/>
        <w:rPr>
          <w:b/>
        </w:rPr>
      </w:pPr>
      <w:r>
        <w:rPr>
          <w:b/>
        </w:rPr>
        <w:lastRenderedPageBreak/>
        <w:t xml:space="preserve">Cel operacyjny 3.1 </w:t>
      </w:r>
      <w:r w:rsidRPr="00953E49">
        <w:rPr>
          <w:b/>
        </w:rPr>
        <w:t>Rozwój i wzmocnienie konkurencyjności istniejących przedsiębiorstw</w:t>
      </w:r>
    </w:p>
    <w:tbl>
      <w:tblPr>
        <w:tblStyle w:val="Jasnasiatkaakcent21"/>
        <w:tblW w:w="0" w:type="auto"/>
        <w:tblLook w:val="04A0" w:firstRow="1" w:lastRow="0" w:firstColumn="1" w:lastColumn="0" w:noHBand="0" w:noVBand="1"/>
      </w:tblPr>
      <w:tblGrid>
        <w:gridCol w:w="2802"/>
        <w:gridCol w:w="4536"/>
        <w:gridCol w:w="2835"/>
        <w:gridCol w:w="2550"/>
        <w:gridCol w:w="1419"/>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3759BB">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3759BB">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550"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9" w:type="dxa"/>
          </w:tcPr>
          <w:p w:rsidR="00712E71" w:rsidRPr="003F543C" w:rsidRDefault="00712E71" w:rsidP="003759BB">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7478E0" w:rsidRDefault="007A2DBC" w:rsidP="003759BB">
            <w:pPr>
              <w:spacing w:before="0"/>
              <w:ind w:firstLine="0"/>
              <w:jc w:val="left"/>
              <w:rPr>
                <w:rFonts w:asciiTheme="minorHAnsi" w:hAnsiTheme="minorHAnsi" w:cstheme="minorHAnsi"/>
                <w:b w:val="0"/>
                <w:sz w:val="20"/>
                <w:szCs w:val="20"/>
              </w:rPr>
            </w:pPr>
            <w:r w:rsidRPr="007478E0">
              <w:rPr>
                <w:rFonts w:asciiTheme="minorHAnsi" w:hAnsiTheme="minorHAnsi" w:cstheme="minorHAnsi"/>
                <w:b w:val="0"/>
                <w:sz w:val="20"/>
                <w:szCs w:val="20"/>
              </w:rPr>
              <w:t>Integrowanie i wzmacnianie rodzimego biznesu</w:t>
            </w:r>
          </w:p>
        </w:tc>
        <w:tc>
          <w:tcPr>
            <w:tcW w:w="4536" w:type="dxa"/>
            <w:vAlign w:val="center"/>
          </w:tcPr>
          <w:p w:rsidR="007A2DBC" w:rsidRPr="007478E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Organizacja cyklicznych spotkań integrujących lokalny biznes (śniadania biznesowe w Hrubieszowie)</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0F611B"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0F611B">
              <w:rPr>
                <w:sz w:val="20"/>
                <w:szCs w:val="20"/>
              </w:rPr>
              <w:t xml:space="preserve">Przedsiębiorcy, </w:t>
            </w:r>
            <w:r w:rsidRPr="00C96407">
              <w:rPr>
                <w:sz w:val="20"/>
                <w:szCs w:val="20"/>
              </w:rPr>
              <w:t>instytucje otoczenia biznesu</w:t>
            </w:r>
            <w:r w:rsidRPr="00716E17">
              <w:rPr>
                <w:sz w:val="20"/>
                <w:szCs w:val="20"/>
              </w:rPr>
              <w:t xml:space="preserve">, </w:t>
            </w:r>
            <w:r w:rsidR="000F20DA" w:rsidRPr="00716E17">
              <w:rPr>
                <w:sz w:val="20"/>
                <w:szCs w:val="20"/>
              </w:rPr>
              <w:t xml:space="preserve">jednostki sektora finansów publicznych, </w:t>
            </w:r>
            <w:r w:rsidRPr="00716E17">
              <w:rPr>
                <w:sz w:val="20"/>
                <w:szCs w:val="20"/>
              </w:rPr>
              <w:t>organizacje</w:t>
            </w:r>
            <w:r w:rsidRPr="000F611B">
              <w:rPr>
                <w:sz w:val="20"/>
                <w:szCs w:val="20"/>
              </w:rPr>
              <w:t xml:space="preserve"> pozarządowe</w:t>
            </w:r>
            <w:r>
              <w:rPr>
                <w:sz w:val="20"/>
                <w:szCs w:val="20"/>
              </w:rPr>
              <w:t xml:space="preserve">, mieszkańcy - </w:t>
            </w:r>
            <w:r w:rsidRPr="00C96407">
              <w:rPr>
                <w:sz w:val="20"/>
                <w:szCs w:val="20"/>
              </w:rPr>
              <w:t>osoby</w:t>
            </w:r>
            <w:r>
              <w:rPr>
                <w:bCs/>
                <w:sz w:val="20"/>
                <w:szCs w:val="20"/>
              </w:rPr>
              <w:t xml:space="preserve"> fizyczne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478E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7478E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 xml:space="preserve">Zainicjowanie i pilotażowe wdrożenie akcji promocyjnej </w:t>
            </w:r>
            <w:r>
              <w:rPr>
                <w:rFonts w:ascii="Calibri" w:hAnsi="Calibri" w:cs="Calibri"/>
                <w:color w:val="000000"/>
                <w:sz w:val="20"/>
                <w:szCs w:val="20"/>
              </w:rPr>
              <w:t>„Wspieraj naszych, kupuj lokalnie”</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0F611B"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0F611B">
              <w:rPr>
                <w:sz w:val="20"/>
                <w:szCs w:val="20"/>
              </w:rPr>
              <w:t>Przedsiębiorcy, organizacje pozarządowe</w:t>
            </w:r>
            <w:r>
              <w:rPr>
                <w:sz w:val="20"/>
                <w:szCs w:val="20"/>
              </w:rPr>
              <w:t xml:space="preserve">, mieszkańcy - </w:t>
            </w:r>
            <w:r w:rsidRPr="00C96407">
              <w:rPr>
                <w:sz w:val="20"/>
                <w:szCs w:val="20"/>
              </w:rPr>
              <w:t>osoby fizyczne</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478E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7478E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Organizacja Hrubieszowskiej Gali Rozwoju (HGR)</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0F611B"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0F611B">
              <w:rPr>
                <w:sz w:val="20"/>
                <w:szCs w:val="20"/>
              </w:rPr>
              <w:t xml:space="preserve">Przedsiębiorcy, </w:t>
            </w:r>
            <w:r w:rsidRPr="00C96407">
              <w:rPr>
                <w:sz w:val="20"/>
                <w:szCs w:val="20"/>
              </w:rPr>
              <w:t>instytucje otoczenia biznesu,</w:t>
            </w:r>
            <w:r w:rsidRPr="000F611B">
              <w:rPr>
                <w:sz w:val="20"/>
                <w:szCs w:val="20"/>
              </w:rPr>
              <w:t xml:space="preserve"> organizacje pozarządowe</w:t>
            </w:r>
            <w:r>
              <w:rPr>
                <w:sz w:val="20"/>
                <w:szCs w:val="20"/>
              </w:rPr>
              <w:t xml:space="preserve">, mieszkańcy - </w:t>
            </w:r>
            <w:r w:rsidRPr="00C96407">
              <w:rPr>
                <w:sz w:val="20"/>
                <w:szCs w:val="20"/>
              </w:rPr>
              <w:t>osoby fizyczne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478E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7478E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Uruchomienie Hrubieszowskiego Fu</w:t>
            </w:r>
            <w:r>
              <w:rPr>
                <w:rFonts w:ascii="Calibri" w:hAnsi="Calibri" w:cs="Calibri"/>
                <w:color w:val="000000"/>
                <w:sz w:val="20"/>
                <w:szCs w:val="20"/>
              </w:rPr>
              <w:t>nd</w:t>
            </w:r>
            <w:r w:rsidRPr="007478E0">
              <w:rPr>
                <w:rFonts w:ascii="Calibri" w:hAnsi="Calibri" w:cs="Calibri"/>
                <w:color w:val="000000"/>
                <w:sz w:val="20"/>
                <w:szCs w:val="20"/>
              </w:rPr>
              <w:t>uszu Rozwoju Lokalnego (HFRL)</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716E1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16E17">
              <w:rPr>
                <w:sz w:val="20"/>
                <w:szCs w:val="20"/>
              </w:rPr>
              <w:t>Przedsiębiorcy, instytucje otoczenia biznesu, organizacje pozarządowe, mieszkańcy - osoby fizyczne</w:t>
            </w:r>
            <w:r w:rsidR="000F20DA" w:rsidRPr="00716E17">
              <w:rPr>
                <w:sz w:val="20"/>
                <w:szCs w:val="20"/>
              </w:rPr>
              <w:t>, instytucje finansowe</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478E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7478E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Przedsięwzięcia i inicjatywy na rzecz integracji lokalnego biznesu podejmowane przez Kreatywne Centrum Edukacji i Współpracy Gospodarczej (</w:t>
            </w:r>
            <w:proofErr w:type="spellStart"/>
            <w:r w:rsidRPr="007478E0">
              <w:rPr>
                <w:rFonts w:ascii="Calibri" w:hAnsi="Calibri" w:cs="Calibri"/>
                <w:color w:val="000000"/>
                <w:sz w:val="20"/>
                <w:szCs w:val="20"/>
              </w:rPr>
              <w:t>KCEiWG</w:t>
            </w:r>
            <w:proofErr w:type="spellEnd"/>
            <w:r w:rsidRPr="007478E0">
              <w:rPr>
                <w:rFonts w:ascii="Calibri" w:hAnsi="Calibri" w:cs="Calibri"/>
                <w:color w:val="000000"/>
                <w:sz w:val="20"/>
                <w:szCs w:val="20"/>
              </w:rPr>
              <w:t>)</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716E17"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Przedsiębiorcy, instytucje otoczenia biznesu, organizacje pozarządowe, mieszkańcy - osoby fizyczne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7478E0" w:rsidRDefault="007A2DBC" w:rsidP="003759BB">
            <w:pPr>
              <w:spacing w:before="0"/>
              <w:ind w:firstLine="0"/>
              <w:jc w:val="left"/>
              <w:rPr>
                <w:rFonts w:asciiTheme="minorHAnsi" w:hAnsiTheme="minorHAnsi" w:cstheme="minorHAnsi"/>
                <w:b w:val="0"/>
                <w:sz w:val="20"/>
                <w:szCs w:val="20"/>
              </w:rPr>
            </w:pPr>
            <w:r w:rsidRPr="007478E0">
              <w:rPr>
                <w:rFonts w:asciiTheme="minorHAnsi" w:hAnsiTheme="minorHAnsi" w:cstheme="minorHAnsi"/>
                <w:b w:val="0"/>
                <w:sz w:val="20"/>
                <w:szCs w:val="20"/>
              </w:rPr>
              <w:t>Poprawa dostępu przedsiębiorców do informacji, wiedzy i innowacji</w:t>
            </w:r>
          </w:p>
        </w:tc>
        <w:tc>
          <w:tcPr>
            <w:tcW w:w="4536" w:type="dxa"/>
            <w:vAlign w:val="center"/>
          </w:tcPr>
          <w:p w:rsidR="007A2DBC" w:rsidRPr="007478E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Organizacja „dyżurów eksperckich” – z </w:t>
            </w:r>
            <w:r w:rsidRPr="007478E0">
              <w:rPr>
                <w:rFonts w:ascii="Calibri" w:hAnsi="Calibri" w:cs="Calibri"/>
                <w:color w:val="000000"/>
                <w:sz w:val="20"/>
                <w:szCs w:val="20"/>
              </w:rPr>
              <w:t>udziałem przedstawicieli różnych instytucji (Urząd Skarbowy, ARiMR, LAWP, PUP itp.)</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716E1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proofErr w:type="gramStart"/>
            <w:r w:rsidRPr="00716E17">
              <w:rPr>
                <w:rFonts w:ascii="Calibri" w:hAnsi="Calibri" w:cs="Calibri"/>
                <w:color w:val="000000"/>
                <w:sz w:val="20"/>
                <w:szCs w:val="20"/>
              </w:rPr>
              <w:t>instytucje</w:t>
            </w:r>
            <w:proofErr w:type="gramEnd"/>
            <w:r w:rsidRPr="00716E17">
              <w:rPr>
                <w:rFonts w:ascii="Calibri" w:hAnsi="Calibri" w:cs="Calibri"/>
                <w:color w:val="000000"/>
                <w:sz w:val="20"/>
                <w:szCs w:val="20"/>
              </w:rPr>
              <w:t xml:space="preserve"> otoczenia biznesu, organizacje pozarządowe, jednostki sektora finansów publicznych</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478E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7478E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 xml:space="preserve">Opracowanie i wdrożenie idei </w:t>
            </w:r>
            <w:proofErr w:type="spellStart"/>
            <w:r w:rsidRPr="007478E0">
              <w:rPr>
                <w:rFonts w:ascii="Calibri" w:hAnsi="Calibri" w:cs="Calibri"/>
                <w:color w:val="000000"/>
                <w:sz w:val="20"/>
                <w:szCs w:val="20"/>
              </w:rPr>
              <w:t>newslettera</w:t>
            </w:r>
            <w:proofErr w:type="spellEnd"/>
            <w:r w:rsidRPr="007478E0">
              <w:rPr>
                <w:rFonts w:ascii="Calibri" w:hAnsi="Calibri" w:cs="Calibri"/>
                <w:color w:val="000000"/>
                <w:sz w:val="20"/>
                <w:szCs w:val="20"/>
              </w:rPr>
              <w:t xml:space="preserve"> wysyłanego poc</w:t>
            </w:r>
            <w:r>
              <w:rPr>
                <w:rFonts w:ascii="Calibri" w:hAnsi="Calibri" w:cs="Calibri"/>
                <w:color w:val="000000"/>
                <w:sz w:val="20"/>
                <w:szCs w:val="20"/>
              </w:rPr>
              <w:t>ztą elektroniczną regularnie do </w:t>
            </w:r>
            <w:r w:rsidRPr="007478E0">
              <w:rPr>
                <w:rFonts w:ascii="Calibri" w:hAnsi="Calibri" w:cs="Calibri"/>
                <w:color w:val="000000"/>
                <w:sz w:val="20"/>
                <w:szCs w:val="20"/>
              </w:rPr>
              <w:t>przedsiębiorców z ważnymi dla nich informacjami</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716E17"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6E17">
              <w:rPr>
                <w:sz w:val="20"/>
                <w:szCs w:val="20"/>
              </w:rPr>
              <w:t>Or</w:t>
            </w:r>
            <w:r w:rsidRPr="00716E17">
              <w:rPr>
                <w:rFonts w:ascii="Calibri" w:hAnsi="Calibri" w:cs="Calibri"/>
                <w:color w:val="000000"/>
                <w:sz w:val="20"/>
                <w:szCs w:val="20"/>
              </w:rPr>
              <w:t>ganizacje pozarządowe, instytucje otoczenia biznesu</w:t>
            </w:r>
            <w:r w:rsidR="000F20DA" w:rsidRPr="00716E17">
              <w:rPr>
                <w:rFonts w:ascii="Calibri" w:hAnsi="Calibri" w:cs="Calibri"/>
                <w:color w:val="000000"/>
                <w:sz w:val="20"/>
                <w:szCs w:val="20"/>
              </w:rPr>
              <w:t>, przedsiębiorcy</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478E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7478E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 xml:space="preserve">Działania informacyjne na rzecz przedsiębiorców realizowane przez </w:t>
            </w:r>
            <w:proofErr w:type="spellStart"/>
            <w:r w:rsidRPr="007478E0">
              <w:rPr>
                <w:rFonts w:ascii="Calibri" w:hAnsi="Calibri" w:cs="Calibri"/>
                <w:color w:val="000000"/>
                <w:sz w:val="20"/>
                <w:szCs w:val="20"/>
              </w:rPr>
              <w:t>KCEiWG</w:t>
            </w:r>
            <w:proofErr w:type="spellEnd"/>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Pr>
                <w:rFonts w:ascii="Calibri" w:hAnsi="Calibri" w:cs="Calibri"/>
                <w:color w:val="000000"/>
                <w:sz w:val="20"/>
                <w:szCs w:val="20"/>
              </w:rPr>
              <w:t>Gmina Miejska Hrubieszów</w:t>
            </w:r>
          </w:p>
        </w:tc>
        <w:tc>
          <w:tcPr>
            <w:tcW w:w="2550" w:type="dxa"/>
            <w:vAlign w:val="center"/>
          </w:tcPr>
          <w:p w:rsidR="007A2DBC" w:rsidRPr="00716E1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16E17">
              <w:rPr>
                <w:sz w:val="20"/>
                <w:szCs w:val="20"/>
              </w:rPr>
              <w:t>Gmina Hrubieszów</w:t>
            </w:r>
            <w:r w:rsidR="000F20DA" w:rsidRPr="00716E17">
              <w:rPr>
                <w:sz w:val="20"/>
                <w:szCs w:val="20"/>
              </w:rPr>
              <w:t>, przedsiębiorcy, organizacje pozarządowe, instytucje sektora publicznego</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7478E0" w:rsidRDefault="007A2DBC" w:rsidP="003759BB">
            <w:pPr>
              <w:spacing w:before="0"/>
              <w:ind w:firstLine="0"/>
              <w:jc w:val="left"/>
              <w:rPr>
                <w:rFonts w:asciiTheme="minorHAnsi" w:hAnsiTheme="minorHAnsi" w:cstheme="minorHAnsi"/>
                <w:b w:val="0"/>
                <w:sz w:val="20"/>
                <w:szCs w:val="20"/>
              </w:rPr>
            </w:pPr>
            <w:r>
              <w:rPr>
                <w:rFonts w:asciiTheme="minorHAnsi" w:hAnsiTheme="minorHAnsi" w:cstheme="minorHAnsi"/>
                <w:b w:val="0"/>
                <w:sz w:val="20"/>
                <w:szCs w:val="20"/>
              </w:rPr>
              <w:t>Wzmo</w:t>
            </w:r>
            <w:r w:rsidRPr="007478E0">
              <w:rPr>
                <w:rFonts w:asciiTheme="minorHAnsi" w:hAnsiTheme="minorHAnsi" w:cstheme="minorHAnsi"/>
                <w:b w:val="0"/>
                <w:sz w:val="20"/>
                <w:szCs w:val="20"/>
              </w:rPr>
              <w:t>cnienie zdolności finansowych rodzimych przedsiębiorstw w zakresie realizacji projektów rozwojowych</w:t>
            </w:r>
          </w:p>
        </w:tc>
        <w:tc>
          <w:tcPr>
            <w:tcW w:w="4536" w:type="dxa"/>
            <w:vAlign w:val="center"/>
          </w:tcPr>
          <w:p w:rsidR="007A2DBC" w:rsidRPr="007478E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Wsparcie przedsiębiorców w zakresie pozyskiwania środków bezzwrotnych na projekty w zakresie poprawy efektywności energetycznej, wprowadzania na ryn</w:t>
            </w:r>
            <w:r>
              <w:rPr>
                <w:rFonts w:ascii="Calibri" w:hAnsi="Calibri" w:cs="Calibri"/>
                <w:color w:val="000000"/>
                <w:sz w:val="20"/>
                <w:szCs w:val="20"/>
              </w:rPr>
              <w:t>ek nowych produktów i usług, zdo</w:t>
            </w:r>
            <w:r w:rsidRPr="007478E0">
              <w:rPr>
                <w:rFonts w:ascii="Calibri" w:hAnsi="Calibri" w:cs="Calibri"/>
                <w:color w:val="000000"/>
                <w:sz w:val="20"/>
                <w:szCs w:val="20"/>
              </w:rPr>
              <w:t xml:space="preserve">bywania nowych rynków itp.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716E17" w:rsidRDefault="007A2DBC" w:rsidP="00C7619E">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16E17">
              <w:rPr>
                <w:rFonts w:ascii="Calibri" w:hAnsi="Calibri" w:cs="Calibri"/>
                <w:color w:val="000000"/>
                <w:sz w:val="20"/>
                <w:szCs w:val="20"/>
              </w:rPr>
              <w:t>Organizacje pozarządowe, instytucje otoczenia biznesu</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478E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7478E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Wsparcie przedsiębiorców w zakresie pozyskiwan</w:t>
            </w:r>
            <w:r>
              <w:rPr>
                <w:rFonts w:ascii="Calibri" w:hAnsi="Calibri" w:cs="Calibri"/>
                <w:color w:val="000000"/>
                <w:sz w:val="20"/>
                <w:szCs w:val="20"/>
              </w:rPr>
              <w:t>ia środków zwrotnych na swój ro</w:t>
            </w:r>
            <w:r w:rsidRPr="007478E0">
              <w:rPr>
                <w:rFonts w:ascii="Calibri" w:hAnsi="Calibri" w:cs="Calibri"/>
                <w:color w:val="000000"/>
                <w:sz w:val="20"/>
                <w:szCs w:val="20"/>
              </w:rPr>
              <w:t>zwój (w t</w:t>
            </w:r>
            <w:r>
              <w:rPr>
                <w:rFonts w:ascii="Calibri" w:hAnsi="Calibri" w:cs="Calibri"/>
                <w:color w:val="000000"/>
                <w:sz w:val="20"/>
                <w:szCs w:val="20"/>
              </w:rPr>
              <w:t>ym pożyczki i </w:t>
            </w:r>
            <w:r w:rsidRPr="007478E0">
              <w:rPr>
                <w:rFonts w:ascii="Calibri" w:hAnsi="Calibri" w:cs="Calibri"/>
                <w:color w:val="000000"/>
                <w:sz w:val="20"/>
                <w:szCs w:val="20"/>
              </w:rPr>
              <w:t>kredyty preferencyjne, kredyty komercyjne, fundusze inwestycyjne itp.)</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716E17" w:rsidRDefault="007A2DBC" w:rsidP="00C7619E">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16E17">
              <w:rPr>
                <w:rFonts w:ascii="Calibri" w:hAnsi="Calibri" w:cs="Calibri"/>
                <w:color w:val="000000"/>
                <w:sz w:val="20"/>
                <w:szCs w:val="20"/>
              </w:rPr>
              <w:t>Organizacje pozarządowe, instytucje otoczenia biznesu</w:t>
            </w:r>
            <w:r w:rsidR="00C7619E" w:rsidRPr="00716E17">
              <w:rPr>
                <w:rFonts w:ascii="Calibri" w:hAnsi="Calibri" w:cs="Calibri"/>
                <w:color w:val="000000"/>
                <w:sz w:val="20"/>
                <w:szCs w:val="20"/>
              </w:rPr>
              <w:t>, instytucje finansowe</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478E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7478E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 xml:space="preserve">Usługi doradcze </w:t>
            </w:r>
            <w:proofErr w:type="spellStart"/>
            <w:r w:rsidRPr="007478E0">
              <w:rPr>
                <w:rFonts w:ascii="Calibri" w:hAnsi="Calibri" w:cs="Calibri"/>
                <w:color w:val="000000"/>
                <w:sz w:val="20"/>
                <w:szCs w:val="20"/>
              </w:rPr>
              <w:t>KCEiWG</w:t>
            </w:r>
            <w:proofErr w:type="spellEnd"/>
            <w:r w:rsidRPr="007478E0">
              <w:rPr>
                <w:rFonts w:ascii="Calibri" w:hAnsi="Calibri" w:cs="Calibri"/>
                <w:color w:val="000000"/>
                <w:sz w:val="20"/>
                <w:szCs w:val="20"/>
              </w:rPr>
              <w:t xml:space="preserve"> w zakresie finansowania rozwoju przedsiębiorstw lokalnych</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rFonts w:ascii="Calibri" w:hAnsi="Calibri" w:cs="Calibri"/>
                <w:color w:val="000000"/>
                <w:sz w:val="20"/>
                <w:szCs w:val="20"/>
              </w:rPr>
              <w:t>Gmina Miejska Hrubieszów</w:t>
            </w:r>
          </w:p>
        </w:tc>
        <w:tc>
          <w:tcPr>
            <w:tcW w:w="2550" w:type="dxa"/>
            <w:vAlign w:val="center"/>
          </w:tcPr>
          <w:p w:rsidR="007A2DBC" w:rsidRPr="00C7619E"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C7619E">
              <w:rPr>
                <w:sz w:val="20"/>
                <w:szCs w:val="20"/>
              </w:rPr>
              <w:t>Gmina Hrubieszów</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7478E0" w:rsidRDefault="007A2DBC" w:rsidP="003759BB">
            <w:pPr>
              <w:spacing w:before="0"/>
              <w:ind w:firstLine="0"/>
              <w:jc w:val="left"/>
              <w:rPr>
                <w:rFonts w:asciiTheme="minorHAnsi" w:hAnsiTheme="minorHAnsi" w:cstheme="minorHAnsi"/>
                <w:b w:val="0"/>
                <w:sz w:val="20"/>
                <w:szCs w:val="20"/>
              </w:rPr>
            </w:pPr>
            <w:r w:rsidRPr="007478E0">
              <w:rPr>
                <w:rFonts w:asciiTheme="minorHAnsi" w:hAnsiTheme="minorHAnsi" w:cstheme="minorHAnsi"/>
                <w:b w:val="0"/>
                <w:sz w:val="20"/>
                <w:szCs w:val="20"/>
              </w:rPr>
              <w:t>Poprawa zarządzania oraz kwalifikacji kadr w lokalnych przedsiębiorstwach</w:t>
            </w:r>
          </w:p>
        </w:tc>
        <w:tc>
          <w:tcPr>
            <w:tcW w:w="4536" w:type="dxa"/>
            <w:vAlign w:val="center"/>
          </w:tcPr>
          <w:p w:rsidR="007A2DBC" w:rsidRPr="007478E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Uruchomienie pilotażowego programu opracowywania diagnoz potrzeb rozwojowych przedsiębiorstw (w tym potrzeb w zakresie kadr, szkoleń, nowych technologii, cyfryzacji itp.)</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BB1E58"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BB1E58">
              <w:rPr>
                <w:rFonts w:ascii="Calibri" w:hAnsi="Calibri" w:cs="Calibri"/>
                <w:color w:val="000000"/>
                <w:sz w:val="20"/>
                <w:szCs w:val="20"/>
              </w:rPr>
              <w:t>Przedsiębiorcy, instytucje otoczenia biznesu, organizacje pozarządowe, mieszkańcy - osoby fizyczne</w:t>
            </w:r>
          </w:p>
        </w:tc>
        <w:tc>
          <w:tcPr>
            <w:tcW w:w="1419" w:type="dxa"/>
            <w:vAlign w:val="center"/>
          </w:tcPr>
          <w:p w:rsidR="007A2DBC" w:rsidRPr="00BB1E58"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A2DBC" w:rsidRDefault="007A2DBC" w:rsidP="003759BB">
            <w:pPr>
              <w:spacing w:before="0"/>
              <w:ind w:firstLine="0"/>
              <w:rPr>
                <w:b w:val="0"/>
              </w:rPr>
            </w:pPr>
          </w:p>
        </w:tc>
        <w:tc>
          <w:tcPr>
            <w:tcW w:w="4536" w:type="dxa"/>
            <w:vAlign w:val="center"/>
          </w:tcPr>
          <w:p w:rsidR="007A2DBC" w:rsidRPr="007478E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 xml:space="preserve">Opracowanie i wdrożenie pilotażowego programu rozwoju kadr w </w:t>
            </w:r>
            <w:r>
              <w:rPr>
                <w:rFonts w:ascii="Calibri" w:hAnsi="Calibri" w:cs="Calibri"/>
                <w:color w:val="000000"/>
                <w:sz w:val="20"/>
                <w:szCs w:val="20"/>
              </w:rPr>
              <w:t>lokalnych przedsiębiorstwach (w tym kadr menadżerskich i </w:t>
            </w:r>
            <w:r w:rsidRPr="007478E0">
              <w:rPr>
                <w:rFonts w:ascii="Calibri" w:hAnsi="Calibri" w:cs="Calibri"/>
                <w:color w:val="000000"/>
                <w:sz w:val="20"/>
                <w:szCs w:val="20"/>
              </w:rPr>
              <w:t xml:space="preserve">pracowniczych)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D32F5B"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D32F5B">
              <w:rPr>
                <w:rFonts w:ascii="Calibri" w:hAnsi="Calibri" w:cs="Calibri"/>
                <w:color w:val="000000"/>
                <w:sz w:val="20"/>
                <w:szCs w:val="20"/>
              </w:rPr>
              <w:t>Przedsiębiorcy, instytucje otoczenia biznesu, organizacje pozarządowe, mieszkańcy - osoby fizyczne</w:t>
            </w:r>
          </w:p>
        </w:tc>
        <w:tc>
          <w:tcPr>
            <w:tcW w:w="1419" w:type="dxa"/>
            <w:vAlign w:val="center"/>
          </w:tcPr>
          <w:p w:rsidR="007A2DBC" w:rsidRPr="00D32F5B"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A2DBC" w:rsidRDefault="007A2DBC" w:rsidP="003759BB">
            <w:pPr>
              <w:spacing w:before="0"/>
              <w:ind w:firstLine="0"/>
              <w:rPr>
                <w:b w:val="0"/>
              </w:rPr>
            </w:pPr>
          </w:p>
        </w:tc>
        <w:tc>
          <w:tcPr>
            <w:tcW w:w="4536" w:type="dxa"/>
            <w:vAlign w:val="center"/>
          </w:tcPr>
          <w:p w:rsidR="007A2DBC" w:rsidRPr="007478E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478E0">
              <w:rPr>
                <w:rFonts w:ascii="Calibri" w:hAnsi="Calibri" w:cs="Calibri"/>
                <w:color w:val="000000"/>
                <w:sz w:val="20"/>
                <w:szCs w:val="20"/>
              </w:rPr>
              <w:t>Us</w:t>
            </w:r>
            <w:r>
              <w:rPr>
                <w:rFonts w:ascii="Calibri" w:hAnsi="Calibri" w:cs="Calibri"/>
                <w:color w:val="000000"/>
                <w:sz w:val="20"/>
                <w:szCs w:val="20"/>
              </w:rPr>
              <w:t>ługi doradztwa indywidualnego i </w:t>
            </w:r>
            <w:r w:rsidRPr="007478E0">
              <w:rPr>
                <w:rFonts w:ascii="Calibri" w:hAnsi="Calibri" w:cs="Calibri"/>
                <w:color w:val="000000"/>
                <w:sz w:val="20"/>
                <w:szCs w:val="20"/>
              </w:rPr>
              <w:t xml:space="preserve">mentoringu świadczone przez </w:t>
            </w:r>
            <w:proofErr w:type="spellStart"/>
            <w:r w:rsidRPr="007478E0">
              <w:rPr>
                <w:rFonts w:ascii="Calibri" w:hAnsi="Calibri" w:cs="Calibri"/>
                <w:color w:val="000000"/>
                <w:sz w:val="20"/>
                <w:szCs w:val="20"/>
              </w:rPr>
              <w:t>KCEiWG</w:t>
            </w:r>
            <w:proofErr w:type="spellEnd"/>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 xml:space="preserve">Gmina Miejska Hrubieszów, </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Hrubieszów</w:t>
            </w:r>
            <w:r>
              <w:rPr>
                <w:b/>
              </w:rPr>
              <w:t xml:space="preserve"> </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7A2DBC" w:rsidRPr="00953E49" w:rsidRDefault="007A2DBC" w:rsidP="007A2DBC">
      <w:pPr>
        <w:rPr>
          <w:b/>
        </w:rPr>
      </w:pPr>
      <w:r>
        <w:rPr>
          <w:b/>
        </w:rPr>
        <w:t xml:space="preserve">Cel operacyjny 3.2 </w:t>
      </w:r>
      <w:r w:rsidRPr="00953E49">
        <w:rPr>
          <w:b/>
        </w:rPr>
        <w:t>Kreowanie przyjaznych warunków do przyciągania inwestycji i rozwoju nowych firm</w:t>
      </w:r>
    </w:p>
    <w:tbl>
      <w:tblPr>
        <w:tblStyle w:val="Jasnasiatkaakcent21"/>
        <w:tblW w:w="0" w:type="auto"/>
        <w:tblLook w:val="04A0" w:firstRow="1" w:lastRow="0" w:firstColumn="1" w:lastColumn="0" w:noHBand="0" w:noVBand="1"/>
      </w:tblPr>
      <w:tblGrid>
        <w:gridCol w:w="2802"/>
        <w:gridCol w:w="4536"/>
        <w:gridCol w:w="2835"/>
        <w:gridCol w:w="2550"/>
        <w:gridCol w:w="1419"/>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3759BB">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3759BB">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550"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9" w:type="dxa"/>
          </w:tcPr>
          <w:p w:rsidR="00712E71" w:rsidRPr="003F543C" w:rsidRDefault="00712E71" w:rsidP="003759BB">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D22A38" w:rsidRDefault="007A2DBC" w:rsidP="003759BB">
            <w:pPr>
              <w:spacing w:before="0"/>
              <w:ind w:firstLine="0"/>
              <w:jc w:val="left"/>
              <w:rPr>
                <w:rFonts w:asciiTheme="minorHAnsi" w:hAnsiTheme="minorHAnsi" w:cstheme="minorHAnsi"/>
                <w:b w:val="0"/>
                <w:sz w:val="20"/>
                <w:szCs w:val="20"/>
              </w:rPr>
            </w:pPr>
            <w:r w:rsidRPr="00D22A38">
              <w:rPr>
                <w:rFonts w:asciiTheme="minorHAnsi" w:hAnsiTheme="minorHAnsi" w:cstheme="minorHAnsi"/>
                <w:b w:val="0"/>
                <w:sz w:val="20"/>
                <w:szCs w:val="20"/>
              </w:rPr>
              <w:t>Tworzenie przyjaznego otoczenia pra</w:t>
            </w:r>
            <w:r>
              <w:rPr>
                <w:rFonts w:asciiTheme="minorHAnsi" w:hAnsiTheme="minorHAnsi" w:cstheme="minorHAnsi"/>
                <w:b w:val="0"/>
                <w:sz w:val="20"/>
                <w:szCs w:val="20"/>
              </w:rPr>
              <w:t>wnego i </w:t>
            </w:r>
            <w:r w:rsidRPr="00D22A38">
              <w:rPr>
                <w:rFonts w:asciiTheme="minorHAnsi" w:hAnsiTheme="minorHAnsi" w:cstheme="minorHAnsi"/>
                <w:b w:val="0"/>
                <w:sz w:val="20"/>
                <w:szCs w:val="20"/>
              </w:rPr>
              <w:t xml:space="preserve">instytucjonalnego do rozwoju nowego biznesu na terenie </w:t>
            </w:r>
            <w:r w:rsidRPr="00D22A38">
              <w:rPr>
                <w:rFonts w:asciiTheme="minorHAnsi" w:hAnsiTheme="minorHAnsi" w:cstheme="minorHAnsi"/>
                <w:b w:val="0"/>
                <w:sz w:val="20"/>
                <w:szCs w:val="20"/>
              </w:rPr>
              <w:lastRenderedPageBreak/>
              <w:t>HOF</w:t>
            </w:r>
          </w:p>
        </w:tc>
        <w:tc>
          <w:tcPr>
            <w:tcW w:w="4536" w:type="dxa"/>
            <w:vAlign w:val="center"/>
          </w:tcPr>
          <w:p w:rsidR="007A2DBC" w:rsidRPr="00AA738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lastRenderedPageBreak/>
              <w:t xml:space="preserve">Prowadzenie spójnej i atrakcyjnej polityki podatkowej dla firm (w tym opracowanie systemu zachęt i ulg podatkowych dla nowo powstających firm)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b/>
              </w:rPr>
              <w:t>-</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D22A38"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AA738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Przedsięwzięcia związane z </w:t>
            </w:r>
            <w:r w:rsidRPr="00AA7380">
              <w:rPr>
                <w:rFonts w:ascii="Calibri" w:hAnsi="Calibri" w:cs="Calibri"/>
                <w:color w:val="000000"/>
                <w:sz w:val="20"/>
                <w:szCs w:val="20"/>
              </w:rPr>
              <w:t>zapewnieniem dla przedsiębiorc</w:t>
            </w:r>
            <w:r>
              <w:rPr>
                <w:rFonts w:ascii="Calibri" w:hAnsi="Calibri" w:cs="Calibri"/>
                <w:color w:val="000000"/>
                <w:sz w:val="20"/>
                <w:szCs w:val="20"/>
              </w:rPr>
              <w:t>ów odpowiednio przygotowanych i </w:t>
            </w:r>
            <w:r w:rsidRPr="00AA7380">
              <w:rPr>
                <w:rFonts w:ascii="Calibri" w:hAnsi="Calibri" w:cs="Calibri"/>
                <w:color w:val="000000"/>
                <w:sz w:val="20"/>
                <w:szCs w:val="20"/>
              </w:rPr>
              <w:t>uzbrojonych terenów inwestycyjnych oraz zaplecza lokalowego na potrzeby działalności produkcyjnej i usługowej</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9E62A0"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pPr>
            <w:r w:rsidRPr="009E62A0">
              <w:t>-</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D22A38"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AA738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Utworzenie i rozwój kompetencji</w:t>
            </w:r>
            <w:r>
              <w:rPr>
                <w:rFonts w:ascii="Calibri" w:hAnsi="Calibri" w:cs="Calibri"/>
                <w:color w:val="000000"/>
                <w:sz w:val="20"/>
                <w:szCs w:val="20"/>
              </w:rPr>
              <w:t xml:space="preserve"> Kreatywnego Centrum Edukacji i </w:t>
            </w:r>
            <w:r w:rsidRPr="00AA7380">
              <w:rPr>
                <w:rFonts w:ascii="Calibri" w:hAnsi="Calibri" w:cs="Calibri"/>
                <w:color w:val="000000"/>
                <w:sz w:val="20"/>
                <w:szCs w:val="20"/>
              </w:rPr>
              <w:t xml:space="preserve">Współpracy </w:t>
            </w:r>
            <w:proofErr w:type="gramStart"/>
            <w:r w:rsidRPr="00AA7380">
              <w:rPr>
                <w:rFonts w:ascii="Calibri" w:hAnsi="Calibri" w:cs="Calibri"/>
                <w:color w:val="000000"/>
                <w:sz w:val="20"/>
                <w:szCs w:val="20"/>
              </w:rPr>
              <w:t>Gospodarczej jako</w:t>
            </w:r>
            <w:proofErr w:type="gramEnd"/>
            <w:r w:rsidRPr="00AA7380">
              <w:rPr>
                <w:rFonts w:ascii="Calibri" w:hAnsi="Calibri" w:cs="Calibri"/>
                <w:color w:val="000000"/>
                <w:sz w:val="20"/>
                <w:szCs w:val="20"/>
              </w:rPr>
              <w:t xml:space="preserve"> głównej instytucji otoczenia biznesu na obszarze HOF</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 xml:space="preserve">Gmina Miejska Hrubieszów, </w:t>
            </w:r>
          </w:p>
        </w:tc>
        <w:tc>
          <w:tcPr>
            <w:tcW w:w="2550" w:type="dxa"/>
            <w:vAlign w:val="center"/>
          </w:tcPr>
          <w:p w:rsidR="007A2DBC" w:rsidRPr="009E62A0" w:rsidRDefault="007A2DBC" w:rsidP="00C7619E">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E62A0">
              <w:rPr>
                <w:rFonts w:ascii="Calibri" w:hAnsi="Calibri" w:cs="Calibri"/>
                <w:color w:val="000000"/>
                <w:sz w:val="20"/>
                <w:szCs w:val="20"/>
              </w:rPr>
              <w:t>Przedsiębiorcy, instytucje otoczenia biznesu, organizacje pozarządowe</w:t>
            </w:r>
            <w:r>
              <w:rPr>
                <w:rFonts w:ascii="Calibri" w:hAnsi="Calibri" w:cs="Calibri"/>
                <w:color w:val="000000"/>
                <w:sz w:val="20"/>
                <w:szCs w:val="20"/>
              </w:rPr>
              <w:t>,</w:t>
            </w:r>
            <w:r w:rsidRPr="002D0DA3">
              <w:rPr>
                <w:rFonts w:ascii="Calibri" w:hAnsi="Calibri" w:cs="Calibri"/>
                <w:color w:val="000000"/>
                <w:sz w:val="20"/>
                <w:szCs w:val="20"/>
              </w:rPr>
              <w:t xml:space="preserve"> Gmina Hrubieszów</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D22A38"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AA738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 xml:space="preserve">Utworzenie i rozwój kompetencji profesjonalnego centrum obsługi inwestora (w ramach struktury </w:t>
            </w:r>
            <w:proofErr w:type="spellStart"/>
            <w:r w:rsidRPr="00AA7380">
              <w:rPr>
                <w:rFonts w:ascii="Calibri" w:hAnsi="Calibri" w:cs="Calibri"/>
                <w:color w:val="000000"/>
                <w:sz w:val="20"/>
                <w:szCs w:val="20"/>
              </w:rPr>
              <w:t>KCEiWG</w:t>
            </w:r>
            <w:proofErr w:type="spellEnd"/>
            <w:r w:rsidRPr="00AA7380">
              <w:rPr>
                <w:rFonts w:ascii="Calibri" w:hAnsi="Calibri" w:cs="Calibri"/>
                <w:color w:val="000000"/>
                <w:sz w:val="20"/>
                <w:szCs w:val="20"/>
              </w:rPr>
              <w:t>)</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 xml:space="preserve">Gmina Miejska Hrubieszów, </w:t>
            </w:r>
          </w:p>
        </w:tc>
        <w:tc>
          <w:tcPr>
            <w:tcW w:w="2550" w:type="dxa"/>
            <w:vAlign w:val="center"/>
          </w:tcPr>
          <w:p w:rsidR="007A2DBC" w:rsidRPr="009E62A0" w:rsidRDefault="007A2DBC" w:rsidP="00C7619E">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2D0DA3">
              <w:rPr>
                <w:rFonts w:ascii="Calibri" w:hAnsi="Calibri" w:cs="Calibri"/>
                <w:color w:val="000000"/>
                <w:sz w:val="20"/>
                <w:szCs w:val="20"/>
              </w:rPr>
              <w:t>Gmina Hrubieszów</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D22A38"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AA738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Stworzenie skutecznego systemu</w:t>
            </w:r>
            <w:r>
              <w:rPr>
                <w:rFonts w:ascii="Calibri" w:hAnsi="Calibri" w:cs="Calibri"/>
                <w:color w:val="000000"/>
                <w:sz w:val="20"/>
                <w:szCs w:val="20"/>
              </w:rPr>
              <w:t xml:space="preserve"> promocji gospodarczej miasta i </w:t>
            </w:r>
            <w:r w:rsidRPr="00AA7380">
              <w:rPr>
                <w:rFonts w:ascii="Calibri" w:hAnsi="Calibri" w:cs="Calibri"/>
                <w:color w:val="000000"/>
                <w:sz w:val="20"/>
                <w:szCs w:val="20"/>
              </w:rPr>
              <w:t xml:space="preserve">przyciągania inwestycji z </w:t>
            </w:r>
            <w:r>
              <w:rPr>
                <w:rFonts w:ascii="Calibri" w:hAnsi="Calibri" w:cs="Calibri"/>
                <w:color w:val="000000"/>
                <w:sz w:val="20"/>
                <w:szCs w:val="20"/>
              </w:rPr>
              <w:t>zewnątrz</w:t>
            </w:r>
            <w:r w:rsidRPr="00AA7380">
              <w:rPr>
                <w:rFonts w:ascii="Calibri" w:hAnsi="Calibri" w:cs="Calibri"/>
                <w:color w:val="000000"/>
                <w:sz w:val="20"/>
                <w:szCs w:val="20"/>
              </w:rPr>
              <w:t xml:space="preserve">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w:t>
            </w:r>
          </w:p>
        </w:tc>
        <w:tc>
          <w:tcPr>
            <w:tcW w:w="2550" w:type="dxa"/>
            <w:vAlign w:val="center"/>
          </w:tcPr>
          <w:p w:rsidR="007A2DBC" w:rsidRDefault="007A2DBC" w:rsidP="00C7619E">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E62A0">
              <w:rPr>
                <w:rFonts w:ascii="Calibri" w:hAnsi="Calibri" w:cs="Calibri"/>
                <w:color w:val="000000"/>
                <w:sz w:val="20"/>
                <w:szCs w:val="20"/>
              </w:rPr>
              <w:t>Przedsiębiorcy, instytucje otoczenia biznesu, organizacje pozarządowe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D22A38" w:rsidRDefault="007A2DBC" w:rsidP="003759BB">
            <w:pPr>
              <w:spacing w:before="0"/>
              <w:ind w:firstLine="0"/>
              <w:jc w:val="left"/>
              <w:rPr>
                <w:rFonts w:asciiTheme="minorHAnsi" w:hAnsiTheme="minorHAnsi" w:cstheme="minorHAnsi"/>
                <w:b w:val="0"/>
                <w:sz w:val="20"/>
                <w:szCs w:val="20"/>
              </w:rPr>
            </w:pPr>
            <w:r w:rsidRPr="00D22A38">
              <w:rPr>
                <w:rFonts w:asciiTheme="minorHAnsi" w:hAnsiTheme="minorHAnsi" w:cstheme="minorHAnsi"/>
                <w:b w:val="0"/>
                <w:sz w:val="20"/>
                <w:szCs w:val="20"/>
              </w:rPr>
              <w:t>Rozwój kadr na potrzeby istniejącego i nowego biznesu</w:t>
            </w:r>
          </w:p>
        </w:tc>
        <w:tc>
          <w:tcPr>
            <w:tcW w:w="4536" w:type="dxa"/>
            <w:vAlign w:val="center"/>
          </w:tcPr>
          <w:p w:rsidR="007A2DBC" w:rsidRPr="00AA738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Kreowanie nowoczesnej edukacji młodzieży (kreatywne zajęcia pozalekcyjne dla młod</w:t>
            </w:r>
            <w:r>
              <w:rPr>
                <w:rFonts w:ascii="Calibri" w:hAnsi="Calibri" w:cs="Calibri"/>
                <w:color w:val="000000"/>
                <w:sz w:val="20"/>
                <w:szCs w:val="20"/>
              </w:rPr>
              <w:t>zieży, nauka przedsiębiorczości</w:t>
            </w:r>
            <w:r w:rsidRPr="00AA7380">
              <w:rPr>
                <w:rFonts w:ascii="Calibri" w:hAnsi="Calibri" w:cs="Calibri"/>
                <w:color w:val="000000"/>
                <w:sz w:val="20"/>
                <w:szCs w:val="20"/>
              </w:rPr>
              <w:t xml:space="preserve"> itp.)</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AC6F29"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AC6F29">
              <w:rPr>
                <w:sz w:val="20"/>
                <w:szCs w:val="20"/>
              </w:rPr>
              <w:t>Szkoły, organizacje pozarządowe, GOK, Hrubieszowski Dom Kultury, Biblioteka Publiczna</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D22A38"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AA738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Promocja edukacji zawodowej i </w:t>
            </w:r>
            <w:r w:rsidRPr="00AA7380">
              <w:rPr>
                <w:rFonts w:ascii="Calibri" w:hAnsi="Calibri" w:cs="Calibri"/>
                <w:color w:val="000000"/>
                <w:sz w:val="20"/>
                <w:szCs w:val="20"/>
              </w:rPr>
              <w:t>dostosowywanie jej do potrzeb przedsiębiorców</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E62A0">
              <w:rPr>
                <w:rFonts w:ascii="Calibri" w:hAnsi="Calibri" w:cs="Calibri"/>
                <w:color w:val="000000"/>
                <w:sz w:val="20"/>
                <w:szCs w:val="20"/>
              </w:rPr>
              <w:t>Zarząd powiatu</w:t>
            </w:r>
            <w:r>
              <w:rPr>
                <w:b/>
              </w:rPr>
              <w:t xml:space="preserve"> </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2D0DA3">
              <w:rPr>
                <w:rFonts w:ascii="Calibri" w:hAnsi="Calibri" w:cs="Calibri"/>
                <w:color w:val="000000"/>
                <w:sz w:val="20"/>
                <w:szCs w:val="20"/>
              </w:rPr>
              <w:t>Gmina Miejska Hrubieszów, Gmina Hrubieszów</w:t>
            </w:r>
          </w:p>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sz w:val="20"/>
                <w:szCs w:val="20"/>
              </w:rPr>
              <w:t>O</w:t>
            </w:r>
            <w:r w:rsidRPr="00AC6F29">
              <w:rPr>
                <w:sz w:val="20"/>
                <w:szCs w:val="20"/>
              </w:rPr>
              <w:t>rganizacje pozarządowe</w:t>
            </w:r>
            <w:r>
              <w:rPr>
                <w:sz w:val="20"/>
                <w:szCs w:val="20"/>
              </w:rPr>
              <w:t>, przedsiębiorcy</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D22A38"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AA738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Optymalne wykorzystanie dostępnych programów i instrumentów w zakresie doskonalenia zawodowego i uczenia się przez całe życie</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Pr>
                <w:rFonts w:ascii="Calibri" w:hAnsi="Calibri" w:cs="Calibri"/>
                <w:color w:val="000000"/>
                <w:sz w:val="20"/>
                <w:szCs w:val="20"/>
              </w:rPr>
              <w:t xml:space="preserve">Zarząd powiatu, </w:t>
            </w:r>
            <w:r w:rsidRPr="002D0DA3">
              <w:rPr>
                <w:rFonts w:ascii="Calibri" w:hAnsi="Calibri" w:cs="Calibri"/>
                <w:color w:val="000000"/>
                <w:sz w:val="20"/>
                <w:szCs w:val="20"/>
              </w:rPr>
              <w:t>Gmina Miejska Hrubieszów, Gmina Hrubieszów</w:t>
            </w:r>
          </w:p>
        </w:tc>
        <w:tc>
          <w:tcPr>
            <w:tcW w:w="2550" w:type="dxa"/>
            <w:vAlign w:val="center"/>
          </w:tcPr>
          <w:p w:rsidR="007A2DBC" w:rsidRPr="00716E1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16E17">
              <w:rPr>
                <w:sz w:val="20"/>
                <w:szCs w:val="20"/>
              </w:rPr>
              <w:t xml:space="preserve">Szkoły, </w:t>
            </w:r>
            <w:r w:rsidR="00C7619E" w:rsidRPr="00716E17">
              <w:rPr>
                <w:sz w:val="20"/>
                <w:szCs w:val="20"/>
              </w:rPr>
              <w:t xml:space="preserve">szkoły wyższe, </w:t>
            </w:r>
          </w:p>
          <w:p w:rsidR="007A2DBC" w:rsidRPr="00716E1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proofErr w:type="gramStart"/>
            <w:r w:rsidRPr="00716E17">
              <w:rPr>
                <w:sz w:val="20"/>
                <w:szCs w:val="20"/>
              </w:rPr>
              <w:t>organizacje</w:t>
            </w:r>
            <w:proofErr w:type="gramEnd"/>
            <w:r w:rsidRPr="00716E17">
              <w:rPr>
                <w:sz w:val="20"/>
                <w:szCs w:val="20"/>
              </w:rPr>
              <w:t xml:space="preserve"> pozarządowe, GOK, Hrubieszowski Dom Kultury, Biblioteka Publiczna</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D22A38"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AA738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Uruchomienie pilotażowego programu wspa</w:t>
            </w:r>
            <w:r>
              <w:rPr>
                <w:rFonts w:ascii="Calibri" w:hAnsi="Calibri" w:cs="Calibri"/>
                <w:color w:val="000000"/>
                <w:sz w:val="20"/>
                <w:szCs w:val="20"/>
              </w:rPr>
              <w:t>rcia dla imigrantów z Ukrainy i </w:t>
            </w:r>
            <w:r w:rsidRPr="00AA7380">
              <w:rPr>
                <w:rFonts w:ascii="Calibri" w:hAnsi="Calibri" w:cs="Calibri"/>
                <w:color w:val="000000"/>
                <w:sz w:val="20"/>
                <w:szCs w:val="20"/>
              </w:rPr>
              <w:t>Białoru</w:t>
            </w:r>
            <w:r>
              <w:rPr>
                <w:rFonts w:ascii="Calibri" w:hAnsi="Calibri" w:cs="Calibri"/>
                <w:color w:val="000000"/>
                <w:sz w:val="20"/>
                <w:szCs w:val="20"/>
              </w:rPr>
              <w:t>si w zakresie integracji i </w:t>
            </w:r>
            <w:r w:rsidRPr="00AA7380">
              <w:rPr>
                <w:rFonts w:ascii="Calibri" w:hAnsi="Calibri" w:cs="Calibri"/>
                <w:color w:val="000000"/>
                <w:sz w:val="20"/>
                <w:szCs w:val="20"/>
              </w:rPr>
              <w:t>d</w:t>
            </w:r>
            <w:r>
              <w:rPr>
                <w:rFonts w:ascii="Calibri" w:hAnsi="Calibri" w:cs="Calibri"/>
                <w:color w:val="000000"/>
                <w:sz w:val="20"/>
                <w:szCs w:val="20"/>
              </w:rPr>
              <w:t>ostosowania ich kwalifikacji do </w:t>
            </w:r>
            <w:r w:rsidRPr="00AA7380">
              <w:rPr>
                <w:rFonts w:ascii="Calibri" w:hAnsi="Calibri" w:cs="Calibri"/>
                <w:color w:val="000000"/>
                <w:sz w:val="20"/>
                <w:szCs w:val="20"/>
              </w:rPr>
              <w:t>potrzeb lokalnego rynku pracy</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716E17"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pPr>
            <w:r w:rsidRPr="00716E17">
              <w:rPr>
                <w:sz w:val="20"/>
              </w:rPr>
              <w:t>PCPR</w:t>
            </w:r>
            <w:r w:rsidR="00C7619E" w:rsidRPr="00716E17">
              <w:rPr>
                <w:sz w:val="20"/>
              </w:rPr>
              <w:t>, PUP, WUP</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D9E6F6" w:themeFill="accent2" w:themeFillTint="33"/>
            <w:vAlign w:val="center"/>
          </w:tcPr>
          <w:p w:rsidR="007A2DBC" w:rsidRPr="00D22A38" w:rsidRDefault="007A2DBC" w:rsidP="003759BB">
            <w:pPr>
              <w:spacing w:before="0"/>
              <w:ind w:firstLine="0"/>
              <w:jc w:val="left"/>
              <w:rPr>
                <w:rFonts w:asciiTheme="minorHAnsi" w:hAnsiTheme="minorHAnsi" w:cstheme="minorHAnsi"/>
                <w:b w:val="0"/>
                <w:sz w:val="20"/>
                <w:szCs w:val="20"/>
              </w:rPr>
            </w:pPr>
            <w:r w:rsidRPr="00D22A38">
              <w:rPr>
                <w:rFonts w:asciiTheme="minorHAnsi" w:hAnsiTheme="minorHAnsi" w:cstheme="minorHAnsi"/>
                <w:b w:val="0"/>
                <w:sz w:val="20"/>
                <w:szCs w:val="20"/>
              </w:rPr>
              <w:t>Budowa ekosystemu rozwoju nowych firm na obszarze HOF</w:t>
            </w:r>
          </w:p>
        </w:tc>
        <w:tc>
          <w:tcPr>
            <w:tcW w:w="4536" w:type="dxa"/>
            <w:vAlign w:val="center"/>
          </w:tcPr>
          <w:p w:rsidR="007A2DBC" w:rsidRPr="00AA738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Opracowanie modelu funkcjonowania syste</w:t>
            </w:r>
            <w:r>
              <w:rPr>
                <w:rFonts w:ascii="Calibri" w:hAnsi="Calibri" w:cs="Calibri"/>
                <w:color w:val="000000"/>
                <w:sz w:val="20"/>
                <w:szCs w:val="20"/>
              </w:rPr>
              <w:t>mu oraz narzędzi niezbędnych do </w:t>
            </w:r>
            <w:r w:rsidRPr="00AA7380">
              <w:rPr>
                <w:rFonts w:ascii="Calibri" w:hAnsi="Calibri" w:cs="Calibri"/>
                <w:color w:val="000000"/>
                <w:sz w:val="20"/>
                <w:szCs w:val="20"/>
              </w:rPr>
              <w:t>świadczenia usług wsparcia dla nowo powstającego biznesu</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F71CE">
              <w:rPr>
                <w:sz w:val="20"/>
                <w:szCs w:val="20"/>
              </w:rPr>
              <w:t>Organizacje pozarządowe</w:t>
            </w:r>
            <w:r>
              <w:rPr>
                <w:sz w:val="20"/>
                <w:szCs w:val="20"/>
              </w:rPr>
              <w:t xml:space="preserve">, </w:t>
            </w:r>
            <w:r w:rsidRPr="00225E46">
              <w:rPr>
                <w:bCs/>
                <w:sz w:val="20"/>
                <w:szCs w:val="20"/>
              </w:rPr>
              <w:t>instytucje otoczenia biznesu</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vAlign w:val="center"/>
          </w:tcPr>
          <w:p w:rsidR="007A2DBC" w:rsidRPr="00D22A38"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AA738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 xml:space="preserve">Prowadzenie w mediach społecznościowych stałej </w:t>
            </w:r>
            <w:r w:rsidRPr="00AA7380">
              <w:rPr>
                <w:rFonts w:ascii="Calibri" w:hAnsi="Calibri" w:cs="Calibri"/>
                <w:color w:val="000000"/>
                <w:sz w:val="20"/>
                <w:szCs w:val="20"/>
              </w:rPr>
              <w:lastRenderedPageBreak/>
              <w:t>akcji promocyjnej zachęcającej młodych ludzi do zakładania firm w mieście</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lastRenderedPageBreak/>
              <w:t xml:space="preserve">Gmina Miejska Hrubieszów, </w:t>
            </w:r>
            <w:r w:rsidRPr="002D0DA3">
              <w:rPr>
                <w:rFonts w:ascii="Calibri" w:hAnsi="Calibri" w:cs="Calibri"/>
                <w:color w:val="000000"/>
                <w:sz w:val="20"/>
                <w:szCs w:val="20"/>
              </w:rPr>
              <w:lastRenderedPageBreak/>
              <w:t>Gmina Hrubieszów</w:t>
            </w:r>
          </w:p>
        </w:tc>
        <w:tc>
          <w:tcPr>
            <w:tcW w:w="2550" w:type="dxa"/>
            <w:vAlign w:val="center"/>
          </w:tcPr>
          <w:p w:rsidR="007A2DBC" w:rsidRPr="00225E46"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225E46">
              <w:rPr>
                <w:sz w:val="20"/>
                <w:szCs w:val="20"/>
              </w:rPr>
              <w:lastRenderedPageBreak/>
              <w:t xml:space="preserve">Organizacje pozarządowe, </w:t>
            </w:r>
            <w:r w:rsidRPr="00225E46">
              <w:rPr>
                <w:bCs/>
                <w:sz w:val="20"/>
                <w:szCs w:val="20"/>
              </w:rPr>
              <w:lastRenderedPageBreak/>
              <w:t>instytucje otoczenia biznesu</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vAlign w:val="center"/>
          </w:tcPr>
          <w:p w:rsidR="007A2DBC" w:rsidRPr="00D22A38"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AA738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Realizacja pilotażowych usług wspar</w:t>
            </w:r>
            <w:r>
              <w:rPr>
                <w:rFonts w:ascii="Calibri" w:hAnsi="Calibri" w:cs="Calibri"/>
                <w:color w:val="000000"/>
                <w:sz w:val="20"/>
                <w:szCs w:val="20"/>
              </w:rPr>
              <w:t>cia dla nowo zakładanych firm w </w:t>
            </w:r>
            <w:r w:rsidRPr="00AA7380">
              <w:rPr>
                <w:rFonts w:ascii="Calibri" w:hAnsi="Calibri" w:cs="Calibri"/>
                <w:color w:val="000000"/>
                <w:sz w:val="20"/>
                <w:szCs w:val="20"/>
              </w:rPr>
              <w:t>mieście</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225E46"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225E46">
              <w:rPr>
                <w:sz w:val="20"/>
                <w:szCs w:val="20"/>
              </w:rPr>
              <w:t xml:space="preserve">Organizacje pozarządowe, </w:t>
            </w:r>
            <w:r w:rsidRPr="00225E46">
              <w:rPr>
                <w:bCs/>
                <w:sz w:val="20"/>
                <w:szCs w:val="20"/>
              </w:rPr>
              <w:t>instytucje otoczenia biznesu</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FFFFF" w:themeFill="background1"/>
            <w:vAlign w:val="center"/>
          </w:tcPr>
          <w:p w:rsidR="007A2DBC" w:rsidRPr="00D22A38" w:rsidRDefault="007A2DBC" w:rsidP="003759BB">
            <w:pPr>
              <w:spacing w:before="0"/>
              <w:ind w:firstLine="0"/>
              <w:jc w:val="left"/>
              <w:rPr>
                <w:rFonts w:asciiTheme="minorHAnsi" w:hAnsiTheme="minorHAnsi" w:cstheme="minorHAnsi"/>
                <w:b w:val="0"/>
                <w:sz w:val="20"/>
                <w:szCs w:val="20"/>
              </w:rPr>
            </w:pPr>
            <w:r>
              <w:rPr>
                <w:rFonts w:asciiTheme="minorHAnsi" w:hAnsiTheme="minorHAnsi" w:cstheme="minorHAnsi"/>
                <w:b w:val="0"/>
                <w:sz w:val="20"/>
                <w:szCs w:val="20"/>
              </w:rPr>
              <w:t>Zbudowanie podstaw do </w:t>
            </w:r>
            <w:r w:rsidRPr="00D22A38">
              <w:rPr>
                <w:rFonts w:asciiTheme="minorHAnsi" w:hAnsiTheme="minorHAnsi" w:cstheme="minorHAnsi"/>
                <w:b w:val="0"/>
                <w:sz w:val="20"/>
                <w:szCs w:val="20"/>
              </w:rPr>
              <w:t>rozwoju centrum logistycznego na terenie HOF</w:t>
            </w:r>
          </w:p>
        </w:tc>
        <w:tc>
          <w:tcPr>
            <w:tcW w:w="4536" w:type="dxa"/>
            <w:vAlign w:val="center"/>
          </w:tcPr>
          <w:p w:rsidR="007A2DBC" w:rsidRPr="00AA738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Wykonanie prac studialnych w celu określenia możliwości rozwoju centrum l</w:t>
            </w:r>
            <w:r>
              <w:rPr>
                <w:rFonts w:ascii="Calibri" w:hAnsi="Calibri" w:cs="Calibri"/>
                <w:color w:val="000000"/>
                <w:sz w:val="20"/>
                <w:szCs w:val="20"/>
              </w:rPr>
              <w:t>ogistycznego w mieście z </w:t>
            </w:r>
            <w:r w:rsidRPr="00AA7380">
              <w:rPr>
                <w:rFonts w:ascii="Calibri" w:hAnsi="Calibri" w:cs="Calibri"/>
                <w:color w:val="000000"/>
                <w:sz w:val="20"/>
                <w:szCs w:val="20"/>
              </w:rPr>
              <w:t>optymalnym wykorzystaniem istniejącej infrastruktury</w:t>
            </w:r>
          </w:p>
        </w:tc>
        <w:tc>
          <w:tcPr>
            <w:tcW w:w="2835" w:type="dxa"/>
            <w:vAlign w:val="center"/>
          </w:tcPr>
          <w:p w:rsidR="007A2DBC" w:rsidRDefault="009B2B5D"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rFonts w:ascii="Calibri" w:hAnsi="Calibri" w:cs="Calibri"/>
                <w:color w:val="000000"/>
                <w:sz w:val="20"/>
                <w:szCs w:val="20"/>
              </w:rPr>
              <w:t>Gmina Miejska Hrubieszów</w:t>
            </w:r>
          </w:p>
        </w:tc>
        <w:tc>
          <w:tcPr>
            <w:tcW w:w="2550" w:type="dxa"/>
            <w:vAlign w:val="center"/>
          </w:tcPr>
          <w:p w:rsidR="007A2DBC" w:rsidRPr="00716E17"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716E17">
              <w:rPr>
                <w:bCs/>
                <w:sz w:val="20"/>
                <w:szCs w:val="20"/>
              </w:rPr>
              <w:t xml:space="preserve">Zarządcy dróg, </w:t>
            </w:r>
            <w:r w:rsidRPr="00716E17">
              <w:rPr>
                <w:rFonts w:ascii="Calibri" w:hAnsi="Calibri" w:cs="Calibri"/>
                <w:color w:val="000000"/>
                <w:sz w:val="20"/>
                <w:szCs w:val="20"/>
              </w:rPr>
              <w:t>PKP Polskie Linie Kolejowe S.A.,</w:t>
            </w:r>
            <w:r w:rsidR="00C7619E" w:rsidRPr="00716E17">
              <w:rPr>
                <w:rFonts w:ascii="Calibri" w:hAnsi="Calibri" w:cs="Calibri"/>
                <w:color w:val="000000"/>
                <w:sz w:val="20"/>
                <w:szCs w:val="20"/>
              </w:rPr>
              <w:t xml:space="preserve"> PKP LHS Sp. z o.</w:t>
            </w:r>
            <w:proofErr w:type="gramStart"/>
            <w:r w:rsidR="00C7619E" w:rsidRPr="00716E17">
              <w:rPr>
                <w:rFonts w:ascii="Calibri" w:hAnsi="Calibri" w:cs="Calibri"/>
                <w:color w:val="000000"/>
                <w:sz w:val="20"/>
                <w:szCs w:val="20"/>
              </w:rPr>
              <w:t>o</w:t>
            </w:r>
            <w:proofErr w:type="gramEnd"/>
            <w:r w:rsidR="00C7619E" w:rsidRPr="00716E17">
              <w:rPr>
                <w:rFonts w:ascii="Calibri" w:hAnsi="Calibri" w:cs="Calibri"/>
                <w:color w:val="000000"/>
                <w:sz w:val="20"/>
                <w:szCs w:val="20"/>
              </w:rPr>
              <w:t>., Urząd celno-skarbowy, przedsiębiorcy</w:t>
            </w:r>
            <w:r w:rsidRPr="00716E17">
              <w:rPr>
                <w:rFonts w:ascii="Calibri" w:hAnsi="Calibri" w:cs="Calibri"/>
                <w:color w:val="000000"/>
                <w:sz w:val="20"/>
                <w:szCs w:val="20"/>
              </w:rPr>
              <w:t xml:space="preserve"> </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7A2DBC" w:rsidRDefault="007A2DBC" w:rsidP="003759BB">
            <w:pPr>
              <w:spacing w:before="0"/>
              <w:ind w:firstLine="0"/>
              <w:rPr>
                <w:b w:val="0"/>
              </w:rPr>
            </w:pPr>
          </w:p>
        </w:tc>
        <w:tc>
          <w:tcPr>
            <w:tcW w:w="4536" w:type="dxa"/>
            <w:vAlign w:val="center"/>
          </w:tcPr>
          <w:p w:rsidR="007A2DBC" w:rsidRPr="00AA7380"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Organizacja konferencji podsumowującej wyniki prac studialnych n</w:t>
            </w:r>
            <w:r>
              <w:rPr>
                <w:rFonts w:ascii="Calibri" w:hAnsi="Calibri" w:cs="Calibri"/>
                <w:color w:val="000000"/>
                <w:sz w:val="20"/>
                <w:szCs w:val="20"/>
              </w:rPr>
              <w:t>ad rozwojem centrum logistycznego</w:t>
            </w:r>
            <w:r w:rsidRPr="00AA7380">
              <w:rPr>
                <w:rFonts w:ascii="Calibri" w:hAnsi="Calibri" w:cs="Calibri"/>
                <w:color w:val="000000"/>
                <w:sz w:val="20"/>
                <w:szCs w:val="20"/>
              </w:rPr>
              <w:t xml:space="preserve"> w Hrubieszowie</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716E1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16E17">
              <w:rPr>
                <w:bCs/>
                <w:sz w:val="20"/>
                <w:szCs w:val="20"/>
              </w:rPr>
              <w:t xml:space="preserve">Zarządcy dróg, </w:t>
            </w:r>
            <w:r w:rsidRPr="00716E17">
              <w:rPr>
                <w:rFonts w:ascii="Calibri" w:hAnsi="Calibri" w:cs="Calibri"/>
                <w:color w:val="000000"/>
                <w:sz w:val="20"/>
                <w:szCs w:val="20"/>
              </w:rPr>
              <w:t>PKP Polskie Linie Kolejowe S.A., Gmina Hrubieszów</w:t>
            </w:r>
            <w:r w:rsidR="00C7619E" w:rsidRPr="00716E17">
              <w:rPr>
                <w:rFonts w:ascii="Calibri" w:hAnsi="Calibri" w:cs="Calibri"/>
                <w:color w:val="000000"/>
                <w:sz w:val="20"/>
                <w:szCs w:val="20"/>
              </w:rPr>
              <w:t>, Urząd celno-skarbowy</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tcPr>
          <w:p w:rsidR="007A2DBC" w:rsidRDefault="007A2DBC" w:rsidP="003759BB">
            <w:pPr>
              <w:spacing w:before="0"/>
              <w:ind w:firstLine="0"/>
              <w:rPr>
                <w:b w:val="0"/>
              </w:rPr>
            </w:pPr>
          </w:p>
        </w:tc>
        <w:tc>
          <w:tcPr>
            <w:tcW w:w="4536" w:type="dxa"/>
            <w:vAlign w:val="center"/>
          </w:tcPr>
          <w:p w:rsidR="007A2DBC" w:rsidRPr="00AA7380"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AA7380">
              <w:rPr>
                <w:rFonts w:ascii="Calibri" w:hAnsi="Calibri" w:cs="Calibri"/>
                <w:color w:val="000000"/>
                <w:sz w:val="20"/>
                <w:szCs w:val="20"/>
              </w:rPr>
              <w:t>P</w:t>
            </w:r>
            <w:r>
              <w:rPr>
                <w:rFonts w:ascii="Calibri" w:hAnsi="Calibri" w:cs="Calibri"/>
                <w:color w:val="000000"/>
                <w:sz w:val="20"/>
                <w:szCs w:val="20"/>
              </w:rPr>
              <w:t>owołanie zespołu ds. promocji i </w:t>
            </w:r>
            <w:r w:rsidRPr="00AA7380">
              <w:rPr>
                <w:rFonts w:ascii="Calibri" w:hAnsi="Calibri" w:cs="Calibri"/>
                <w:color w:val="000000"/>
                <w:sz w:val="20"/>
                <w:szCs w:val="20"/>
              </w:rPr>
              <w:t>lobbowania na rzecz powstania centrum logistycznego w Hrubieszowie</w:t>
            </w:r>
          </w:p>
        </w:tc>
        <w:tc>
          <w:tcPr>
            <w:tcW w:w="2835" w:type="dxa"/>
            <w:vAlign w:val="center"/>
          </w:tcPr>
          <w:p w:rsidR="007A2DBC" w:rsidRDefault="009B2B5D"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rFonts w:ascii="Calibri" w:hAnsi="Calibri" w:cs="Calibri"/>
                <w:color w:val="000000"/>
                <w:sz w:val="20"/>
                <w:szCs w:val="20"/>
              </w:rPr>
              <w:t>Gmina Miejska Hrubieszów</w:t>
            </w:r>
          </w:p>
        </w:tc>
        <w:tc>
          <w:tcPr>
            <w:tcW w:w="2550" w:type="dxa"/>
            <w:vAlign w:val="center"/>
          </w:tcPr>
          <w:p w:rsidR="007A2DBC" w:rsidRPr="00716E17"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716E17">
              <w:rPr>
                <w:sz w:val="20"/>
                <w:szCs w:val="20"/>
              </w:rPr>
              <w:t xml:space="preserve">Organizacje pozarządowe, przedsiębiorcy, </w:t>
            </w:r>
            <w:r w:rsidRPr="00716E17">
              <w:rPr>
                <w:rFonts w:ascii="Calibri" w:hAnsi="Calibri" w:cs="Calibri"/>
                <w:color w:val="000000"/>
                <w:sz w:val="20"/>
                <w:szCs w:val="20"/>
              </w:rPr>
              <w:t>Gmina Hrubieszów</w:t>
            </w:r>
            <w:r w:rsidR="00C7619E" w:rsidRPr="00716E17">
              <w:rPr>
                <w:rFonts w:ascii="Calibri" w:hAnsi="Calibri" w:cs="Calibri"/>
                <w:color w:val="000000"/>
                <w:sz w:val="20"/>
                <w:szCs w:val="20"/>
              </w:rPr>
              <w:t>, Urząd celno-skarbowy, Mieszkańcy – osoby fizyczne, przedstawiciele JST i instytucji sektora publicznego</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7A2DBC" w:rsidRPr="00953E49" w:rsidRDefault="007A2DBC" w:rsidP="007A2DBC">
      <w:pPr>
        <w:ind w:left="360" w:firstLine="0"/>
        <w:rPr>
          <w:b/>
        </w:rPr>
      </w:pPr>
      <w:r>
        <w:rPr>
          <w:b/>
        </w:rPr>
        <w:t xml:space="preserve">Cel operacyjny 3.3 </w:t>
      </w:r>
      <w:r w:rsidRPr="00953E49">
        <w:rPr>
          <w:b/>
        </w:rPr>
        <w:t>Rozwój sektora rolno-spożywczego z większą wartością dodaną</w:t>
      </w:r>
    </w:p>
    <w:tbl>
      <w:tblPr>
        <w:tblStyle w:val="Jasnasiatkaakcent21"/>
        <w:tblW w:w="0" w:type="auto"/>
        <w:tblLook w:val="04A0" w:firstRow="1" w:lastRow="0" w:firstColumn="1" w:lastColumn="0" w:noHBand="0" w:noVBand="1"/>
      </w:tblPr>
      <w:tblGrid>
        <w:gridCol w:w="2802"/>
        <w:gridCol w:w="4536"/>
        <w:gridCol w:w="2835"/>
        <w:gridCol w:w="2550"/>
        <w:gridCol w:w="1419"/>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3759BB">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3759BB">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550"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9" w:type="dxa"/>
          </w:tcPr>
          <w:p w:rsidR="00712E71" w:rsidRPr="003F543C" w:rsidRDefault="00712E71" w:rsidP="003759BB">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9A67DA" w:rsidRDefault="007A2DBC" w:rsidP="003759BB">
            <w:pPr>
              <w:spacing w:before="0"/>
              <w:ind w:firstLine="0"/>
              <w:jc w:val="left"/>
              <w:rPr>
                <w:rFonts w:asciiTheme="minorHAnsi" w:hAnsiTheme="minorHAnsi" w:cstheme="minorHAnsi"/>
                <w:b w:val="0"/>
                <w:sz w:val="20"/>
                <w:szCs w:val="20"/>
              </w:rPr>
            </w:pPr>
            <w:r>
              <w:rPr>
                <w:rFonts w:asciiTheme="minorHAnsi" w:hAnsiTheme="minorHAnsi" w:cstheme="minorHAnsi"/>
                <w:b w:val="0"/>
                <w:sz w:val="20"/>
                <w:szCs w:val="20"/>
              </w:rPr>
              <w:t>Zwiększenie siły ekonomicznej i </w:t>
            </w:r>
            <w:r w:rsidRPr="009A67DA">
              <w:rPr>
                <w:rFonts w:asciiTheme="minorHAnsi" w:hAnsiTheme="minorHAnsi" w:cstheme="minorHAnsi"/>
                <w:b w:val="0"/>
                <w:sz w:val="20"/>
                <w:szCs w:val="20"/>
              </w:rPr>
              <w:t>konkurencyjnej gospoda</w:t>
            </w:r>
            <w:r>
              <w:rPr>
                <w:rFonts w:asciiTheme="minorHAnsi" w:hAnsiTheme="minorHAnsi" w:cstheme="minorHAnsi"/>
                <w:b w:val="0"/>
                <w:sz w:val="20"/>
                <w:szCs w:val="20"/>
              </w:rPr>
              <w:t>rstw rolnych funkcjonujących na </w:t>
            </w:r>
            <w:r w:rsidRPr="009A67DA">
              <w:rPr>
                <w:rFonts w:asciiTheme="minorHAnsi" w:hAnsiTheme="minorHAnsi" w:cstheme="minorHAnsi"/>
                <w:b w:val="0"/>
                <w:sz w:val="20"/>
                <w:szCs w:val="20"/>
              </w:rPr>
              <w:t>terenie HOF</w:t>
            </w:r>
          </w:p>
        </w:tc>
        <w:tc>
          <w:tcPr>
            <w:tcW w:w="4536" w:type="dxa"/>
            <w:vAlign w:val="center"/>
          </w:tcPr>
          <w:p w:rsidR="007A2DBC" w:rsidRPr="00D22A3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Efektywne wykorzystanie systemu płatności bezpośrednich oraz dopłat (do produkcj</w:t>
            </w:r>
            <w:r>
              <w:rPr>
                <w:rFonts w:ascii="Calibri" w:hAnsi="Calibri" w:cs="Calibri"/>
                <w:color w:val="000000"/>
                <w:sz w:val="20"/>
                <w:szCs w:val="20"/>
              </w:rPr>
              <w:t>i roślinnej oraz zwierzęcej jak również z racji uczestnictwa w </w:t>
            </w:r>
            <w:proofErr w:type="spellStart"/>
            <w:r w:rsidRPr="00D22A38">
              <w:rPr>
                <w:rFonts w:ascii="Calibri" w:hAnsi="Calibri" w:cs="Calibri"/>
                <w:color w:val="000000"/>
                <w:sz w:val="20"/>
                <w:szCs w:val="20"/>
              </w:rPr>
              <w:t>ekoschematach</w:t>
            </w:r>
            <w:proofErr w:type="spellEnd"/>
            <w:r w:rsidRPr="00D22A38">
              <w:rPr>
                <w:rFonts w:ascii="Calibri" w:hAnsi="Calibri" w:cs="Calibri"/>
                <w:color w:val="000000"/>
                <w:sz w:val="20"/>
                <w:szCs w:val="20"/>
              </w:rPr>
              <w:t>)</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225E46"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rPr>
            </w:pPr>
            <w:r w:rsidRPr="00225E46">
              <w:rPr>
                <w:sz w:val="20"/>
                <w:szCs w:val="18"/>
              </w:rPr>
              <w:t>Rolnicy, organizacje rolnicze, przedsiębiorcy, instytucje otoczenia rolnictwa</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9A67DA"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D22A3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Efekty</w:t>
            </w:r>
            <w:r w:rsidRPr="00D22A38">
              <w:rPr>
                <w:rFonts w:ascii="Calibri" w:hAnsi="Calibri" w:cs="Calibri"/>
                <w:color w:val="000000"/>
                <w:sz w:val="20"/>
                <w:szCs w:val="20"/>
              </w:rPr>
              <w:t>wne wykorzystanie systemu</w:t>
            </w:r>
            <w:r>
              <w:rPr>
                <w:rFonts w:ascii="Calibri" w:hAnsi="Calibri" w:cs="Calibri"/>
                <w:color w:val="000000"/>
                <w:sz w:val="20"/>
                <w:szCs w:val="20"/>
              </w:rPr>
              <w:t xml:space="preserve"> wsparcia na restrukturyzację i </w:t>
            </w:r>
            <w:r w:rsidRPr="00D22A38">
              <w:rPr>
                <w:rFonts w:ascii="Calibri" w:hAnsi="Calibri" w:cs="Calibri"/>
                <w:color w:val="000000"/>
                <w:sz w:val="20"/>
                <w:szCs w:val="20"/>
              </w:rPr>
              <w:t>mode</w:t>
            </w:r>
            <w:r>
              <w:rPr>
                <w:rFonts w:ascii="Calibri" w:hAnsi="Calibri" w:cs="Calibri"/>
                <w:color w:val="000000"/>
                <w:sz w:val="20"/>
                <w:szCs w:val="20"/>
              </w:rPr>
              <w:t>rnizację gospodarstw rolnych, w </w:t>
            </w:r>
            <w:r w:rsidRPr="00D22A38">
              <w:rPr>
                <w:rFonts w:ascii="Calibri" w:hAnsi="Calibri" w:cs="Calibri"/>
                <w:color w:val="000000"/>
                <w:sz w:val="20"/>
                <w:szCs w:val="20"/>
              </w:rPr>
              <w:t>tym projekty w zakr</w:t>
            </w:r>
            <w:r>
              <w:rPr>
                <w:rFonts w:ascii="Calibri" w:hAnsi="Calibri" w:cs="Calibri"/>
                <w:color w:val="000000"/>
                <w:sz w:val="20"/>
                <w:szCs w:val="20"/>
              </w:rPr>
              <w:t>esie energooszczędności i OZE w </w:t>
            </w:r>
            <w:r w:rsidRPr="00D22A38">
              <w:rPr>
                <w:rFonts w:ascii="Calibri" w:hAnsi="Calibri" w:cs="Calibri"/>
                <w:color w:val="000000"/>
                <w:sz w:val="20"/>
                <w:szCs w:val="20"/>
              </w:rPr>
              <w:t>gospodarstwach rolnych</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225E46"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rPr>
            </w:pPr>
            <w:r w:rsidRPr="00225E46">
              <w:rPr>
                <w:sz w:val="20"/>
                <w:szCs w:val="18"/>
              </w:rPr>
              <w:t>Rolnicy, organizacje rolnicze, przedsiębiorcy, instytucje otoczenia rolnictwa</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9A67DA"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D22A3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 xml:space="preserve">Projekty w zakresie podnoszenia poziomu wiedzy i </w:t>
            </w:r>
            <w:r w:rsidRPr="00D22A38">
              <w:rPr>
                <w:rFonts w:ascii="Calibri" w:hAnsi="Calibri" w:cs="Calibri"/>
                <w:color w:val="000000"/>
                <w:sz w:val="20"/>
                <w:szCs w:val="20"/>
              </w:rPr>
              <w:lastRenderedPageBreak/>
              <w:t>umiejętności rolnik</w:t>
            </w:r>
            <w:r>
              <w:rPr>
                <w:rFonts w:ascii="Calibri" w:hAnsi="Calibri" w:cs="Calibri"/>
                <w:color w:val="000000"/>
                <w:sz w:val="20"/>
                <w:szCs w:val="20"/>
              </w:rPr>
              <w:t>ów (poprzez szkolenia, ogólne i </w:t>
            </w:r>
            <w:r w:rsidRPr="00D22A38">
              <w:rPr>
                <w:rFonts w:ascii="Calibri" w:hAnsi="Calibri" w:cs="Calibri"/>
                <w:color w:val="000000"/>
                <w:sz w:val="20"/>
                <w:szCs w:val="20"/>
              </w:rPr>
              <w:t>i</w:t>
            </w:r>
            <w:r>
              <w:rPr>
                <w:rFonts w:ascii="Calibri" w:hAnsi="Calibri" w:cs="Calibri"/>
                <w:color w:val="000000"/>
                <w:sz w:val="20"/>
                <w:szCs w:val="20"/>
              </w:rPr>
              <w:t>ndywidualne doradztwo, udział w </w:t>
            </w:r>
            <w:r w:rsidRPr="00D22A38">
              <w:rPr>
                <w:rFonts w:ascii="Calibri" w:hAnsi="Calibri" w:cs="Calibri"/>
                <w:color w:val="000000"/>
                <w:sz w:val="20"/>
                <w:szCs w:val="20"/>
              </w:rPr>
              <w:t>projektach badawczych, demonstracyjnych i projektach współpracy</w:t>
            </w:r>
            <w:r>
              <w:rPr>
                <w:rFonts w:ascii="Calibri" w:hAnsi="Calibri" w:cs="Calibri"/>
                <w:color w:val="000000"/>
                <w:sz w:val="20"/>
                <w:szCs w:val="20"/>
              </w:rPr>
              <w:t>)</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lastRenderedPageBreak/>
              <w:t xml:space="preserve">Gmina Miejska Hrubieszów, </w:t>
            </w:r>
            <w:r w:rsidRPr="002D0DA3">
              <w:rPr>
                <w:rFonts w:ascii="Calibri" w:hAnsi="Calibri" w:cs="Calibri"/>
                <w:color w:val="000000"/>
                <w:sz w:val="20"/>
                <w:szCs w:val="20"/>
              </w:rPr>
              <w:lastRenderedPageBreak/>
              <w:t>Gmina Hrubieszów</w:t>
            </w:r>
          </w:p>
        </w:tc>
        <w:tc>
          <w:tcPr>
            <w:tcW w:w="2550" w:type="dxa"/>
            <w:vAlign w:val="center"/>
          </w:tcPr>
          <w:p w:rsidR="007A2DBC" w:rsidRPr="00225E46"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rPr>
            </w:pPr>
            <w:r w:rsidRPr="00225E46">
              <w:rPr>
                <w:sz w:val="20"/>
                <w:szCs w:val="18"/>
              </w:rPr>
              <w:lastRenderedPageBreak/>
              <w:t xml:space="preserve">Rolnicy, organizacje </w:t>
            </w:r>
            <w:r w:rsidRPr="00225E46">
              <w:rPr>
                <w:sz w:val="20"/>
                <w:szCs w:val="18"/>
              </w:rPr>
              <w:lastRenderedPageBreak/>
              <w:t>rolnicze, przedsiębiorcy, instytucje otoczenia rolnictwa</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9A67DA"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D22A3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Projekty w zakresie:</w:t>
            </w:r>
            <w:r w:rsidRPr="00D22A38">
              <w:rPr>
                <w:rFonts w:ascii="Calibri" w:hAnsi="Calibri" w:cs="Calibri"/>
                <w:color w:val="000000"/>
                <w:sz w:val="20"/>
                <w:szCs w:val="20"/>
              </w:rPr>
              <w:t xml:space="preserve"> scalanie gruntów wraz z zagospodarowaniem </w:t>
            </w:r>
            <w:proofErr w:type="spellStart"/>
            <w:r w:rsidRPr="00D22A38">
              <w:rPr>
                <w:rFonts w:ascii="Calibri" w:hAnsi="Calibri" w:cs="Calibri"/>
                <w:color w:val="000000"/>
                <w:sz w:val="20"/>
                <w:szCs w:val="20"/>
              </w:rPr>
              <w:t>poscaleniowym</w:t>
            </w:r>
            <w:proofErr w:type="spellEnd"/>
          </w:p>
        </w:tc>
        <w:tc>
          <w:tcPr>
            <w:tcW w:w="2835" w:type="dxa"/>
            <w:vAlign w:val="center"/>
          </w:tcPr>
          <w:p w:rsidR="007A2DBC" w:rsidRPr="00A70A98"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A70A98">
              <w:rPr>
                <w:sz w:val="20"/>
                <w:szCs w:val="20"/>
              </w:rPr>
              <w:t xml:space="preserve">Powiat hrubieszowski </w:t>
            </w:r>
          </w:p>
        </w:tc>
        <w:tc>
          <w:tcPr>
            <w:tcW w:w="2550" w:type="dxa"/>
            <w:vAlign w:val="center"/>
          </w:tcPr>
          <w:p w:rsidR="007A2DBC" w:rsidRPr="00415C09"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rPr>
            </w:pPr>
            <w:r w:rsidRPr="00415C09">
              <w:rPr>
                <w:sz w:val="20"/>
                <w:szCs w:val="18"/>
              </w:rPr>
              <w:t>Rolnicy,</w:t>
            </w:r>
            <w:r w:rsidRPr="00415C09">
              <w:rPr>
                <w:rFonts w:ascii="Calibri" w:hAnsi="Calibri" w:cs="Calibri"/>
                <w:color w:val="000000"/>
                <w:sz w:val="20"/>
                <w:szCs w:val="20"/>
              </w:rPr>
              <w:t xml:space="preserve"> Gmina Miejska Hrubieszów, Gmina Hrubieszów</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9A67DA"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D22A3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Projekty związane z przekazaniem gospodar</w:t>
            </w:r>
            <w:r>
              <w:rPr>
                <w:rFonts w:ascii="Calibri" w:hAnsi="Calibri" w:cs="Calibri"/>
                <w:color w:val="000000"/>
                <w:sz w:val="20"/>
                <w:szCs w:val="20"/>
              </w:rPr>
              <w:t>s</w:t>
            </w:r>
            <w:r w:rsidRPr="00D22A38">
              <w:rPr>
                <w:rFonts w:ascii="Calibri" w:hAnsi="Calibri" w:cs="Calibri"/>
                <w:color w:val="000000"/>
                <w:sz w:val="20"/>
                <w:szCs w:val="20"/>
              </w:rPr>
              <w:t>twa rolnego oraz wspierające młodych w rolnictwie</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225E46"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rPr>
            </w:pPr>
            <w:r w:rsidRPr="00225E46">
              <w:rPr>
                <w:sz w:val="20"/>
                <w:szCs w:val="18"/>
              </w:rPr>
              <w:t>Rolnicy, organizacje rolnicze, przedsiębiorcy, instytucje otoczenia rolnictwa</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9A67DA" w:rsidRDefault="007A2DBC" w:rsidP="003759BB">
            <w:pPr>
              <w:spacing w:before="0"/>
              <w:ind w:firstLine="0"/>
              <w:jc w:val="left"/>
              <w:rPr>
                <w:rFonts w:asciiTheme="minorHAnsi" w:hAnsiTheme="minorHAnsi" w:cstheme="minorHAnsi"/>
                <w:b w:val="0"/>
                <w:sz w:val="20"/>
                <w:szCs w:val="20"/>
              </w:rPr>
            </w:pPr>
            <w:r w:rsidRPr="009A67DA">
              <w:rPr>
                <w:rFonts w:asciiTheme="minorHAnsi" w:hAnsiTheme="minorHAnsi" w:cstheme="minorHAnsi"/>
                <w:b w:val="0"/>
                <w:sz w:val="20"/>
                <w:szCs w:val="20"/>
              </w:rPr>
              <w:t>Zwiększenie wartości dodanej w sektorze rolno-spożywczym w ramach rozwoju krótkich łańcuchów dostaw żywności</w:t>
            </w:r>
          </w:p>
        </w:tc>
        <w:tc>
          <w:tcPr>
            <w:tcW w:w="4536" w:type="dxa"/>
            <w:vAlign w:val="center"/>
          </w:tcPr>
          <w:p w:rsidR="007A2DBC" w:rsidRPr="00D22A3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Projekty w zakresie budowania wiedzy i św</w:t>
            </w:r>
            <w:r>
              <w:rPr>
                <w:rFonts w:ascii="Calibri" w:hAnsi="Calibri" w:cs="Calibri"/>
                <w:color w:val="000000"/>
                <w:sz w:val="20"/>
                <w:szCs w:val="20"/>
              </w:rPr>
              <w:t>iadomości producentów rolnych w </w:t>
            </w:r>
            <w:r w:rsidRPr="00D22A38">
              <w:rPr>
                <w:rFonts w:ascii="Calibri" w:hAnsi="Calibri" w:cs="Calibri"/>
                <w:color w:val="000000"/>
                <w:sz w:val="20"/>
                <w:szCs w:val="20"/>
              </w:rPr>
              <w:t>zakresie możliwości zwiększania</w:t>
            </w:r>
            <w:r>
              <w:rPr>
                <w:rFonts w:ascii="Calibri" w:hAnsi="Calibri" w:cs="Calibri"/>
                <w:color w:val="000000"/>
                <w:sz w:val="20"/>
                <w:szCs w:val="20"/>
              </w:rPr>
              <w:t xml:space="preserve"> wartości swoich produktów (np. </w:t>
            </w:r>
            <w:r w:rsidRPr="00D22A38">
              <w:rPr>
                <w:rFonts w:ascii="Calibri" w:hAnsi="Calibri" w:cs="Calibri"/>
                <w:color w:val="000000"/>
                <w:sz w:val="20"/>
                <w:szCs w:val="20"/>
              </w:rPr>
              <w:t>poprzez przetworzenie, sprzedaż bezpośrednią, lepsze wykorzystanie produktów ubocznych i odpadów, produkcję ekologiczną i zrównoważoną itp.)</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225E46"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rPr>
            </w:pPr>
            <w:r w:rsidRPr="00225E46">
              <w:rPr>
                <w:sz w:val="20"/>
                <w:szCs w:val="18"/>
              </w:rPr>
              <w:t>Rolnicy, organizacje rolnicze, przedsiębiorcy, instytucje otoczenia rolnictwa</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9A67DA"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D22A3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 xml:space="preserve">Projekty inwestycyjne producentów rolnych i </w:t>
            </w:r>
            <w:proofErr w:type="spellStart"/>
            <w:r w:rsidRPr="00D22A38">
              <w:rPr>
                <w:rFonts w:ascii="Calibri" w:hAnsi="Calibri" w:cs="Calibri"/>
                <w:color w:val="000000"/>
                <w:sz w:val="20"/>
                <w:szCs w:val="20"/>
              </w:rPr>
              <w:t>mikroprzedsiębiorców</w:t>
            </w:r>
            <w:proofErr w:type="spellEnd"/>
            <w:r w:rsidRPr="00D22A38">
              <w:rPr>
                <w:rFonts w:ascii="Calibri" w:hAnsi="Calibri" w:cs="Calibri"/>
                <w:color w:val="000000"/>
                <w:sz w:val="20"/>
                <w:szCs w:val="20"/>
              </w:rPr>
              <w:t xml:space="preserve"> w</w:t>
            </w:r>
            <w:r>
              <w:rPr>
                <w:rFonts w:ascii="Calibri" w:hAnsi="Calibri" w:cs="Calibri"/>
                <w:color w:val="000000"/>
                <w:sz w:val="20"/>
                <w:szCs w:val="20"/>
              </w:rPr>
              <w:t> </w:t>
            </w:r>
            <w:r w:rsidRPr="00D22A38">
              <w:rPr>
                <w:rFonts w:ascii="Calibri" w:hAnsi="Calibri" w:cs="Calibri"/>
                <w:color w:val="000000"/>
                <w:sz w:val="20"/>
                <w:szCs w:val="20"/>
              </w:rPr>
              <w:t>zakresie przetwarzania i sprzedaży produktów rolnych, np. w ramach rolniczego handlu detalicznego (RHD), dostaw bezpośrednich, sprzedaży bezpośredniej, działalności marginalnej</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25E46">
              <w:rPr>
                <w:sz w:val="20"/>
                <w:szCs w:val="18"/>
              </w:rPr>
              <w:t xml:space="preserve">Rolnicy, </w:t>
            </w:r>
            <w:r>
              <w:rPr>
                <w:sz w:val="20"/>
                <w:szCs w:val="18"/>
              </w:rPr>
              <w:t>przedsiębior</w:t>
            </w:r>
            <w:r w:rsidR="00AF21FD">
              <w:rPr>
                <w:sz w:val="20"/>
                <w:szCs w:val="18"/>
              </w:rPr>
              <w:t>cy, grupy producentów rolnych</w:t>
            </w:r>
          </w:p>
        </w:tc>
        <w:tc>
          <w:tcPr>
            <w:tcW w:w="2550" w:type="dxa"/>
            <w:vAlign w:val="center"/>
          </w:tcPr>
          <w:p w:rsidR="007A2DBC" w:rsidRPr="00225E46"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rPr>
            </w:pPr>
            <w:r w:rsidRPr="002D0DA3">
              <w:rPr>
                <w:rFonts w:ascii="Calibri" w:hAnsi="Calibri" w:cs="Calibri"/>
                <w:color w:val="000000"/>
                <w:sz w:val="20"/>
                <w:szCs w:val="20"/>
              </w:rPr>
              <w:t>Gmina Miejska Hrubieszów, Gmina Hrubieszów</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9A67DA"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D22A3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 xml:space="preserve">Projekty inwestycyjne w zakresie zagospodarowywania produktów ubocznych i </w:t>
            </w:r>
            <w:r w:rsidR="003759BB">
              <w:rPr>
                <w:rFonts w:eastAsia="Calibri" w:cs="Calibri"/>
                <w:color w:val="000000"/>
                <w:sz w:val="20"/>
                <w:szCs w:val="20"/>
              </w:rPr>
              <w:t xml:space="preserve">odpadów </w:t>
            </w:r>
            <w:r>
              <w:rPr>
                <w:rFonts w:ascii="Calibri" w:hAnsi="Calibri" w:cs="Calibri"/>
                <w:color w:val="000000"/>
                <w:sz w:val="20"/>
                <w:szCs w:val="20"/>
              </w:rPr>
              <w:t xml:space="preserve">roślinnych i zwierzęcych </w:t>
            </w:r>
          </w:p>
        </w:tc>
        <w:tc>
          <w:tcPr>
            <w:tcW w:w="2835" w:type="dxa"/>
            <w:vAlign w:val="center"/>
          </w:tcPr>
          <w:p w:rsidR="007A2DBC" w:rsidRPr="00415C09"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415C09">
              <w:rPr>
                <w:rFonts w:ascii="Calibri" w:hAnsi="Calibri" w:cs="Calibri"/>
                <w:color w:val="000000"/>
                <w:sz w:val="20"/>
                <w:szCs w:val="20"/>
              </w:rPr>
              <w:t>Rolnicy, przedsiębiorcy, grupy producentów rolnych</w:t>
            </w:r>
          </w:p>
        </w:tc>
        <w:tc>
          <w:tcPr>
            <w:tcW w:w="2550" w:type="dxa"/>
          </w:tcPr>
          <w:p w:rsidR="007A2DBC" w:rsidRPr="00851578" w:rsidRDefault="007A2DBC" w:rsidP="003759B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851578">
              <w:rPr>
                <w:rFonts w:ascii="Calibri" w:hAnsi="Calibri" w:cs="Calibri"/>
                <w:color w:val="000000"/>
                <w:sz w:val="20"/>
                <w:szCs w:val="20"/>
              </w:rPr>
              <w:t>Gmina Miejska Hrubieszów, Gmina Hrubieszów</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9A67DA"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85157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851578">
              <w:rPr>
                <w:rFonts w:ascii="Calibri" w:hAnsi="Calibri" w:cs="Calibri"/>
                <w:color w:val="000000"/>
                <w:sz w:val="20"/>
                <w:szCs w:val="20"/>
              </w:rPr>
              <w:t>Projekty rozwijające współpracę uczestników krótkiego łańcucha żywnościowego (producenci, przetwórcy, sprzedający, konsumenci)</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851578">
              <w:rPr>
                <w:rFonts w:ascii="Calibri" w:hAnsi="Calibri" w:cs="Calibri"/>
                <w:color w:val="000000"/>
                <w:sz w:val="20"/>
                <w:szCs w:val="20"/>
              </w:rPr>
              <w:t>Rolnicy, przedsiębiorcy, grupy producentów rolnych</w:t>
            </w:r>
          </w:p>
        </w:tc>
        <w:tc>
          <w:tcPr>
            <w:tcW w:w="2550" w:type="dxa"/>
          </w:tcPr>
          <w:p w:rsidR="007A2DBC" w:rsidRPr="00851578" w:rsidRDefault="007A2DBC" w:rsidP="003759BB">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851578">
              <w:rPr>
                <w:rFonts w:ascii="Calibri" w:hAnsi="Calibri" w:cs="Calibri"/>
                <w:color w:val="000000"/>
                <w:sz w:val="20"/>
                <w:szCs w:val="20"/>
              </w:rPr>
              <w:t>Gmina Miejska Hrubieszów, Gmina Hrubieszów</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9A67DA"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D22A3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Projekty w zakresie marketingu i </w:t>
            </w:r>
            <w:r w:rsidRPr="00D22A38">
              <w:rPr>
                <w:rFonts w:ascii="Calibri" w:hAnsi="Calibri" w:cs="Calibri"/>
                <w:color w:val="000000"/>
                <w:sz w:val="20"/>
                <w:szCs w:val="20"/>
              </w:rPr>
              <w:t>sprzedaży produktów lokalnych (tradycyjna sprzedaż na targowiskach lokalnych, sprzedaż za pomocą internetu, nowe modele biznesowe sprzedaży, np. koszyk hrubieszowski, kresowa spiżarnia itp.</w:t>
            </w:r>
            <w:r>
              <w:rPr>
                <w:rFonts w:ascii="Calibri" w:hAnsi="Calibri" w:cs="Calibri"/>
                <w:color w:val="000000"/>
                <w:sz w:val="20"/>
                <w:szCs w:val="20"/>
              </w:rPr>
              <w:t>)</w:t>
            </w:r>
            <w:r w:rsidRPr="00D22A38">
              <w:rPr>
                <w:rFonts w:ascii="Calibri" w:hAnsi="Calibri" w:cs="Calibri"/>
                <w:color w:val="000000"/>
                <w:sz w:val="20"/>
                <w:szCs w:val="20"/>
              </w:rPr>
              <w:t xml:space="preserve"> </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851578">
              <w:rPr>
                <w:rFonts w:ascii="Calibri" w:hAnsi="Calibri" w:cs="Calibri"/>
                <w:color w:val="000000"/>
                <w:sz w:val="20"/>
                <w:szCs w:val="20"/>
              </w:rPr>
              <w:t>Rolnicy, przedsiębiorcy, grupy producentów rolnych</w:t>
            </w:r>
          </w:p>
        </w:tc>
        <w:tc>
          <w:tcPr>
            <w:tcW w:w="2550" w:type="dxa"/>
          </w:tcPr>
          <w:p w:rsidR="007A2DBC" w:rsidRPr="00851578" w:rsidRDefault="007A2DBC" w:rsidP="003759BB">
            <w:pPr>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851578">
              <w:rPr>
                <w:rFonts w:ascii="Calibri" w:hAnsi="Calibri" w:cs="Calibri"/>
                <w:color w:val="000000"/>
                <w:sz w:val="20"/>
                <w:szCs w:val="20"/>
              </w:rPr>
              <w:t>Gmina Miejska Hrubieszów, Gmina Hrubieszów</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9A67DA"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D22A3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Działania organizacyjne, informacyjne</w:t>
            </w:r>
            <w:r>
              <w:rPr>
                <w:rFonts w:ascii="Calibri" w:hAnsi="Calibri" w:cs="Calibri"/>
                <w:color w:val="000000"/>
                <w:sz w:val="20"/>
                <w:szCs w:val="20"/>
              </w:rPr>
              <w:t xml:space="preserve"> i promocyjne </w:t>
            </w:r>
            <w:r>
              <w:rPr>
                <w:rFonts w:ascii="Calibri" w:hAnsi="Calibri" w:cs="Calibri"/>
                <w:color w:val="000000"/>
                <w:sz w:val="20"/>
                <w:szCs w:val="20"/>
              </w:rPr>
              <w:lastRenderedPageBreak/>
              <w:t>władz lokalnych w </w:t>
            </w:r>
            <w:r w:rsidRPr="00D22A38">
              <w:rPr>
                <w:rFonts w:ascii="Calibri" w:hAnsi="Calibri" w:cs="Calibri"/>
                <w:color w:val="000000"/>
                <w:sz w:val="20"/>
                <w:szCs w:val="20"/>
              </w:rPr>
              <w:t>zakresie uruchomienia i rozwoju krót</w:t>
            </w:r>
            <w:r>
              <w:rPr>
                <w:rFonts w:ascii="Calibri" w:hAnsi="Calibri" w:cs="Calibri"/>
                <w:color w:val="000000"/>
                <w:sz w:val="20"/>
                <w:szCs w:val="20"/>
              </w:rPr>
              <w:t>kiego łańcucha żywnościowego na obszarze HOF</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lastRenderedPageBreak/>
              <w:t xml:space="preserve">Gmina Miejska Hrubieszów, </w:t>
            </w:r>
            <w:r w:rsidRPr="002D0DA3">
              <w:rPr>
                <w:rFonts w:ascii="Calibri" w:hAnsi="Calibri" w:cs="Calibri"/>
                <w:color w:val="000000"/>
                <w:sz w:val="20"/>
                <w:szCs w:val="20"/>
              </w:rPr>
              <w:lastRenderedPageBreak/>
              <w:t>Gmina Hrubieszów</w:t>
            </w:r>
          </w:p>
        </w:tc>
        <w:tc>
          <w:tcPr>
            <w:tcW w:w="2550" w:type="dxa"/>
            <w:vAlign w:val="center"/>
          </w:tcPr>
          <w:p w:rsidR="007A2DBC" w:rsidRPr="00225E46"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rPr>
            </w:pPr>
            <w:r w:rsidRPr="00225E46">
              <w:rPr>
                <w:sz w:val="20"/>
                <w:szCs w:val="18"/>
              </w:rPr>
              <w:lastRenderedPageBreak/>
              <w:t xml:space="preserve">Rolnicy, organizacje </w:t>
            </w:r>
            <w:r w:rsidRPr="00225E46">
              <w:rPr>
                <w:sz w:val="20"/>
                <w:szCs w:val="18"/>
              </w:rPr>
              <w:lastRenderedPageBreak/>
              <w:t>rolnicze, przedsiębiorcy, instytucje otoczenia rolnictwa</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D9E6F6" w:themeFill="accent2" w:themeFillTint="33"/>
            <w:vAlign w:val="center"/>
          </w:tcPr>
          <w:p w:rsidR="007A2DBC" w:rsidRPr="009A67DA" w:rsidRDefault="007A2DBC" w:rsidP="003759BB">
            <w:pPr>
              <w:spacing w:before="0"/>
              <w:ind w:firstLine="0"/>
              <w:jc w:val="left"/>
              <w:rPr>
                <w:rFonts w:asciiTheme="minorHAnsi" w:hAnsiTheme="minorHAnsi" w:cstheme="minorHAnsi"/>
                <w:b w:val="0"/>
                <w:sz w:val="20"/>
                <w:szCs w:val="20"/>
              </w:rPr>
            </w:pPr>
            <w:r w:rsidRPr="009A67DA">
              <w:rPr>
                <w:rFonts w:asciiTheme="minorHAnsi" w:hAnsiTheme="minorHAnsi" w:cstheme="minorHAnsi"/>
                <w:b w:val="0"/>
                <w:sz w:val="20"/>
                <w:szCs w:val="20"/>
              </w:rPr>
              <w:lastRenderedPageBreak/>
              <w:t xml:space="preserve">Rozwój </w:t>
            </w:r>
            <w:proofErr w:type="gramStart"/>
            <w:r w:rsidRPr="009A67DA">
              <w:rPr>
                <w:rFonts w:asciiTheme="minorHAnsi" w:hAnsiTheme="minorHAnsi" w:cstheme="minorHAnsi"/>
                <w:b w:val="0"/>
                <w:sz w:val="20"/>
                <w:szCs w:val="20"/>
              </w:rPr>
              <w:t>HOF jako</w:t>
            </w:r>
            <w:proofErr w:type="gramEnd"/>
            <w:r w:rsidRPr="009A67DA">
              <w:rPr>
                <w:rFonts w:asciiTheme="minorHAnsi" w:hAnsiTheme="minorHAnsi" w:cstheme="minorHAnsi"/>
                <w:b w:val="0"/>
                <w:sz w:val="20"/>
                <w:szCs w:val="20"/>
              </w:rPr>
              <w:t xml:space="preserve"> ponadlokalnego ośrodka rozwoju gospodarki żywnościowej w województwie i kraju</w:t>
            </w:r>
          </w:p>
        </w:tc>
        <w:tc>
          <w:tcPr>
            <w:tcW w:w="4536" w:type="dxa"/>
            <w:vAlign w:val="center"/>
          </w:tcPr>
          <w:p w:rsidR="007A2DBC" w:rsidRPr="00D22A3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Projekty związane z zapewnieniem lepszego otoczenia instytucjonalnego w zakresie obsługi branży rolno-spożywczej na terenie HOF, w tym bliska współpraca z takimi instytucjami jak:</w:t>
            </w:r>
            <w:r>
              <w:rPr>
                <w:rFonts w:ascii="Calibri" w:hAnsi="Calibri" w:cs="Calibri"/>
                <w:color w:val="000000"/>
                <w:sz w:val="20"/>
                <w:szCs w:val="20"/>
              </w:rPr>
              <w:t xml:space="preserve"> Centrum Doradztwa Rolniczego w </w:t>
            </w:r>
            <w:r w:rsidRPr="00D22A38">
              <w:rPr>
                <w:rFonts w:ascii="Calibri" w:hAnsi="Calibri" w:cs="Calibri"/>
                <w:color w:val="000000"/>
                <w:sz w:val="20"/>
                <w:szCs w:val="20"/>
              </w:rPr>
              <w:t>Brwino</w:t>
            </w:r>
            <w:r>
              <w:rPr>
                <w:rFonts w:ascii="Calibri" w:hAnsi="Calibri" w:cs="Calibri"/>
                <w:color w:val="000000"/>
                <w:sz w:val="20"/>
                <w:szCs w:val="20"/>
              </w:rPr>
              <w:t xml:space="preserve">wie, ODR w Puławach, </w:t>
            </w:r>
            <w:proofErr w:type="spellStart"/>
            <w:r>
              <w:rPr>
                <w:rFonts w:ascii="Calibri" w:hAnsi="Calibri" w:cs="Calibri"/>
                <w:color w:val="000000"/>
                <w:sz w:val="20"/>
                <w:szCs w:val="20"/>
              </w:rPr>
              <w:t>IUNiG</w:t>
            </w:r>
            <w:proofErr w:type="spellEnd"/>
            <w:r>
              <w:rPr>
                <w:rFonts w:ascii="Calibri" w:hAnsi="Calibri" w:cs="Calibri"/>
                <w:color w:val="000000"/>
                <w:sz w:val="20"/>
                <w:szCs w:val="20"/>
              </w:rPr>
              <w:t xml:space="preserve"> w Puł</w:t>
            </w:r>
            <w:r w:rsidRPr="00D22A38">
              <w:rPr>
                <w:rFonts w:ascii="Calibri" w:hAnsi="Calibri" w:cs="Calibri"/>
                <w:color w:val="000000"/>
                <w:sz w:val="20"/>
                <w:szCs w:val="20"/>
              </w:rPr>
              <w:t>awach</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225E46"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rPr>
            </w:pPr>
            <w:r w:rsidRPr="00225E46">
              <w:rPr>
                <w:sz w:val="20"/>
                <w:szCs w:val="18"/>
              </w:rPr>
              <w:t>Rolnicy, organizacje rolnicze, przedsiębiorcy, instytucje otoczenia rolnictwa</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D22A38" w:rsidRDefault="007A2DBC" w:rsidP="003759BB">
            <w:pPr>
              <w:spacing w:before="0"/>
              <w:ind w:firstLine="33"/>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Tw</w:t>
            </w:r>
            <w:r>
              <w:rPr>
                <w:rFonts w:ascii="Calibri" w:hAnsi="Calibri" w:cs="Calibri"/>
                <w:color w:val="000000"/>
                <w:sz w:val="20"/>
                <w:szCs w:val="20"/>
              </w:rPr>
              <w:t>orzenie korzystnych warunków do </w:t>
            </w:r>
            <w:r w:rsidRPr="00D22A38">
              <w:rPr>
                <w:rFonts w:ascii="Calibri" w:hAnsi="Calibri" w:cs="Calibri"/>
                <w:color w:val="000000"/>
                <w:sz w:val="20"/>
                <w:szCs w:val="20"/>
              </w:rPr>
              <w:t>przyciągania</w:t>
            </w:r>
            <w:r>
              <w:rPr>
                <w:rFonts w:ascii="Calibri" w:hAnsi="Calibri" w:cs="Calibri"/>
                <w:color w:val="000000"/>
                <w:sz w:val="20"/>
                <w:szCs w:val="20"/>
              </w:rPr>
              <w:t xml:space="preserve"> nowych inwestycji w </w:t>
            </w:r>
            <w:r w:rsidRPr="00D22A38">
              <w:rPr>
                <w:rFonts w:ascii="Calibri" w:hAnsi="Calibri" w:cs="Calibri"/>
                <w:color w:val="000000"/>
                <w:sz w:val="20"/>
                <w:szCs w:val="20"/>
              </w:rPr>
              <w:t>zakresie przetwórstwa rolno-spożywczego (w tym podmiotów wchodzących w skład planowanego holdingu Krajowej Grupy Spożywczej)</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225E46"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rPr>
            </w:pPr>
            <w:r w:rsidRPr="00225E46">
              <w:rPr>
                <w:sz w:val="20"/>
                <w:szCs w:val="18"/>
              </w:rPr>
              <w:t>Rolnicy, organizacje rolnicze, przedsiębiorcy, instytucje otoczenia rolnictwa</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D22A3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Realizacja projektów demonstracyjnych i badawczo-rozwojowych w zakresie nowoczesnych metod i form produkcji rolnej w kontekście ochrony środowiska i zapobiegania skutkom zmian klimatu</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225E46"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rPr>
            </w:pPr>
            <w:r w:rsidRPr="00225E46">
              <w:rPr>
                <w:sz w:val="20"/>
                <w:szCs w:val="18"/>
              </w:rPr>
              <w:t>Rolnicy, organizacje rolnicze, przedsiębiorcy, instytucje otoczenia rolnictwa</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D22A3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 xml:space="preserve">Rozwój lokalnych specjalizacji rolnych m.in. w oparciu o odtworzenie historycznie ukształtowanych lub wykorzystanie nowych, niszowych kierunków produkcji (np. len, konopie włókniste, warzywa etc.) </w:t>
            </w:r>
          </w:p>
        </w:tc>
        <w:tc>
          <w:tcPr>
            <w:tcW w:w="2835" w:type="dxa"/>
            <w:vAlign w:val="center"/>
          </w:tcPr>
          <w:p w:rsidR="007A2DBC" w:rsidRPr="00851578"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851578">
              <w:rPr>
                <w:rFonts w:ascii="Calibri" w:hAnsi="Calibri" w:cs="Calibri"/>
                <w:color w:val="000000"/>
                <w:sz w:val="20"/>
                <w:szCs w:val="20"/>
              </w:rPr>
              <w:t>Rolnicy, przedsiębiorcy, grupy producentów rolnych</w:t>
            </w:r>
          </w:p>
        </w:tc>
        <w:tc>
          <w:tcPr>
            <w:tcW w:w="2550" w:type="dxa"/>
            <w:vAlign w:val="center"/>
          </w:tcPr>
          <w:p w:rsidR="007A2DBC" w:rsidRPr="00225E46"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rPr>
            </w:pPr>
            <w:r>
              <w:rPr>
                <w:b/>
                <w:sz w:val="20"/>
              </w:rPr>
              <w:t>-</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D22A3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D22A38">
              <w:rPr>
                <w:rFonts w:ascii="Calibri" w:hAnsi="Calibri" w:cs="Calibri"/>
                <w:color w:val="000000"/>
                <w:sz w:val="20"/>
                <w:szCs w:val="20"/>
              </w:rPr>
              <w:t xml:space="preserve">Projekty związane z rozwojem </w:t>
            </w:r>
            <w:proofErr w:type="spellStart"/>
            <w:r w:rsidRPr="00D22A38">
              <w:rPr>
                <w:rFonts w:ascii="Calibri" w:hAnsi="Calibri" w:cs="Calibri"/>
                <w:color w:val="000000"/>
                <w:sz w:val="20"/>
                <w:szCs w:val="20"/>
              </w:rPr>
              <w:t>biogospodarki</w:t>
            </w:r>
            <w:proofErr w:type="spellEnd"/>
            <w:r w:rsidRPr="00D22A38">
              <w:rPr>
                <w:rFonts w:ascii="Calibri" w:hAnsi="Calibri" w:cs="Calibri"/>
                <w:color w:val="000000"/>
                <w:sz w:val="20"/>
                <w:szCs w:val="20"/>
              </w:rPr>
              <w:t xml:space="preserve">, gospodarki w obiegu zamkniętym oraz usług rolnictwa 4.0 </w:t>
            </w:r>
            <w:proofErr w:type="gramStart"/>
            <w:r w:rsidRPr="00D22A38">
              <w:rPr>
                <w:rFonts w:ascii="Calibri" w:hAnsi="Calibri" w:cs="Calibri"/>
                <w:color w:val="000000"/>
                <w:sz w:val="20"/>
                <w:szCs w:val="20"/>
              </w:rPr>
              <w:t>na</w:t>
            </w:r>
            <w:proofErr w:type="gramEnd"/>
            <w:r w:rsidRPr="00D22A38">
              <w:rPr>
                <w:rFonts w:ascii="Calibri" w:hAnsi="Calibri" w:cs="Calibri"/>
                <w:color w:val="000000"/>
                <w:sz w:val="20"/>
                <w:szCs w:val="20"/>
              </w:rPr>
              <w:t xml:space="preserve"> rzecz ochrony środowiska i klimatu</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2D0DA3">
              <w:rPr>
                <w:rFonts w:ascii="Calibri" w:hAnsi="Calibri" w:cs="Calibri"/>
                <w:color w:val="000000"/>
                <w:sz w:val="20"/>
                <w:szCs w:val="20"/>
              </w:rPr>
              <w:t>Gmina Miejska Hrubieszów, Gmina Hrubieszów</w:t>
            </w:r>
            <w:r>
              <w:rPr>
                <w:rFonts w:ascii="Calibri" w:hAnsi="Calibri" w:cs="Calibri"/>
                <w:color w:val="000000"/>
                <w:sz w:val="20"/>
                <w:szCs w:val="20"/>
              </w:rPr>
              <w:t>,</w:t>
            </w:r>
          </w:p>
          <w:p w:rsidR="007A2DBC" w:rsidRPr="00851578"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851578">
              <w:rPr>
                <w:rFonts w:ascii="Calibri" w:hAnsi="Calibri" w:cs="Calibri"/>
                <w:color w:val="000000"/>
                <w:sz w:val="20"/>
                <w:szCs w:val="20"/>
              </w:rPr>
              <w:t>Rolnicy, przedsiębiorcy, grupy producentów rolnych</w:t>
            </w:r>
          </w:p>
        </w:tc>
        <w:tc>
          <w:tcPr>
            <w:tcW w:w="2550" w:type="dxa"/>
            <w:vAlign w:val="center"/>
          </w:tcPr>
          <w:p w:rsidR="007A2DBC" w:rsidRPr="00225E46"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rPr>
            </w:pPr>
            <w:r w:rsidRPr="00225E46">
              <w:rPr>
                <w:sz w:val="20"/>
                <w:szCs w:val="18"/>
              </w:rPr>
              <w:t>Rolnicy, organizacje rolnicze, przedsiębiorcy, instytucje otoczenia rolnictwa</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7A2DBC" w:rsidRPr="00953E49" w:rsidRDefault="007A2DBC" w:rsidP="007A2DBC">
      <w:pPr>
        <w:ind w:left="360" w:firstLine="0"/>
        <w:rPr>
          <w:b/>
        </w:rPr>
      </w:pPr>
      <w:r>
        <w:rPr>
          <w:b/>
        </w:rPr>
        <w:t xml:space="preserve">Cel operacyjny 3.4 </w:t>
      </w:r>
      <w:r w:rsidRPr="00953E49">
        <w:rPr>
          <w:b/>
        </w:rPr>
        <w:t>Rozwój i promocja zintegrowanego produktu turystycznego Ziemi Hrubieszowskiej</w:t>
      </w:r>
    </w:p>
    <w:tbl>
      <w:tblPr>
        <w:tblStyle w:val="Jasnasiatkaakcent21"/>
        <w:tblW w:w="0" w:type="auto"/>
        <w:tblLook w:val="04A0" w:firstRow="1" w:lastRow="0" w:firstColumn="1" w:lastColumn="0" w:noHBand="0" w:noVBand="1"/>
      </w:tblPr>
      <w:tblGrid>
        <w:gridCol w:w="2802"/>
        <w:gridCol w:w="4536"/>
        <w:gridCol w:w="2835"/>
        <w:gridCol w:w="2550"/>
        <w:gridCol w:w="1419"/>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3759BB">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3759BB">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550"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9" w:type="dxa"/>
          </w:tcPr>
          <w:p w:rsidR="00712E71" w:rsidRPr="003F543C" w:rsidRDefault="00712E71" w:rsidP="003759BB">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017AE7" w:rsidRDefault="007A2DBC" w:rsidP="003759BB">
            <w:pPr>
              <w:spacing w:before="0"/>
              <w:ind w:firstLine="0"/>
              <w:jc w:val="left"/>
              <w:rPr>
                <w:rFonts w:asciiTheme="minorHAnsi" w:hAnsiTheme="minorHAnsi" w:cstheme="minorHAnsi"/>
                <w:b w:val="0"/>
                <w:sz w:val="20"/>
                <w:szCs w:val="20"/>
              </w:rPr>
            </w:pPr>
            <w:r>
              <w:rPr>
                <w:rFonts w:asciiTheme="minorHAnsi" w:hAnsiTheme="minorHAnsi" w:cstheme="minorHAnsi"/>
                <w:b w:val="0"/>
                <w:sz w:val="20"/>
                <w:szCs w:val="20"/>
              </w:rPr>
              <w:t>Zbudowanie wśród partnerów i </w:t>
            </w:r>
            <w:r w:rsidRPr="00017AE7">
              <w:rPr>
                <w:rFonts w:asciiTheme="minorHAnsi" w:hAnsiTheme="minorHAnsi" w:cstheme="minorHAnsi"/>
                <w:b w:val="0"/>
                <w:sz w:val="20"/>
                <w:szCs w:val="20"/>
              </w:rPr>
              <w:t xml:space="preserve">interesariuszy sektora turystycznego właściwego </w:t>
            </w:r>
            <w:r w:rsidRPr="00017AE7">
              <w:rPr>
                <w:rFonts w:asciiTheme="minorHAnsi" w:hAnsiTheme="minorHAnsi" w:cstheme="minorHAnsi"/>
                <w:b w:val="0"/>
                <w:sz w:val="20"/>
                <w:szCs w:val="20"/>
              </w:rPr>
              <w:lastRenderedPageBreak/>
              <w:t>zrozumienia dla idei rozwoju usług turystycznych wokół zintegrowanej oferty turystycznej HOF</w:t>
            </w:r>
          </w:p>
        </w:tc>
        <w:tc>
          <w:tcPr>
            <w:tcW w:w="4536" w:type="dxa"/>
            <w:vAlign w:val="center"/>
          </w:tcPr>
          <w:p w:rsidR="007A2DBC" w:rsidRPr="00017AE7"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17AE7">
              <w:rPr>
                <w:rFonts w:ascii="Calibri" w:hAnsi="Calibri" w:cs="Calibri"/>
                <w:color w:val="000000"/>
                <w:sz w:val="20"/>
                <w:szCs w:val="20"/>
              </w:rPr>
              <w:lastRenderedPageBreak/>
              <w:t>Inwentaryzacja i waloryzacja (np.</w:t>
            </w:r>
            <w:r>
              <w:rPr>
                <w:rFonts w:ascii="Calibri" w:hAnsi="Calibri" w:cs="Calibri"/>
                <w:color w:val="000000"/>
                <w:sz w:val="20"/>
                <w:szCs w:val="20"/>
              </w:rPr>
              <w:t xml:space="preserve"> w </w:t>
            </w:r>
            <w:r w:rsidRPr="00017AE7">
              <w:rPr>
                <w:rFonts w:ascii="Calibri" w:hAnsi="Calibri" w:cs="Calibri"/>
                <w:color w:val="000000"/>
                <w:sz w:val="20"/>
                <w:szCs w:val="20"/>
              </w:rPr>
              <w:t>formie szczegółowego audytu) istnieją</w:t>
            </w:r>
            <w:r>
              <w:rPr>
                <w:rFonts w:ascii="Calibri" w:hAnsi="Calibri" w:cs="Calibri"/>
                <w:color w:val="000000"/>
                <w:sz w:val="20"/>
                <w:szCs w:val="20"/>
              </w:rPr>
              <w:t>cych elementów infrastruktury i </w:t>
            </w:r>
            <w:r w:rsidRPr="00017AE7">
              <w:rPr>
                <w:rFonts w:ascii="Calibri" w:hAnsi="Calibri" w:cs="Calibri"/>
                <w:color w:val="000000"/>
                <w:sz w:val="20"/>
                <w:szCs w:val="20"/>
              </w:rPr>
              <w:t xml:space="preserve">atrakcji turystycznych wraz z analizą </w:t>
            </w:r>
            <w:r w:rsidRPr="00017AE7">
              <w:rPr>
                <w:rFonts w:ascii="Calibri" w:hAnsi="Calibri" w:cs="Calibri"/>
                <w:color w:val="000000"/>
                <w:sz w:val="20"/>
                <w:szCs w:val="20"/>
              </w:rPr>
              <w:lastRenderedPageBreak/>
              <w:t>występujących luk i potrzeb w kontekście stworzenia zintegrowanej oferty turystycznej HOF</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lastRenderedPageBreak/>
              <w:t>Gmina Miejska Hrubieszów, Gmina Hrubieszów</w:t>
            </w:r>
          </w:p>
        </w:tc>
        <w:tc>
          <w:tcPr>
            <w:tcW w:w="2550" w:type="dxa"/>
            <w:vAlign w:val="center"/>
          </w:tcPr>
          <w:p w:rsidR="007A2DBC" w:rsidRPr="00CC5034"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LOT </w:t>
            </w:r>
            <w:proofErr w:type="spellStart"/>
            <w:r w:rsidRPr="00CC5034">
              <w:rPr>
                <w:sz w:val="20"/>
                <w:szCs w:val="20"/>
              </w:rPr>
              <w:t>Gotania</w:t>
            </w:r>
            <w:proofErr w:type="spellEnd"/>
            <w:r>
              <w:rPr>
                <w:sz w:val="20"/>
                <w:szCs w:val="20"/>
              </w:rPr>
              <w:t xml:space="preserve">, </w:t>
            </w:r>
            <w:r w:rsidRPr="00794592">
              <w:rPr>
                <w:sz w:val="20"/>
                <w:szCs w:val="20"/>
              </w:rPr>
              <w:t xml:space="preserve">GOK, Hrubieszowski Dom Kultury, Biblioteka Publiczna, </w:t>
            </w:r>
            <w:r>
              <w:rPr>
                <w:sz w:val="20"/>
                <w:szCs w:val="20"/>
              </w:rPr>
              <w:lastRenderedPageBreak/>
              <w:t>organizacje pozarządowe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017AE7"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017AE7">
              <w:rPr>
                <w:rFonts w:ascii="Calibri" w:hAnsi="Calibri" w:cs="Calibri"/>
                <w:color w:val="000000"/>
                <w:sz w:val="20"/>
                <w:szCs w:val="20"/>
              </w:rPr>
              <w:t>Opracowanie koncepcji rozwoju sieciowego produktu turystycznego (opierającego się na rdzeniu atrakcji miasta i gminy Hrubieszów)</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Pr>
                <w:rFonts w:ascii="Calibri" w:hAnsi="Calibri" w:cs="Calibri"/>
                <w:color w:val="000000"/>
                <w:sz w:val="20"/>
                <w:szCs w:val="20"/>
              </w:rPr>
              <w:t xml:space="preserve">Przedsiębiorcy, </w:t>
            </w:r>
            <w:r w:rsidRPr="002D0DA3">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94592">
              <w:rPr>
                <w:sz w:val="20"/>
                <w:szCs w:val="20"/>
              </w:rPr>
              <w:t>GOK,</w:t>
            </w:r>
            <w:r>
              <w:t xml:space="preserve"> </w:t>
            </w:r>
            <w:r w:rsidRPr="00CC5034">
              <w:rPr>
                <w:sz w:val="20"/>
                <w:szCs w:val="20"/>
              </w:rPr>
              <w:t xml:space="preserve">LOT </w:t>
            </w:r>
            <w:proofErr w:type="spellStart"/>
            <w:r w:rsidRPr="00CC5034">
              <w:rPr>
                <w:sz w:val="20"/>
                <w:szCs w:val="20"/>
              </w:rPr>
              <w:t>Gotania</w:t>
            </w:r>
            <w:proofErr w:type="spellEnd"/>
            <w:r w:rsidRPr="00CC5034">
              <w:rPr>
                <w:sz w:val="20"/>
                <w:szCs w:val="20"/>
              </w:rPr>
              <w:t xml:space="preserve">, </w:t>
            </w:r>
            <w:r w:rsidRPr="00794592">
              <w:rPr>
                <w:sz w:val="20"/>
                <w:szCs w:val="20"/>
              </w:rPr>
              <w:t>Hrubieszowski Dom Kultury, Biblioteka Publiczna,</w:t>
            </w:r>
            <w:r>
              <w:rPr>
                <w:sz w:val="20"/>
                <w:szCs w:val="20"/>
              </w:rPr>
              <w:t xml:space="preserve"> HOSIR,</w:t>
            </w:r>
            <w:r w:rsidRPr="00794592">
              <w:rPr>
                <w:sz w:val="20"/>
                <w:szCs w:val="20"/>
              </w:rPr>
              <w:t xml:space="preserve"> </w:t>
            </w:r>
            <w:r>
              <w:rPr>
                <w:sz w:val="20"/>
                <w:szCs w:val="20"/>
              </w:rPr>
              <w:t>organizacje pozarządowe, przedsiębiorcy</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017AE7"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17AE7">
              <w:rPr>
                <w:rFonts w:ascii="Calibri" w:hAnsi="Calibri" w:cs="Calibri"/>
                <w:color w:val="000000"/>
                <w:sz w:val="20"/>
                <w:szCs w:val="20"/>
              </w:rPr>
              <w:t xml:space="preserve">Organizacja </w:t>
            </w:r>
            <w:proofErr w:type="spellStart"/>
            <w:r w:rsidRPr="00017AE7">
              <w:rPr>
                <w:rFonts w:ascii="Calibri" w:hAnsi="Calibri" w:cs="Calibri"/>
                <w:color w:val="000000"/>
                <w:sz w:val="20"/>
                <w:szCs w:val="20"/>
              </w:rPr>
              <w:t>seminariow</w:t>
            </w:r>
            <w:proofErr w:type="spellEnd"/>
            <w:r w:rsidRPr="00017AE7">
              <w:rPr>
                <w:rFonts w:ascii="Calibri" w:hAnsi="Calibri" w:cs="Calibri"/>
                <w:color w:val="000000"/>
                <w:sz w:val="20"/>
                <w:szCs w:val="20"/>
              </w:rPr>
              <w:t xml:space="preserve"> dla interesariuszy i kadr branży turystycznej w zakresie rozwoju sieciowego produktu turystycznego Ziemi Hrubieszowskiej</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sz w:val="20"/>
                <w:szCs w:val="20"/>
              </w:rPr>
              <w:t xml:space="preserve">LOT </w:t>
            </w:r>
            <w:proofErr w:type="spellStart"/>
            <w:r>
              <w:rPr>
                <w:sz w:val="20"/>
                <w:szCs w:val="20"/>
              </w:rPr>
              <w:t>Gotania</w:t>
            </w:r>
            <w:proofErr w:type="spellEnd"/>
            <w:r>
              <w:rPr>
                <w:sz w:val="20"/>
                <w:szCs w:val="20"/>
              </w:rPr>
              <w:t xml:space="preserve">, </w:t>
            </w:r>
            <w:r w:rsidRPr="00794592">
              <w:rPr>
                <w:sz w:val="20"/>
                <w:szCs w:val="20"/>
              </w:rPr>
              <w:t>GOK, Hrubieszowski Dom Kultury</w:t>
            </w:r>
            <w:r>
              <w:rPr>
                <w:sz w:val="20"/>
                <w:szCs w:val="20"/>
              </w:rPr>
              <w:t>, organizacje pozarządowe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017AE7" w:rsidRDefault="007A2DBC" w:rsidP="003759BB">
            <w:pPr>
              <w:spacing w:before="0"/>
              <w:ind w:firstLine="0"/>
              <w:jc w:val="left"/>
              <w:rPr>
                <w:rFonts w:asciiTheme="minorHAnsi" w:hAnsiTheme="minorHAnsi" w:cstheme="minorHAnsi"/>
                <w:b w:val="0"/>
                <w:sz w:val="20"/>
                <w:szCs w:val="20"/>
              </w:rPr>
            </w:pPr>
            <w:r w:rsidRPr="00017AE7">
              <w:rPr>
                <w:rFonts w:asciiTheme="minorHAnsi" w:hAnsiTheme="minorHAnsi" w:cstheme="minorHAnsi"/>
                <w:b w:val="0"/>
                <w:sz w:val="20"/>
                <w:szCs w:val="20"/>
              </w:rPr>
              <w:t>Realizacja kluczowych projektów i przedsięwzięć pozwalających na stworzenie zintegrowanej oferty turystycznej miasta i gminy Hrubieszów</w:t>
            </w:r>
          </w:p>
        </w:tc>
        <w:tc>
          <w:tcPr>
            <w:tcW w:w="4536" w:type="dxa"/>
            <w:vAlign w:val="center"/>
          </w:tcPr>
          <w:p w:rsidR="007A2DBC" w:rsidRPr="00E7014F" w:rsidRDefault="007A2DBC" w:rsidP="00FA3E3C">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E7014F">
              <w:rPr>
                <w:rFonts w:ascii="Calibri" w:hAnsi="Calibri" w:cs="Calibri"/>
                <w:color w:val="000000"/>
                <w:sz w:val="20"/>
                <w:szCs w:val="20"/>
              </w:rPr>
              <w:t xml:space="preserve">Zagospodarowanie na cele turystyczne zbiornika </w:t>
            </w:r>
            <w:r w:rsidR="00FA3E3C" w:rsidRPr="00FA3E3C">
              <w:rPr>
                <w:rFonts w:cstheme="minorHAnsi"/>
                <w:color w:val="000000"/>
                <w:sz w:val="20"/>
                <w:szCs w:val="20"/>
              </w:rPr>
              <w:t>retencyjnego –</w:t>
            </w:r>
            <w:r w:rsidR="00FA3E3C">
              <w:rPr>
                <w:rFonts w:cstheme="minorHAnsi"/>
                <w:color w:val="000000"/>
                <w:sz w:val="20"/>
                <w:szCs w:val="20"/>
              </w:rPr>
              <w:t xml:space="preserve"> </w:t>
            </w:r>
            <w:r w:rsidR="00FA3E3C" w:rsidRPr="00FA3E3C">
              <w:rPr>
                <w:rFonts w:cstheme="minorHAnsi"/>
                <w:color w:val="000000"/>
                <w:sz w:val="20"/>
                <w:szCs w:val="20"/>
              </w:rPr>
              <w:t>rekreacyjnego na działce nr 2294, obręb Podgórze w dolinie rzeki Huczwy w m. Hrubieszów</w:t>
            </w:r>
          </w:p>
        </w:tc>
        <w:tc>
          <w:tcPr>
            <w:tcW w:w="2835" w:type="dxa"/>
            <w:vAlign w:val="center"/>
          </w:tcPr>
          <w:p w:rsidR="007A2DBC" w:rsidRPr="00742AF4"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rFonts w:ascii="Calibri" w:hAnsi="Calibri" w:cs="Calibri"/>
                <w:color w:val="000000"/>
                <w:sz w:val="20"/>
                <w:szCs w:val="20"/>
              </w:rPr>
              <w:t>Gmina Miejska Hrubieszów</w:t>
            </w:r>
            <w:r w:rsidRPr="00742AF4">
              <w:rPr>
                <w:rFonts w:ascii="Calibri" w:hAnsi="Calibri" w:cs="Calibri"/>
                <w:color w:val="000000"/>
                <w:sz w:val="20"/>
                <w:szCs w:val="20"/>
              </w:rPr>
              <w:t xml:space="preserve"> </w:t>
            </w:r>
          </w:p>
        </w:tc>
        <w:tc>
          <w:tcPr>
            <w:tcW w:w="2550" w:type="dxa"/>
            <w:vAlign w:val="center"/>
          </w:tcPr>
          <w:p w:rsidR="007A2DBC" w:rsidRPr="00742AF4"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42AF4">
              <w:rPr>
                <w:sz w:val="20"/>
                <w:szCs w:val="20"/>
              </w:rPr>
              <w:t>HOSIR, przedsiębiorcy, organizacje pozarządowe</w:t>
            </w:r>
            <w:r>
              <w:rPr>
                <w:sz w:val="20"/>
                <w:szCs w:val="20"/>
              </w:rPr>
              <w:t>,</w:t>
            </w:r>
            <w:r w:rsidRPr="00742AF4">
              <w:rPr>
                <w:rFonts w:ascii="Calibri" w:hAnsi="Calibri" w:cs="Calibri"/>
                <w:color w:val="000000"/>
                <w:sz w:val="20"/>
                <w:szCs w:val="20"/>
              </w:rPr>
              <w:t xml:space="preserve"> Gmina Hrubieszów</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E7014F"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E7014F">
              <w:rPr>
                <w:rFonts w:ascii="Calibri" w:hAnsi="Calibri" w:cs="Calibri"/>
                <w:color w:val="000000"/>
                <w:sz w:val="20"/>
                <w:szCs w:val="20"/>
              </w:rPr>
              <w:t>Utworzenie punktu wystawowego prezentującego historyczny wygląd Hrubieszowa w jednej z historycznych kamienic (roboty budowlane, opracowanie studyjnej dioramy)</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42AF4">
              <w:rPr>
                <w:rFonts w:ascii="Calibri" w:hAnsi="Calibri" w:cs="Calibri"/>
                <w:color w:val="000000"/>
                <w:sz w:val="20"/>
                <w:szCs w:val="20"/>
              </w:rPr>
              <w:t>Gmina Miejska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94592">
              <w:rPr>
                <w:sz w:val="20"/>
                <w:szCs w:val="20"/>
              </w:rPr>
              <w:t>Hrubieszowski Dom Kultury, Biblioteka Publiczna,</w:t>
            </w:r>
            <w:r>
              <w:rPr>
                <w:sz w:val="20"/>
                <w:szCs w:val="20"/>
              </w:rPr>
              <w:t xml:space="preserve"> organizacje pozarządowe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E7014F"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E7014F">
              <w:rPr>
                <w:rFonts w:ascii="Calibri" w:hAnsi="Calibri" w:cs="Calibri"/>
                <w:color w:val="000000"/>
                <w:sz w:val="20"/>
                <w:szCs w:val="20"/>
              </w:rPr>
              <w:t>Opracowanie wystawy multimedialnej na temat historii miasta oraz wirtualnej wycieczki po hrubieszowskich podziemiach w oparciu o metody skanowania laserowego dostępnych przestrzeni</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42AF4">
              <w:rPr>
                <w:rFonts w:ascii="Calibri" w:hAnsi="Calibri" w:cs="Calibri"/>
                <w:color w:val="000000"/>
                <w:sz w:val="20"/>
                <w:szCs w:val="20"/>
              </w:rPr>
              <w:t>Gmina Miejska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94592">
              <w:rPr>
                <w:sz w:val="20"/>
                <w:szCs w:val="20"/>
              </w:rPr>
              <w:t>Hrubieszowski Dom Kultury, Biblioteka Publiczna,</w:t>
            </w:r>
            <w:r>
              <w:rPr>
                <w:sz w:val="20"/>
                <w:szCs w:val="20"/>
              </w:rPr>
              <w:t xml:space="preserve"> organizacje pozarządowe, przedsiębiorcy</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E7014F"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E7014F">
              <w:rPr>
                <w:rFonts w:ascii="Calibri" w:hAnsi="Calibri" w:cs="Calibri"/>
                <w:color w:val="000000"/>
                <w:sz w:val="20"/>
                <w:szCs w:val="20"/>
              </w:rPr>
              <w:t>Projekty w zakresie turystycznego wykorzystania podziemi miasta Hrubieszów</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42AF4">
              <w:rPr>
                <w:rFonts w:ascii="Calibri" w:hAnsi="Calibri" w:cs="Calibri"/>
                <w:color w:val="000000"/>
                <w:sz w:val="20"/>
                <w:szCs w:val="20"/>
              </w:rPr>
              <w:t>Gmina Miejska Hrubieszów</w:t>
            </w:r>
          </w:p>
        </w:tc>
        <w:tc>
          <w:tcPr>
            <w:tcW w:w="2550" w:type="dxa"/>
            <w:vAlign w:val="center"/>
          </w:tcPr>
          <w:p w:rsidR="007A2DBC" w:rsidRPr="00716E17"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16E17">
              <w:rPr>
                <w:sz w:val="20"/>
                <w:szCs w:val="20"/>
              </w:rPr>
              <w:t>Hrubieszowski Dom Kultury, Biblioteka Publiczna, organizacje pozarządowe, przedsiębiorcy</w:t>
            </w:r>
            <w:r w:rsidR="003F4A47" w:rsidRPr="00716E17">
              <w:rPr>
                <w:sz w:val="20"/>
                <w:szCs w:val="20"/>
              </w:rPr>
              <w:t>, Konserwator zabytków</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E7014F"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E7014F">
              <w:rPr>
                <w:rFonts w:ascii="Calibri" w:hAnsi="Calibri" w:cs="Calibri"/>
                <w:color w:val="000000"/>
                <w:sz w:val="20"/>
                <w:szCs w:val="20"/>
              </w:rPr>
              <w:t>Opracowanie audio przewodnika i mapy spaceru po atrakcjach turystycznych w centrum Hrubieszowa</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42AF4">
              <w:rPr>
                <w:rFonts w:ascii="Calibri" w:hAnsi="Calibri" w:cs="Calibri"/>
                <w:color w:val="000000"/>
                <w:sz w:val="20"/>
                <w:szCs w:val="20"/>
              </w:rPr>
              <w:t>Gmina Miejska Hrubieszów</w:t>
            </w:r>
          </w:p>
        </w:tc>
        <w:tc>
          <w:tcPr>
            <w:tcW w:w="2550" w:type="dxa"/>
            <w:vAlign w:val="center"/>
          </w:tcPr>
          <w:p w:rsidR="007A2DBC" w:rsidRPr="00716E1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16E17">
              <w:rPr>
                <w:sz w:val="20"/>
                <w:szCs w:val="20"/>
              </w:rPr>
              <w:t>Hrubieszowski Dom Kultury, Biblioteka Publiczna, organizacje pozarządowe, przedsiębiorcy</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E7014F"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E7014F">
              <w:rPr>
                <w:rFonts w:ascii="Calibri" w:hAnsi="Calibri" w:cs="Calibri"/>
                <w:color w:val="000000"/>
                <w:sz w:val="20"/>
                <w:szCs w:val="20"/>
              </w:rPr>
              <w:t xml:space="preserve">Oznakowanie trasy turystycznej/spaceru po centrum </w:t>
            </w:r>
            <w:r>
              <w:rPr>
                <w:rFonts w:ascii="Calibri" w:hAnsi="Calibri" w:cs="Calibri"/>
                <w:color w:val="000000"/>
                <w:sz w:val="20"/>
                <w:szCs w:val="20"/>
              </w:rPr>
              <w:t xml:space="preserve">miasta </w:t>
            </w:r>
            <w:r w:rsidRPr="00E7014F">
              <w:rPr>
                <w:rFonts w:ascii="Calibri" w:hAnsi="Calibri" w:cs="Calibri"/>
                <w:color w:val="000000"/>
                <w:sz w:val="20"/>
                <w:szCs w:val="20"/>
              </w:rPr>
              <w:t> Hrubieszowie</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42AF4">
              <w:rPr>
                <w:rFonts w:ascii="Calibri" w:hAnsi="Calibri" w:cs="Calibri"/>
                <w:color w:val="000000"/>
                <w:sz w:val="20"/>
                <w:szCs w:val="20"/>
              </w:rPr>
              <w:t>Gmina Miejska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sz w:val="20"/>
                <w:szCs w:val="20"/>
              </w:rPr>
              <w:t>Organizacje pozarządowe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017AE7"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017AE7">
              <w:rPr>
                <w:rFonts w:ascii="Calibri" w:hAnsi="Calibri" w:cs="Calibri"/>
                <w:color w:val="000000"/>
                <w:sz w:val="20"/>
                <w:szCs w:val="20"/>
              </w:rPr>
              <w:t xml:space="preserve">Budowa i wyposażenie Centrum Dziedzictwa Archeologicznego i Kulturowego w </w:t>
            </w:r>
            <w:proofErr w:type="spellStart"/>
            <w:r w:rsidRPr="00017AE7">
              <w:rPr>
                <w:rFonts w:ascii="Calibri" w:hAnsi="Calibri" w:cs="Calibri"/>
                <w:color w:val="000000"/>
                <w:sz w:val="20"/>
                <w:szCs w:val="20"/>
              </w:rPr>
              <w:t>Masłomęczu</w:t>
            </w:r>
            <w:proofErr w:type="spellEnd"/>
            <w:r w:rsidRPr="00017AE7">
              <w:rPr>
                <w:rFonts w:ascii="Calibri" w:hAnsi="Calibri" w:cs="Calibri"/>
                <w:color w:val="000000"/>
                <w:sz w:val="20"/>
                <w:szCs w:val="20"/>
              </w:rPr>
              <w:t xml:space="preserve"> </w:t>
            </w:r>
          </w:p>
        </w:tc>
        <w:tc>
          <w:tcPr>
            <w:tcW w:w="2835" w:type="dxa"/>
            <w:vAlign w:val="center"/>
          </w:tcPr>
          <w:p w:rsidR="007A2DBC" w:rsidRPr="00742AF4"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42AF4">
              <w:rPr>
                <w:sz w:val="20"/>
                <w:szCs w:val="20"/>
              </w:rPr>
              <w:t>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Pr>
                <w:sz w:val="20"/>
                <w:szCs w:val="20"/>
              </w:rPr>
              <w:t>GOK organizacje pozarządowe</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017AE7"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17AE7">
              <w:rPr>
                <w:rFonts w:ascii="Calibri" w:hAnsi="Calibri" w:cs="Calibri"/>
                <w:color w:val="000000"/>
                <w:sz w:val="20"/>
                <w:szCs w:val="20"/>
              </w:rPr>
              <w:t>Rozbudowa infrastruktury szlaków turystycznych na terenie HOF (ścieżki edukacyjne, wieże widokowe, kempingi i miejsca obsługi rowerzystów, mała architektura itp.)</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F4428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CC5034">
              <w:rPr>
                <w:rFonts w:ascii="Calibri" w:hAnsi="Calibri" w:cs="Calibri"/>
                <w:color w:val="000000"/>
                <w:sz w:val="20"/>
                <w:szCs w:val="20"/>
              </w:rPr>
              <w:t xml:space="preserve">LOT </w:t>
            </w:r>
            <w:proofErr w:type="spellStart"/>
            <w:r w:rsidRPr="00CC5034">
              <w:rPr>
                <w:rFonts w:ascii="Calibri" w:hAnsi="Calibri" w:cs="Calibri"/>
                <w:color w:val="000000"/>
                <w:sz w:val="20"/>
                <w:szCs w:val="20"/>
              </w:rPr>
              <w:t>Gotania</w:t>
            </w:r>
            <w:proofErr w:type="spellEnd"/>
            <w:r w:rsidRPr="00CC5034">
              <w:rPr>
                <w:rFonts w:ascii="Calibri" w:hAnsi="Calibri" w:cs="Calibri"/>
                <w:color w:val="000000"/>
                <w:sz w:val="20"/>
                <w:szCs w:val="20"/>
              </w:rPr>
              <w:t xml:space="preserve">, </w:t>
            </w:r>
            <w:r w:rsidRPr="00F4428C">
              <w:rPr>
                <w:rFonts w:ascii="Calibri" w:hAnsi="Calibri" w:cs="Calibri"/>
                <w:color w:val="000000"/>
                <w:sz w:val="20"/>
                <w:szCs w:val="20"/>
              </w:rPr>
              <w:t>GOK, Hrubieszowski Dom Kultury, HOSIR, organizacje pozarządowe, przedsiębiorcy</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017AE7"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017AE7">
              <w:rPr>
                <w:rFonts w:ascii="Calibri" w:hAnsi="Calibri" w:cs="Calibri"/>
                <w:color w:val="000000"/>
                <w:sz w:val="20"/>
                <w:szCs w:val="20"/>
              </w:rPr>
              <w:t>Projekty w zakresie udostępniania na cele turystyczne obiektów dziedzictwa kulturowego i przyrodniczego (prace</w:t>
            </w:r>
            <w:r>
              <w:rPr>
                <w:rFonts w:ascii="Calibri" w:hAnsi="Calibri" w:cs="Calibri"/>
                <w:color w:val="000000"/>
                <w:sz w:val="20"/>
                <w:szCs w:val="20"/>
              </w:rPr>
              <w:t xml:space="preserve"> remontowe, lepsza informacja o </w:t>
            </w:r>
            <w:r w:rsidRPr="00017AE7">
              <w:rPr>
                <w:rFonts w:ascii="Calibri" w:hAnsi="Calibri" w:cs="Calibri"/>
                <w:color w:val="000000"/>
                <w:sz w:val="20"/>
                <w:szCs w:val="20"/>
              </w:rPr>
              <w:t xml:space="preserve">obiektach, włączenie ich do wspólnego systemu promowania </w:t>
            </w:r>
            <w:r>
              <w:rPr>
                <w:rFonts w:ascii="Calibri" w:hAnsi="Calibri" w:cs="Calibri"/>
                <w:color w:val="000000"/>
                <w:sz w:val="20"/>
                <w:szCs w:val="20"/>
              </w:rPr>
              <w:t>i </w:t>
            </w:r>
            <w:r w:rsidRPr="00017AE7">
              <w:rPr>
                <w:rFonts w:ascii="Calibri" w:hAnsi="Calibri" w:cs="Calibri"/>
                <w:color w:val="000000"/>
                <w:sz w:val="20"/>
                <w:szCs w:val="20"/>
              </w:rPr>
              <w:t>zarządzania itp.)</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F4428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F4428C">
              <w:rPr>
                <w:rFonts w:ascii="Calibri" w:hAnsi="Calibri" w:cs="Calibri"/>
                <w:color w:val="000000"/>
                <w:sz w:val="20"/>
                <w:szCs w:val="20"/>
              </w:rPr>
              <w:t>GOK, Hrubieszowski Dom Kultury, organizacje pozarządowe, przedsiębiorcy</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017AE7"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017AE7"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017AE7">
              <w:rPr>
                <w:rFonts w:ascii="Calibri" w:hAnsi="Calibri" w:cs="Calibri"/>
                <w:color w:val="000000"/>
                <w:sz w:val="20"/>
                <w:szCs w:val="20"/>
              </w:rPr>
              <w:t>Współpraca z sektorem komercyjnym w zakresie budowy/r</w:t>
            </w:r>
            <w:r>
              <w:rPr>
                <w:rFonts w:ascii="Calibri" w:hAnsi="Calibri" w:cs="Calibri"/>
                <w:color w:val="000000"/>
                <w:sz w:val="20"/>
                <w:szCs w:val="20"/>
              </w:rPr>
              <w:t>ozbudowy obiektów noclegowych i </w:t>
            </w:r>
            <w:r w:rsidRPr="00017AE7">
              <w:rPr>
                <w:rFonts w:ascii="Calibri" w:hAnsi="Calibri" w:cs="Calibri"/>
                <w:color w:val="000000"/>
                <w:sz w:val="20"/>
                <w:szCs w:val="20"/>
              </w:rPr>
              <w:t>gastronomicznych na potrzeby turystów</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Pr="00F4428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F4428C">
              <w:rPr>
                <w:rFonts w:ascii="Calibri" w:hAnsi="Calibri" w:cs="Calibri"/>
                <w:color w:val="000000"/>
                <w:sz w:val="20"/>
                <w:szCs w:val="20"/>
              </w:rPr>
              <w:t>Organizacje pozarządowe, przedsiębiorcy</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D9E6F6" w:themeFill="accent2" w:themeFillTint="33"/>
            <w:vAlign w:val="center"/>
          </w:tcPr>
          <w:p w:rsidR="007A2DBC" w:rsidRPr="00017AE7" w:rsidRDefault="007A2DBC" w:rsidP="003759BB">
            <w:pPr>
              <w:spacing w:before="0"/>
              <w:ind w:firstLine="0"/>
              <w:jc w:val="left"/>
              <w:rPr>
                <w:rFonts w:asciiTheme="minorHAnsi" w:hAnsiTheme="minorHAnsi" w:cstheme="minorHAnsi"/>
                <w:b w:val="0"/>
                <w:sz w:val="20"/>
                <w:szCs w:val="20"/>
              </w:rPr>
            </w:pPr>
            <w:r w:rsidRPr="00017AE7">
              <w:rPr>
                <w:rFonts w:asciiTheme="minorHAnsi" w:hAnsiTheme="minorHAnsi" w:cstheme="minorHAnsi"/>
                <w:b w:val="0"/>
                <w:sz w:val="20"/>
                <w:szCs w:val="20"/>
              </w:rPr>
              <w:t>Promocja, wdrażanie i dalszy rozwój zintegrowanej oferty/produktu turystycznego HOF</w:t>
            </w:r>
          </w:p>
        </w:tc>
        <w:tc>
          <w:tcPr>
            <w:tcW w:w="4536" w:type="dxa"/>
            <w:vAlign w:val="center"/>
          </w:tcPr>
          <w:p w:rsidR="007A2DBC" w:rsidRPr="00017AE7"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017AE7">
              <w:rPr>
                <w:rFonts w:ascii="Calibri" w:hAnsi="Calibri" w:cs="Calibri"/>
                <w:color w:val="000000"/>
                <w:sz w:val="20"/>
                <w:szCs w:val="20"/>
              </w:rPr>
              <w:t>Opracowanie szczegółowych zasad rozwoju i pakietowania wspólnych usług turystycznych w ramach zintegrowanego (sieciowego) produktu turystycznego</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F4428C">
              <w:rPr>
                <w:rFonts w:ascii="Calibri" w:hAnsi="Calibri" w:cs="Calibri"/>
                <w:color w:val="000000"/>
                <w:sz w:val="20"/>
                <w:szCs w:val="20"/>
              </w:rPr>
              <w:t>Przedsiębiorcy</w:t>
            </w:r>
            <w:r>
              <w:rPr>
                <w:rFonts w:ascii="Calibri" w:hAnsi="Calibri" w:cs="Calibri"/>
                <w:color w:val="000000"/>
                <w:sz w:val="20"/>
                <w:szCs w:val="20"/>
              </w:rPr>
              <w:t xml:space="preserve">, </w:t>
            </w:r>
            <w:r w:rsidRPr="002D0DA3">
              <w:rPr>
                <w:rFonts w:ascii="Calibri" w:hAnsi="Calibri" w:cs="Calibri"/>
                <w:color w:val="000000"/>
                <w:sz w:val="20"/>
                <w:szCs w:val="20"/>
              </w:rPr>
              <w:t>Gmina Miejska Hrubieszów, Gmina Hrubieszów</w:t>
            </w:r>
          </w:p>
        </w:tc>
        <w:tc>
          <w:tcPr>
            <w:tcW w:w="2550" w:type="dxa"/>
            <w:vAlign w:val="center"/>
          </w:tcPr>
          <w:p w:rsidR="007A2DBC" w:rsidRPr="00F4428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F4428C">
              <w:rPr>
                <w:rFonts w:ascii="Calibri" w:hAnsi="Calibri" w:cs="Calibri"/>
                <w:color w:val="000000"/>
                <w:sz w:val="20"/>
                <w:szCs w:val="20"/>
              </w:rPr>
              <w:t>GOK, Hrubieszowski Dom Kultury, Biblioteka Publiczna, HOSIR, organizacje pozarządowe, przedsiębiorcy</w:t>
            </w:r>
            <w:r>
              <w:rPr>
                <w:rFonts w:ascii="Calibri" w:hAnsi="Calibri" w:cs="Calibri"/>
                <w:color w:val="000000"/>
                <w:sz w:val="20"/>
                <w:szCs w:val="20"/>
              </w:rPr>
              <w:t xml:space="preserve">, </w:t>
            </w:r>
            <w:r>
              <w:rPr>
                <w:sz w:val="20"/>
                <w:szCs w:val="20"/>
              </w:rPr>
              <w:t xml:space="preserve">LOT </w:t>
            </w:r>
            <w:proofErr w:type="spellStart"/>
            <w:r w:rsidRPr="00CC5034">
              <w:rPr>
                <w:sz w:val="20"/>
                <w:szCs w:val="20"/>
              </w:rPr>
              <w:t>Gotania</w:t>
            </w:r>
            <w:proofErr w:type="spellEnd"/>
            <w:r>
              <w:rPr>
                <w:sz w:val="20"/>
                <w:szCs w:val="20"/>
              </w:rPr>
              <w:t>,</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CC503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CC5034">
              <w:rPr>
                <w:rFonts w:ascii="Calibri" w:hAnsi="Calibri" w:cs="Calibri"/>
                <w:color w:val="000000"/>
                <w:sz w:val="20"/>
                <w:szCs w:val="20"/>
              </w:rPr>
              <w:t xml:space="preserve">Zbudowanie wspólnych struktur do świadczenia i zarządzania systemem usług w ramach zintegrowanych produktów turystycznych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F4428C">
              <w:rPr>
                <w:rFonts w:ascii="Calibri" w:hAnsi="Calibri" w:cs="Calibri"/>
                <w:color w:val="000000"/>
                <w:sz w:val="20"/>
                <w:szCs w:val="20"/>
              </w:rPr>
              <w:t>Przedsiębiorcy</w:t>
            </w:r>
            <w:r>
              <w:rPr>
                <w:rFonts w:ascii="Calibri" w:hAnsi="Calibri" w:cs="Calibri"/>
                <w:color w:val="000000"/>
                <w:sz w:val="20"/>
                <w:szCs w:val="20"/>
              </w:rPr>
              <w:t xml:space="preserve">, </w:t>
            </w:r>
            <w:r w:rsidRPr="002D0DA3">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94592">
              <w:rPr>
                <w:sz w:val="20"/>
                <w:szCs w:val="20"/>
              </w:rPr>
              <w:t>GOK, Hrubieszowski Dom Kultury, Biblioteka Publiczna,</w:t>
            </w:r>
            <w:r>
              <w:rPr>
                <w:sz w:val="20"/>
                <w:szCs w:val="20"/>
              </w:rPr>
              <w:t xml:space="preserve"> HOSIR,</w:t>
            </w:r>
            <w:r w:rsidRPr="00794592">
              <w:rPr>
                <w:sz w:val="20"/>
                <w:szCs w:val="20"/>
              </w:rPr>
              <w:t xml:space="preserve"> </w:t>
            </w:r>
            <w:r>
              <w:rPr>
                <w:sz w:val="20"/>
                <w:szCs w:val="20"/>
              </w:rPr>
              <w:t xml:space="preserve">organizacje pozarządowe, przedsiębiorcy, LOT </w:t>
            </w:r>
            <w:proofErr w:type="spellStart"/>
            <w:r w:rsidRPr="00CC5034">
              <w:rPr>
                <w:sz w:val="20"/>
                <w:szCs w:val="20"/>
              </w:rPr>
              <w:t>Gotania</w:t>
            </w:r>
            <w:proofErr w:type="spellEnd"/>
            <w:r>
              <w:rPr>
                <w:sz w:val="20"/>
                <w:szCs w:val="20"/>
              </w:rPr>
              <w:t>,</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CC503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CC5034">
              <w:rPr>
                <w:rFonts w:ascii="Calibri" w:hAnsi="Calibri" w:cs="Calibri"/>
                <w:color w:val="000000"/>
                <w:sz w:val="20"/>
                <w:szCs w:val="20"/>
              </w:rPr>
              <w:t xml:space="preserve">Opracowanie i wdrożenie kompleksowego programu szkolenia kadr i monitorowania </w:t>
            </w:r>
            <w:proofErr w:type="gramStart"/>
            <w:r w:rsidRPr="00CC5034">
              <w:rPr>
                <w:rFonts w:ascii="Calibri" w:hAnsi="Calibri" w:cs="Calibri"/>
                <w:color w:val="000000"/>
                <w:sz w:val="20"/>
                <w:szCs w:val="20"/>
              </w:rPr>
              <w:t>standardów jakości</w:t>
            </w:r>
            <w:proofErr w:type="gramEnd"/>
            <w:r w:rsidRPr="00CC5034">
              <w:rPr>
                <w:rFonts w:ascii="Calibri" w:hAnsi="Calibri" w:cs="Calibri"/>
                <w:color w:val="000000"/>
                <w:sz w:val="20"/>
                <w:szCs w:val="20"/>
              </w:rPr>
              <w:t xml:space="preserve"> świadczonych usług w ramach rozwijanych produktów turystycznych</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94592">
              <w:rPr>
                <w:sz w:val="20"/>
                <w:szCs w:val="20"/>
              </w:rPr>
              <w:t>GOK, Hrubieszowski Dom Kultury</w:t>
            </w:r>
            <w:r>
              <w:rPr>
                <w:sz w:val="20"/>
                <w:szCs w:val="20"/>
              </w:rPr>
              <w:t xml:space="preserve">, organizacje pozarządowe, przedsiębiorcy, LOT </w:t>
            </w:r>
            <w:proofErr w:type="spellStart"/>
            <w:r w:rsidRPr="00CC5034">
              <w:rPr>
                <w:sz w:val="20"/>
                <w:szCs w:val="20"/>
              </w:rPr>
              <w:t>Gotania</w:t>
            </w:r>
            <w:proofErr w:type="spellEnd"/>
            <w:r>
              <w:rPr>
                <w:sz w:val="20"/>
                <w:szCs w:val="20"/>
              </w:rPr>
              <w:t>,</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CC503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CC5034">
              <w:rPr>
                <w:rFonts w:ascii="Calibri" w:hAnsi="Calibri" w:cs="Calibri"/>
                <w:color w:val="000000"/>
                <w:sz w:val="20"/>
                <w:szCs w:val="20"/>
              </w:rPr>
              <w:t>Przygotowanie kampanii promującej zintegrowaną ofertę turystyczną miasta i gminy wraz z zestawem materiałów i narzędzi do promocji</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94592">
              <w:rPr>
                <w:sz w:val="20"/>
                <w:szCs w:val="20"/>
              </w:rPr>
              <w:t>GOK, Hrubieszowski Dom Kultury</w:t>
            </w:r>
            <w:r>
              <w:rPr>
                <w:sz w:val="20"/>
                <w:szCs w:val="20"/>
              </w:rPr>
              <w:t xml:space="preserve">, HOSIR, organizacje pozarządowe, przedsiębiorcy, LOT </w:t>
            </w:r>
            <w:proofErr w:type="spellStart"/>
            <w:r w:rsidRPr="00CC5034">
              <w:rPr>
                <w:sz w:val="20"/>
                <w:szCs w:val="20"/>
              </w:rPr>
              <w:t>Gotania</w:t>
            </w:r>
            <w:proofErr w:type="spellEnd"/>
            <w:r>
              <w:rPr>
                <w:sz w:val="20"/>
                <w:szCs w:val="20"/>
              </w:rPr>
              <w:t>,</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017AE7"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017AE7">
              <w:rPr>
                <w:rFonts w:ascii="Calibri" w:hAnsi="Calibri" w:cs="Calibri"/>
                <w:color w:val="000000"/>
                <w:sz w:val="20"/>
                <w:szCs w:val="20"/>
              </w:rPr>
              <w:t>Współpraca z szerokim gronem interesariuszy (w tym z innymi gminami) w zakresie rozszerzenia produktu turystycznego o nowe obszary i usługi</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94592">
              <w:rPr>
                <w:sz w:val="20"/>
                <w:szCs w:val="20"/>
              </w:rPr>
              <w:t>GOK, Hrubieszowski Dom Kultury</w:t>
            </w:r>
            <w:r>
              <w:rPr>
                <w:sz w:val="20"/>
                <w:szCs w:val="20"/>
              </w:rPr>
              <w:t>, organizacje pozarządowe, przedsiębiorcy, inne samorządy</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4A09A4" w:rsidRPr="00061671" w:rsidRDefault="004A09A4" w:rsidP="004A09A4">
      <w:pPr>
        <w:rPr>
          <w:rFonts w:cstheme="minorHAnsi"/>
          <w:b/>
        </w:rPr>
      </w:pPr>
      <w:r w:rsidRPr="00061671">
        <w:rPr>
          <w:rFonts w:cstheme="minorHAnsi"/>
          <w:b/>
        </w:rPr>
        <w:lastRenderedPageBreak/>
        <w:t xml:space="preserve">Cel operacyjny 3.5 </w:t>
      </w:r>
      <w:r w:rsidRPr="00061671">
        <w:rPr>
          <w:b/>
          <w:szCs w:val="18"/>
        </w:rPr>
        <w:t>Wzmocnienie zintegrowanego potencjału gospodarczego HOF</w:t>
      </w:r>
    </w:p>
    <w:p w:rsidR="004A09A4" w:rsidRPr="00061671" w:rsidRDefault="004A09A4" w:rsidP="004A09A4">
      <w:pPr>
        <w:spacing w:after="0"/>
      </w:pPr>
      <w:r w:rsidRPr="00061671">
        <w:t>Cel polityki: CP1 – Bardziej konkurencyjna i inteligentna Europa dzięki wspieraniu innowacyjnej i inteligentnej transformacji gospodarczej oraz regionalnej łączności cyfrowej</w:t>
      </w:r>
      <w:r w:rsidR="00064032" w:rsidRPr="00061671">
        <w:t>.</w:t>
      </w:r>
    </w:p>
    <w:p w:rsidR="00453816" w:rsidRPr="00061671" w:rsidRDefault="00453816" w:rsidP="00453816">
      <w:pPr>
        <w:spacing w:before="0" w:after="0"/>
      </w:pPr>
      <w:r w:rsidRPr="00061671">
        <w:t>CP 5 – Europa bliższa obywatelom dzięki wspieraniu zrównoważonego i zintegrowanego rozwoju wszystkich rodzajów terytoriów i inicjatyw lokalnych</w:t>
      </w:r>
      <w:r w:rsidR="00064032" w:rsidRPr="00061671">
        <w:t>.</w:t>
      </w:r>
    </w:p>
    <w:p w:rsidR="00453816" w:rsidRPr="00061671" w:rsidRDefault="00453816" w:rsidP="00453816">
      <w:pPr>
        <w:spacing w:before="0"/>
      </w:pPr>
      <w:r w:rsidRPr="00061671">
        <w:t>EFRR.CP5.I - Wspieranie zintegrowanego i sprzyjającego włączeniu społecznemu rozwoju społecznego, gospodarczego i środowiskowego, kultury, dziedzictwa naturalnego, zrównoważonej turystyki i bezpieczeństwa na obszarach miejskich.</w:t>
      </w:r>
    </w:p>
    <w:p w:rsidR="004A09A4" w:rsidRPr="00061671" w:rsidRDefault="004A09A4" w:rsidP="004A09A4">
      <w:r w:rsidRPr="00061671">
        <w:t>Cel realizuje wymiar gospodarczy</w:t>
      </w:r>
      <w:r w:rsidR="009C532E" w:rsidRPr="00061671">
        <w:t>.</w:t>
      </w:r>
    </w:p>
    <w:p w:rsidR="004A09A4" w:rsidRPr="00061671" w:rsidRDefault="004A09A4" w:rsidP="004A09A4">
      <w:r w:rsidRPr="00061671">
        <w:t xml:space="preserve">Opis celu: </w:t>
      </w:r>
      <w:r w:rsidR="00FC18B4" w:rsidRPr="00061671">
        <w:t>Kondycja lokalnej gospodarki odgrywa istotną rolę w procesie rozwoju społeczno-ekonomicznego. Rozwój przedsiębiorczości pozarolniczej jest niezwykle ważny, zarówno na obszarach wiejskich jak i miejskich. Prowadzi do tworzenia miejsc pracy poza rolnictwem i do dywersyfikacji źródeł utrzymania ludności. Liczba zarejestrowanych podmiotów gospodarczych odzwierciedla poziom rozwoju przedsiębiorczości obszaru i w dużej mierze wpływa na kształtowanie się lokalnego rynku pracy.</w:t>
      </w:r>
      <w:r w:rsidR="00D80528" w:rsidRPr="00061671">
        <w:t xml:space="preserve"> Zabiegiem, który najlepiej stymuluje rozwój społeczno-gospodarczy jest pobudzenie przedsiębiorczości poprzez tworzenie sprzyjających warunków funkcjonowania przedsiębiorstw (głównie dogodne warunki ekonomiczne oraz odpowiednia polityka, aktywna postawa władz lokalnych). Ze względu na rolniczy charakter HOF na potencjał gospodarczy wpływa również rolniczy sektor gospodarki.</w:t>
      </w:r>
      <w:r w:rsidR="00367069" w:rsidRPr="00061671">
        <w:t xml:space="preserve"> Wzmacnianie pozycji gospodarczej HOF w przyszłości może zagwarantować skuteczne rozwiązywanie problemów społecznych oraz zapewnić stabilizację dla finansów publicznych. Jest to uwarunkowane inwestycjami gminnymi i prywatnymi (m.in. nowe tereny inwestycyjne, rozwój oferty turystyczno-rekreacyjnej). Trudnością związaną z rozwojem gospodarczym może być brak terenów inwestycyjnych lub ich słabe wyposażenie (brak mediów), czy lokalizacja. Należy dążyć do planowania stref dla rozwoju gospodarczego na terenie HOF.</w:t>
      </w:r>
    </w:p>
    <w:p w:rsidR="00FC18B4" w:rsidRPr="00061671" w:rsidRDefault="00FC18B4" w:rsidP="004A09A4">
      <w:r w:rsidRPr="00061671">
        <w:t xml:space="preserve">Według stanu na koniec 2020 roku na terenie HOF zarejestrowanych w systemie REGON było 2 665 podmiotów gospodarczych, z czego 2069 na obszarze Gminy Miejskiej (77,64%). 94,45% </w:t>
      </w:r>
      <w:proofErr w:type="gramStart"/>
      <w:r w:rsidRPr="00061671">
        <w:t>wszystkich</w:t>
      </w:r>
      <w:proofErr w:type="gramEnd"/>
      <w:r w:rsidRPr="00061671">
        <w:t xml:space="preserve"> podmiotów stanowiły podmioty prywatne (2517). </w:t>
      </w:r>
      <w:r w:rsidR="004D7950" w:rsidRPr="00061671">
        <w:rPr>
          <w:rFonts w:cstheme="minorHAnsi"/>
        </w:rPr>
        <w:t>Na przestrzeni 7 lat (lata 2014 – 2019) zostało zarejestrowanych ponad 1 300 nowych podmiotów (191 podmiotów średnio na rok), co wskazuje na dość dużą aktywność mieszkańców w zakładaniu nowych</w:t>
      </w:r>
      <w:r w:rsidR="004D7950" w:rsidRPr="00061671">
        <w:rPr>
          <w:rFonts w:ascii="Calibri" w:hAnsi="Calibri" w:cs="Calibri"/>
        </w:rPr>
        <w:t xml:space="preserve"> </w:t>
      </w:r>
      <w:r w:rsidR="004D7950" w:rsidRPr="00061671">
        <w:rPr>
          <w:rFonts w:cstheme="minorHAnsi"/>
        </w:rPr>
        <w:t xml:space="preserve">podmiotów gospodarczych. </w:t>
      </w:r>
      <w:r w:rsidRPr="00061671">
        <w:t>Brak wyraźnego wzrostu liczby działających przedsiębiorstw można tłumaczyć dość wysoką dynamiką wyrejestrowywania podmiotów z systemu REGON (średnio 146 podmiotów rocznie). Przy czym ocenia się, że nieco ponad 60% nowo rejestrowanych firm nie przeżywa więcej niż rok, co może świadczyć o dość trudnych warunkach prowadzenia biznesu, będących w dużym stopniu pochodną wielu czynników (duża konkurencja, ograniczona chłonność rynku lokalnego, słabość lokalnych instytucji wspierających przedsiębiorców itp</w:t>
      </w:r>
      <w:proofErr w:type="gramStart"/>
      <w:r w:rsidRPr="00061671">
        <w:t>.). W</w:t>
      </w:r>
      <w:proofErr w:type="gramEnd"/>
      <w:r w:rsidRPr="00061671">
        <w:t xml:space="preserve"> strukturze wielkościowej przedsiębiorstw wyraźnie dominują mikroprzedsiębiorstwa zatrudniające do 9 pracowników</w:t>
      </w:r>
      <w:r w:rsidR="00A06DE8" w:rsidRPr="00061671">
        <w:t xml:space="preserve"> -</w:t>
      </w:r>
      <w:r w:rsidRPr="00061671">
        <w:t xml:space="preserve"> 96,81% wszystkich przedsiębiorstw, z czego 77,56% </w:t>
      </w:r>
      <w:r w:rsidR="00A06DE8" w:rsidRPr="00061671">
        <w:t>prowadzi działalność w Gminie</w:t>
      </w:r>
      <w:r w:rsidRPr="00061671">
        <w:t xml:space="preserve"> Miejskiej Hrubieszów.</w:t>
      </w:r>
    </w:p>
    <w:p w:rsidR="00A06DE8" w:rsidRPr="00061671" w:rsidRDefault="00A06DE8" w:rsidP="00A06DE8">
      <w:r w:rsidRPr="00061671">
        <w:lastRenderedPageBreak/>
        <w:t>Sektor rolniczy reprezentuje w HOF 1788 gospodarstw rolnych, w tym 99,5% gospodarstw indywidualnych(</w:t>
      </w:r>
      <w:proofErr w:type="spellStart"/>
      <w:r w:rsidRPr="00061671">
        <w:t>Powszechney</w:t>
      </w:r>
      <w:proofErr w:type="spellEnd"/>
      <w:r w:rsidRPr="00061671">
        <w:t xml:space="preserve"> Spis Rolny, 2020 rok). Głównie są to</w:t>
      </w:r>
      <w:r w:rsidR="00367069" w:rsidRPr="00061671">
        <w:t xml:space="preserve"> gospodarstwa o powierzchni od 1 do 5 ha (38% gospodarstw) oraz o powierzchni od 5 do 10 ha (27% gospodarstw). Ze względu na bardzo </w:t>
      </w:r>
      <w:proofErr w:type="gramStart"/>
      <w:r w:rsidR="00367069" w:rsidRPr="00061671">
        <w:t>dobrą jakość</w:t>
      </w:r>
      <w:proofErr w:type="gramEnd"/>
      <w:r w:rsidR="00367069" w:rsidRPr="00061671">
        <w:t xml:space="preserve"> </w:t>
      </w:r>
      <w:r w:rsidR="004D7950" w:rsidRPr="00061671">
        <w:t>gleb oraz brak</w:t>
      </w:r>
      <w:r w:rsidR="00367069" w:rsidRPr="00061671">
        <w:t xml:space="preserve"> rozwin</w:t>
      </w:r>
      <w:r w:rsidRPr="00061671">
        <w:t xml:space="preserve">iętej działalności przemysłowej, </w:t>
      </w:r>
      <w:r w:rsidR="00367069" w:rsidRPr="00061671">
        <w:t>rolnictwo stanowi najważniejszy dział gospodarki i główne źródło dochodów.</w:t>
      </w:r>
    </w:p>
    <w:p w:rsidR="00A06DE8" w:rsidRPr="00061671" w:rsidRDefault="004D7950" w:rsidP="00A06DE8">
      <w:pPr>
        <w:rPr>
          <w:rFonts w:cstheme="minorHAnsi"/>
        </w:rPr>
      </w:pPr>
      <w:r w:rsidRPr="00061671">
        <w:rPr>
          <w:rFonts w:cstheme="minorHAnsi"/>
        </w:rPr>
        <w:t xml:space="preserve">Bardzo dobre warunki glebowe oraz wysokie usłonecznienie to potencjał Hrubieszowskiego Obszaru Funkcjonalnego wskazany również w SRWL do rozwoju rolnictwa w ramach Żywicielskiego Obszaru Strategicznej Interwencji. Hrubieszowski Obszar Funkcjonalny posiada duże powierzchnie obszarów o </w:t>
      </w:r>
      <w:proofErr w:type="gramStart"/>
      <w:r w:rsidRPr="00061671">
        <w:rPr>
          <w:rFonts w:cstheme="minorHAnsi"/>
        </w:rPr>
        <w:t>wysokiej jakości</w:t>
      </w:r>
      <w:proofErr w:type="gramEnd"/>
      <w:r w:rsidRPr="00061671">
        <w:rPr>
          <w:rFonts w:cstheme="minorHAnsi"/>
        </w:rPr>
        <w:t xml:space="preserve"> rolniczej przestrzeni produkcyjnej. </w:t>
      </w:r>
      <w:r w:rsidR="00A06DE8" w:rsidRPr="00061671">
        <w:rPr>
          <w:rFonts w:cstheme="minorHAnsi"/>
        </w:rPr>
        <w:t xml:space="preserve">Jednak brak unowocześnienia i ograniczoność sektora przetwórstwa spożywczego wpływa na niską wartość </w:t>
      </w:r>
      <w:proofErr w:type="gramStart"/>
      <w:r w:rsidR="00A06DE8" w:rsidRPr="00061671">
        <w:rPr>
          <w:rFonts w:cstheme="minorHAnsi"/>
        </w:rPr>
        <w:t>dodaną  i</w:t>
      </w:r>
      <w:proofErr w:type="gramEnd"/>
      <w:r w:rsidR="00A06DE8" w:rsidRPr="00061671">
        <w:rPr>
          <w:rFonts w:cstheme="minorHAnsi"/>
        </w:rPr>
        <w:t xml:space="preserve"> niski stopień przetworzenia produktów rolnych z </w:t>
      </w:r>
      <w:proofErr w:type="spellStart"/>
      <w:r w:rsidR="00A06DE8" w:rsidRPr="00061671">
        <w:rPr>
          <w:rFonts w:cstheme="minorHAnsi"/>
        </w:rPr>
        <w:t>obszrau</w:t>
      </w:r>
      <w:proofErr w:type="spellEnd"/>
      <w:r w:rsidR="00A06DE8" w:rsidRPr="00061671">
        <w:rPr>
          <w:rFonts w:cstheme="minorHAnsi"/>
        </w:rPr>
        <w:t xml:space="preserve"> funkcjonalnego . Jest to cecha charakterystyczna dla wszystkich gmin zlokalizowanych w Żywicielskim Obszarze Strategicznej Interwencji Województwa Lubelskiego.</w:t>
      </w:r>
    </w:p>
    <w:p w:rsidR="00885DD5" w:rsidRPr="00061671" w:rsidRDefault="007513EF" w:rsidP="007513EF">
      <w:pPr>
        <w:rPr>
          <w:rFonts w:cstheme="minorHAnsi"/>
          <w:color w:val="000000"/>
        </w:rPr>
      </w:pPr>
      <w:r w:rsidRPr="00061671">
        <w:t>Zakres tematyczny działań zmierzających do realizacji cel</w:t>
      </w:r>
      <w:r w:rsidR="00D80528" w:rsidRPr="00061671">
        <w:t>u zakłada</w:t>
      </w:r>
      <w:r w:rsidRPr="00061671">
        <w:t xml:space="preserve"> </w:t>
      </w:r>
      <w:r w:rsidR="00885DD5" w:rsidRPr="00061671">
        <w:t>wspieranie zintegrowanego i sprzyjającego włączeniu społecznemu rozwoju gospodarczego obszaru HOF.</w:t>
      </w:r>
      <w:r w:rsidR="00F57977" w:rsidRPr="00061671">
        <w:t xml:space="preserve"> </w:t>
      </w:r>
      <w:r w:rsidR="00F57977" w:rsidRPr="00061671">
        <w:rPr>
          <w:rFonts w:cstheme="minorHAnsi"/>
        </w:rPr>
        <w:t xml:space="preserve">Realizacja celu zakłada objęcie efektami całego obszaru HOF. </w:t>
      </w:r>
      <w:r w:rsidR="00F57977" w:rsidRPr="00061671">
        <w:t xml:space="preserve">Głównymi odbiorcami interwencji są mieszkańcy Gminy Hrubieszów oraz Miasta Hrubieszów stanowiącego rdzeń obszaru funkcjonalnego. </w:t>
      </w:r>
      <w:r w:rsidRPr="00061671">
        <w:t xml:space="preserve">Beneficjentami końcowymi działań realizujących zamierzenia celu </w:t>
      </w:r>
      <w:r w:rsidR="00885DD5" w:rsidRPr="00061671">
        <w:t xml:space="preserve">są wszyscy mieszkańcy HOF, w szczególności przedsiębiorcy i rolnicy. Beneficjentami są również przedsiębiorcy z poza obszaru HOF, którzy mogą być zainteresowani ofertą terenów inwestycyjnych. </w:t>
      </w:r>
      <w:r w:rsidRPr="00061671">
        <w:t xml:space="preserve">Za realizację celu odpowiedzialne są Gmina Miejska Hrubieszów, Gmina Hrubieszów. </w:t>
      </w:r>
      <w:r w:rsidRPr="00061671">
        <w:rPr>
          <w:rFonts w:cstheme="minorHAnsi"/>
          <w:color w:val="000000"/>
        </w:rPr>
        <w:t xml:space="preserve">Potencjalne podmioty biorące udział w realizacji celu, to </w:t>
      </w:r>
      <w:r w:rsidR="00885DD5" w:rsidRPr="00061671">
        <w:rPr>
          <w:rFonts w:cstheme="minorHAnsi"/>
          <w:color w:val="000000"/>
        </w:rPr>
        <w:t xml:space="preserve">przedsiębiorcy, instytucje otoczenia biznesu, organizacje pozarządowe, </w:t>
      </w:r>
      <w:proofErr w:type="spellStart"/>
      <w:r w:rsidR="00885DD5" w:rsidRPr="00061671">
        <w:rPr>
          <w:rFonts w:cstheme="minorHAnsi"/>
          <w:color w:val="000000"/>
        </w:rPr>
        <w:t>KCEiWG</w:t>
      </w:r>
      <w:proofErr w:type="spellEnd"/>
      <w:r w:rsidR="00885DD5" w:rsidRPr="00061671">
        <w:rPr>
          <w:rFonts w:cstheme="minorHAnsi"/>
          <w:color w:val="000000"/>
        </w:rPr>
        <w:t xml:space="preserve">, </w:t>
      </w:r>
      <w:r w:rsidR="00885DD5" w:rsidRPr="00061671">
        <w:t xml:space="preserve">jednostki sektora finansów publicznych, instytucje finansowe, rolnicy, </w:t>
      </w:r>
      <w:r w:rsidR="00885DD5" w:rsidRPr="00061671">
        <w:rPr>
          <w:rFonts w:ascii="Calibri" w:hAnsi="Calibri" w:cs="Calibri"/>
          <w:color w:val="000000"/>
        </w:rPr>
        <w:t>mieszkańcy - osoby fizyczne.</w:t>
      </w:r>
    </w:p>
    <w:p w:rsidR="007513EF" w:rsidRPr="00061671" w:rsidRDefault="007513EF" w:rsidP="007513EF">
      <w:r w:rsidRPr="00061671">
        <w:t>Propozycje projektów, które będą przyczyniały się do realizowania celu opisanego powyżej stanowią kierunki działań zaprezentowane w tabeli poniżej.</w:t>
      </w:r>
    </w:p>
    <w:tbl>
      <w:tblPr>
        <w:tblStyle w:val="Jasnasiatkaakcent23"/>
        <w:tblW w:w="14142" w:type="dxa"/>
        <w:tblLook w:val="04A0" w:firstRow="1" w:lastRow="0" w:firstColumn="1" w:lastColumn="0" w:noHBand="0" w:noVBand="1"/>
      </w:tblPr>
      <w:tblGrid>
        <w:gridCol w:w="2802"/>
        <w:gridCol w:w="4536"/>
        <w:gridCol w:w="2835"/>
        <w:gridCol w:w="2409"/>
        <w:gridCol w:w="1560"/>
      </w:tblGrid>
      <w:tr w:rsidR="00AF21FD" w:rsidTr="00884B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AF21FD" w:rsidRPr="003F543C" w:rsidRDefault="00AF21FD" w:rsidP="00884BE2">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AF21FD" w:rsidRPr="003F543C" w:rsidRDefault="00AF21FD" w:rsidP="00884BE2">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AF21FD" w:rsidRPr="003F543C" w:rsidRDefault="00AF21FD" w:rsidP="00884BE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AF21FD" w:rsidRPr="003F543C" w:rsidRDefault="00AF21FD" w:rsidP="00884BE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560" w:type="dxa"/>
          </w:tcPr>
          <w:p w:rsidR="00AF21FD" w:rsidRPr="003F543C" w:rsidRDefault="00AF21FD" w:rsidP="00884BE2">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AF21FD" w:rsidTr="00885D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AF21FD" w:rsidRPr="00BE2A80" w:rsidRDefault="00AF21FD" w:rsidP="00885DD5">
            <w:pPr>
              <w:ind w:firstLine="0"/>
              <w:jc w:val="left"/>
              <w:rPr>
                <w:rFonts w:asciiTheme="minorHAnsi" w:hAnsiTheme="minorHAnsi" w:cstheme="minorHAnsi"/>
                <w:b w:val="0"/>
                <w:color w:val="000000"/>
                <w:sz w:val="20"/>
                <w:szCs w:val="20"/>
              </w:rPr>
            </w:pPr>
            <w:r w:rsidRPr="006B5753">
              <w:rPr>
                <w:rFonts w:asciiTheme="minorHAnsi" w:hAnsiTheme="minorHAnsi" w:cstheme="minorHAnsi"/>
                <w:b w:val="0"/>
                <w:color w:val="000000"/>
                <w:sz w:val="20"/>
                <w:szCs w:val="20"/>
              </w:rPr>
              <w:t>Wspieranie zintegrowanego i sprzyjającego włączeniu społecznemu</w:t>
            </w:r>
            <w:r>
              <w:rPr>
                <w:rFonts w:asciiTheme="minorHAnsi" w:hAnsiTheme="minorHAnsi" w:cstheme="minorHAnsi"/>
                <w:b w:val="0"/>
                <w:color w:val="000000"/>
                <w:sz w:val="20"/>
                <w:szCs w:val="20"/>
              </w:rPr>
              <w:t xml:space="preserve"> </w:t>
            </w:r>
            <w:r w:rsidRPr="006B5753">
              <w:rPr>
                <w:rFonts w:asciiTheme="minorHAnsi" w:hAnsiTheme="minorHAnsi" w:cstheme="minorHAnsi"/>
                <w:b w:val="0"/>
                <w:color w:val="000000"/>
                <w:sz w:val="20"/>
                <w:szCs w:val="20"/>
              </w:rPr>
              <w:t>rozwo</w:t>
            </w:r>
            <w:r>
              <w:rPr>
                <w:rFonts w:asciiTheme="minorHAnsi" w:hAnsiTheme="minorHAnsi" w:cstheme="minorHAnsi"/>
                <w:b w:val="0"/>
                <w:color w:val="000000"/>
                <w:sz w:val="20"/>
                <w:szCs w:val="20"/>
              </w:rPr>
              <w:t>ju</w:t>
            </w:r>
            <w:r w:rsidRPr="006B5753">
              <w:rPr>
                <w:rFonts w:asciiTheme="minorHAnsi" w:hAnsiTheme="minorHAnsi" w:cstheme="minorHAnsi"/>
                <w:b w:val="0"/>
                <w:color w:val="000000"/>
                <w:sz w:val="20"/>
                <w:szCs w:val="20"/>
              </w:rPr>
              <w:t xml:space="preserve"> gospodarczego</w:t>
            </w:r>
          </w:p>
        </w:tc>
        <w:tc>
          <w:tcPr>
            <w:tcW w:w="4536" w:type="dxa"/>
          </w:tcPr>
          <w:p w:rsidR="00AF21FD" w:rsidRPr="009D5766" w:rsidRDefault="00AF21FD" w:rsidP="00884BE2">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53816">
              <w:rPr>
                <w:rFonts w:ascii="Calibri" w:hAnsi="Calibri" w:cs="Calibri"/>
                <w:color w:val="000000"/>
                <w:sz w:val="20"/>
                <w:szCs w:val="20"/>
              </w:rPr>
              <w:t>Przedsięwzięcia związane z zapewnieniem dla przedsiębiorców odpowiednio przygotowanych i uzbrojonych terenów inwestycyjnych oraz zaplecza lokalowego na potrzeby działalności produkcyjnej i usługowej</w:t>
            </w:r>
          </w:p>
        </w:tc>
        <w:tc>
          <w:tcPr>
            <w:tcW w:w="2835" w:type="dxa"/>
            <w:vAlign w:val="center"/>
          </w:tcPr>
          <w:p w:rsidR="00AF21FD" w:rsidRDefault="00AF21FD" w:rsidP="00884BE2">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409" w:type="dxa"/>
            <w:vAlign w:val="center"/>
          </w:tcPr>
          <w:p w:rsidR="00AF21FD" w:rsidRPr="009E62A0" w:rsidRDefault="00AF21FD" w:rsidP="00884BE2">
            <w:pPr>
              <w:spacing w:before="0"/>
              <w:ind w:firstLine="0"/>
              <w:jc w:val="center"/>
              <w:cnfStyle w:val="000000100000" w:firstRow="0" w:lastRow="0" w:firstColumn="0" w:lastColumn="0" w:oddVBand="0" w:evenVBand="0" w:oddHBand="1" w:evenHBand="0" w:firstRowFirstColumn="0" w:firstRowLastColumn="0" w:lastRowFirstColumn="0" w:lastRowLastColumn="0"/>
            </w:pPr>
            <w:r w:rsidRPr="009E62A0">
              <w:t>-</w:t>
            </w:r>
          </w:p>
        </w:tc>
        <w:tc>
          <w:tcPr>
            <w:tcW w:w="1560" w:type="dxa"/>
            <w:vAlign w:val="center"/>
          </w:tcPr>
          <w:p w:rsidR="00AF21FD" w:rsidRDefault="00AF21FD" w:rsidP="00884BE2">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AF21FD" w:rsidTr="00AF21F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AF21FD" w:rsidRPr="00BE2A80" w:rsidRDefault="00AF21FD" w:rsidP="00884BE2">
            <w:pPr>
              <w:ind w:firstLine="0"/>
              <w:jc w:val="left"/>
              <w:rPr>
                <w:rFonts w:asciiTheme="minorHAnsi" w:hAnsiTheme="minorHAnsi" w:cstheme="minorHAnsi"/>
                <w:b w:val="0"/>
                <w:color w:val="000000"/>
                <w:sz w:val="20"/>
                <w:szCs w:val="20"/>
              </w:rPr>
            </w:pPr>
          </w:p>
        </w:tc>
        <w:tc>
          <w:tcPr>
            <w:tcW w:w="4536" w:type="dxa"/>
            <w:vAlign w:val="center"/>
          </w:tcPr>
          <w:p w:rsidR="00AF21FD" w:rsidRPr="009D5766" w:rsidRDefault="00AF21FD" w:rsidP="00AF21FD">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878A6">
              <w:rPr>
                <w:rFonts w:ascii="Calibri" w:hAnsi="Calibri" w:cs="Calibri"/>
                <w:color w:val="000000"/>
                <w:sz w:val="20"/>
                <w:szCs w:val="20"/>
              </w:rPr>
              <w:t>Przedsięwzięcia i inicjatywy na rzecz integracji lokalnego biznesu</w:t>
            </w:r>
          </w:p>
        </w:tc>
        <w:tc>
          <w:tcPr>
            <w:tcW w:w="2835" w:type="dxa"/>
            <w:vAlign w:val="center"/>
          </w:tcPr>
          <w:p w:rsidR="00AF21FD" w:rsidRDefault="00AF21FD" w:rsidP="00884BE2">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409" w:type="dxa"/>
            <w:vAlign w:val="center"/>
          </w:tcPr>
          <w:p w:rsidR="00AF21FD" w:rsidRPr="00716E17" w:rsidRDefault="00AF21FD" w:rsidP="00884BE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716E17">
              <w:rPr>
                <w:rFonts w:ascii="Calibri" w:hAnsi="Calibri" w:cs="Calibri"/>
                <w:color w:val="000000"/>
                <w:sz w:val="20"/>
                <w:szCs w:val="20"/>
              </w:rPr>
              <w:t>Przedsiębiorcy, instytucje otoczenia biznesu, organizacje pozarządowe,</w:t>
            </w:r>
            <w:r>
              <w:rPr>
                <w:rFonts w:ascii="Calibri" w:hAnsi="Calibri" w:cs="Calibri"/>
                <w:color w:val="000000"/>
                <w:sz w:val="20"/>
                <w:szCs w:val="20"/>
              </w:rPr>
              <w:t xml:space="preserve"> </w:t>
            </w:r>
            <w:proofErr w:type="spellStart"/>
            <w:r>
              <w:rPr>
                <w:rFonts w:ascii="Calibri" w:hAnsi="Calibri" w:cs="Calibri"/>
                <w:color w:val="000000"/>
                <w:sz w:val="20"/>
                <w:szCs w:val="20"/>
              </w:rPr>
              <w:lastRenderedPageBreak/>
              <w:t>KCEiWG</w:t>
            </w:r>
            <w:proofErr w:type="spellEnd"/>
            <w:r>
              <w:rPr>
                <w:rFonts w:ascii="Calibri" w:hAnsi="Calibri" w:cs="Calibri"/>
                <w:color w:val="000000"/>
                <w:sz w:val="20"/>
                <w:szCs w:val="20"/>
              </w:rPr>
              <w:t>,</w:t>
            </w:r>
            <w:r w:rsidRPr="00716E17">
              <w:rPr>
                <w:rFonts w:ascii="Calibri" w:hAnsi="Calibri" w:cs="Calibri"/>
                <w:color w:val="000000"/>
                <w:sz w:val="20"/>
                <w:szCs w:val="20"/>
              </w:rPr>
              <w:t xml:space="preserve"> </w:t>
            </w:r>
            <w:r w:rsidRPr="00716E17">
              <w:rPr>
                <w:sz w:val="20"/>
                <w:szCs w:val="20"/>
              </w:rPr>
              <w:t>jednostki sektora finansów publicznych</w:t>
            </w:r>
            <w:r w:rsidRPr="00716E17">
              <w:rPr>
                <w:rFonts w:ascii="Calibri" w:hAnsi="Calibri" w:cs="Calibri"/>
                <w:color w:val="000000"/>
                <w:sz w:val="20"/>
                <w:szCs w:val="20"/>
              </w:rPr>
              <w:t xml:space="preserve"> mieszkańcy - osoby fizyczne</w:t>
            </w:r>
          </w:p>
        </w:tc>
        <w:tc>
          <w:tcPr>
            <w:tcW w:w="1560" w:type="dxa"/>
            <w:vAlign w:val="center"/>
          </w:tcPr>
          <w:p w:rsidR="00AF21FD" w:rsidRDefault="00AF21FD" w:rsidP="00884BE2">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lastRenderedPageBreak/>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AF21FD" w:rsidTr="00884B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AF21FD" w:rsidRPr="00BE2A80" w:rsidRDefault="00AF21FD" w:rsidP="00884BE2">
            <w:pPr>
              <w:ind w:firstLine="0"/>
              <w:jc w:val="left"/>
              <w:rPr>
                <w:rFonts w:asciiTheme="minorHAnsi" w:hAnsiTheme="minorHAnsi" w:cstheme="minorHAnsi"/>
                <w:b w:val="0"/>
                <w:color w:val="000000"/>
                <w:sz w:val="20"/>
                <w:szCs w:val="20"/>
              </w:rPr>
            </w:pPr>
          </w:p>
        </w:tc>
        <w:tc>
          <w:tcPr>
            <w:tcW w:w="4536" w:type="dxa"/>
          </w:tcPr>
          <w:p w:rsidR="00AF21FD" w:rsidRPr="009D5766" w:rsidRDefault="00AF21FD" w:rsidP="00884BE2">
            <w:pPr>
              <w:tabs>
                <w:tab w:val="left" w:pos="567"/>
              </w:tabs>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878A6">
              <w:rPr>
                <w:rFonts w:ascii="Calibri" w:hAnsi="Calibri" w:cs="Calibri"/>
                <w:color w:val="000000"/>
                <w:sz w:val="20"/>
                <w:szCs w:val="20"/>
              </w:rPr>
              <w:t>Poprawa dostępu przedsiębiorców do informacji, wiedzy i innowacji</w:t>
            </w:r>
          </w:p>
        </w:tc>
        <w:tc>
          <w:tcPr>
            <w:tcW w:w="2835" w:type="dxa"/>
            <w:vAlign w:val="center"/>
          </w:tcPr>
          <w:p w:rsidR="00AF21FD" w:rsidRDefault="00AF21FD" w:rsidP="00884BE2">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409" w:type="dxa"/>
            <w:vAlign w:val="center"/>
          </w:tcPr>
          <w:p w:rsidR="00AF21FD" w:rsidRPr="005878A6" w:rsidRDefault="00AF21FD" w:rsidP="00884BE2">
            <w:pPr>
              <w:spacing w:before="0"/>
              <w:ind w:firstLine="0"/>
              <w:jc w:val="center"/>
              <w:cnfStyle w:val="000000100000" w:firstRow="0" w:lastRow="0" w:firstColumn="0" w:lastColumn="0" w:oddVBand="0" w:evenVBand="0" w:oddHBand="1" w:evenHBand="0" w:firstRowFirstColumn="0" w:firstRowLastColumn="0" w:lastRowFirstColumn="0" w:lastRowLastColumn="0"/>
            </w:pPr>
            <w:r w:rsidRPr="005878A6">
              <w:t>Instytucje otoczenia biznesu, organizacje pozarządowe, jednostki sektora finansów publicznych, organizacje pozarządowe, przedsiębiorcy</w:t>
            </w:r>
          </w:p>
        </w:tc>
        <w:tc>
          <w:tcPr>
            <w:tcW w:w="1560" w:type="dxa"/>
            <w:vAlign w:val="center"/>
          </w:tcPr>
          <w:p w:rsidR="00AF21FD" w:rsidRDefault="00AF21FD" w:rsidP="00884BE2">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AF21FD" w:rsidTr="00884B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AF21FD" w:rsidRPr="00BE2A80" w:rsidRDefault="00AF21FD" w:rsidP="00884BE2">
            <w:pPr>
              <w:ind w:firstLine="0"/>
              <w:jc w:val="left"/>
              <w:rPr>
                <w:rFonts w:asciiTheme="minorHAnsi" w:hAnsiTheme="minorHAnsi" w:cstheme="minorHAnsi"/>
                <w:b w:val="0"/>
                <w:color w:val="000000"/>
                <w:sz w:val="20"/>
                <w:szCs w:val="20"/>
              </w:rPr>
            </w:pPr>
          </w:p>
        </w:tc>
        <w:tc>
          <w:tcPr>
            <w:tcW w:w="4536" w:type="dxa"/>
            <w:vAlign w:val="center"/>
          </w:tcPr>
          <w:p w:rsidR="00AF21FD" w:rsidRPr="009D5766" w:rsidRDefault="00AF21FD" w:rsidP="00884BE2">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B63D10">
              <w:rPr>
                <w:rFonts w:ascii="Calibri" w:hAnsi="Calibri" w:cs="Calibri"/>
                <w:color w:val="000000"/>
                <w:sz w:val="20"/>
                <w:szCs w:val="20"/>
              </w:rPr>
              <w:t xml:space="preserve">Wsparcie przedsiębiorców w zakresie pozyskiwania środków bezzwrotnych </w:t>
            </w:r>
            <w:r>
              <w:rPr>
                <w:rFonts w:ascii="Calibri" w:hAnsi="Calibri" w:cs="Calibri"/>
                <w:color w:val="000000"/>
                <w:sz w:val="20"/>
                <w:szCs w:val="20"/>
              </w:rPr>
              <w:t xml:space="preserve">oraz zwrotnych na swój rozwój. </w:t>
            </w:r>
          </w:p>
        </w:tc>
        <w:tc>
          <w:tcPr>
            <w:tcW w:w="2835" w:type="dxa"/>
            <w:vAlign w:val="center"/>
          </w:tcPr>
          <w:p w:rsidR="00AF21FD" w:rsidRDefault="00AF21FD" w:rsidP="00884BE2">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409" w:type="dxa"/>
            <w:vAlign w:val="center"/>
          </w:tcPr>
          <w:p w:rsidR="00AF21FD" w:rsidRPr="00B63D10" w:rsidRDefault="00AF21FD" w:rsidP="00884BE2">
            <w:pPr>
              <w:spacing w:before="0"/>
              <w:ind w:firstLine="0"/>
              <w:jc w:val="center"/>
              <w:cnfStyle w:val="000000010000" w:firstRow="0" w:lastRow="0" w:firstColumn="0" w:lastColumn="0" w:oddVBand="0" w:evenVBand="0" w:oddHBand="0" w:evenHBand="1" w:firstRowFirstColumn="0" w:firstRowLastColumn="0" w:lastRowFirstColumn="0" w:lastRowLastColumn="0"/>
            </w:pPr>
            <w:r w:rsidRPr="00B63D10">
              <w:t>Organizacje pozarządowe, instytucje otoczenia biznesu, instytucje finansowe</w:t>
            </w:r>
          </w:p>
        </w:tc>
        <w:tc>
          <w:tcPr>
            <w:tcW w:w="1560" w:type="dxa"/>
            <w:vAlign w:val="center"/>
          </w:tcPr>
          <w:p w:rsidR="00AF21FD" w:rsidRDefault="00AF21FD" w:rsidP="00884BE2">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AF21FD" w:rsidTr="00884B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AF21FD" w:rsidRPr="00BE2A80" w:rsidRDefault="00AF21FD" w:rsidP="00884BE2">
            <w:pPr>
              <w:ind w:firstLine="0"/>
              <w:jc w:val="left"/>
              <w:rPr>
                <w:rFonts w:cstheme="minorHAnsi"/>
                <w:b w:val="0"/>
                <w:color w:val="000000"/>
                <w:sz w:val="20"/>
                <w:szCs w:val="20"/>
              </w:rPr>
            </w:pPr>
          </w:p>
        </w:tc>
        <w:tc>
          <w:tcPr>
            <w:tcW w:w="4536" w:type="dxa"/>
          </w:tcPr>
          <w:p w:rsidR="00AF21FD" w:rsidRPr="00B63D10" w:rsidRDefault="00AF21FD" w:rsidP="00884BE2">
            <w:pPr>
              <w:ind w:firstLine="0"/>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B63D10">
              <w:rPr>
                <w:rFonts w:ascii="Calibri" w:hAnsi="Calibri" w:cs="Calibri"/>
              </w:rPr>
              <w:t xml:space="preserve">Prowadzenie spójnej i atrakcyjnej polityki podatkowej dla firm (w tym opracowanie systemu zachęt i ulg podatkowych dla nowo powstających firm) </w:t>
            </w:r>
          </w:p>
        </w:tc>
        <w:tc>
          <w:tcPr>
            <w:tcW w:w="2835" w:type="dxa"/>
            <w:vAlign w:val="center"/>
          </w:tcPr>
          <w:p w:rsidR="00AF21FD" w:rsidRPr="00B63D10" w:rsidRDefault="00AF21FD" w:rsidP="00884BE2">
            <w:pPr>
              <w:ind w:firstLine="33"/>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B63D10">
              <w:rPr>
                <w:rFonts w:ascii="Calibri" w:hAnsi="Calibri" w:cs="Calibri"/>
              </w:rPr>
              <w:t>Gmina Miejska Hrubieszów, Gmina Hrubieszów</w:t>
            </w:r>
          </w:p>
        </w:tc>
        <w:tc>
          <w:tcPr>
            <w:tcW w:w="2409" w:type="dxa"/>
            <w:vAlign w:val="center"/>
          </w:tcPr>
          <w:p w:rsidR="00AF21FD" w:rsidRPr="00B63D10" w:rsidRDefault="00AF21FD" w:rsidP="00884BE2">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B63D10">
              <w:rPr>
                <w:rFonts w:ascii="Calibri" w:hAnsi="Calibri" w:cs="Calibri"/>
              </w:rPr>
              <w:t>-</w:t>
            </w:r>
          </w:p>
        </w:tc>
        <w:tc>
          <w:tcPr>
            <w:tcW w:w="1560" w:type="dxa"/>
            <w:vAlign w:val="center"/>
          </w:tcPr>
          <w:p w:rsidR="00AF21FD" w:rsidRPr="00B63D10" w:rsidRDefault="00AF21FD" w:rsidP="00884BE2">
            <w:pPr>
              <w:ind w:firstLine="34"/>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sidRPr="00B63D10">
              <w:rPr>
                <w:rFonts w:ascii="Calibri" w:hAnsi="Calibri" w:cs="Calibri"/>
              </w:rPr>
              <w:t>2021 – 2030</w:t>
            </w:r>
          </w:p>
        </w:tc>
      </w:tr>
      <w:tr w:rsidR="00AF21FD" w:rsidTr="00884B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AF21FD" w:rsidRPr="00BE2A80" w:rsidRDefault="00AF21FD" w:rsidP="00884BE2">
            <w:pPr>
              <w:ind w:firstLine="0"/>
              <w:jc w:val="left"/>
              <w:rPr>
                <w:rFonts w:cstheme="minorHAnsi"/>
                <w:b w:val="0"/>
                <w:color w:val="000000"/>
                <w:sz w:val="20"/>
                <w:szCs w:val="20"/>
              </w:rPr>
            </w:pPr>
          </w:p>
        </w:tc>
        <w:tc>
          <w:tcPr>
            <w:tcW w:w="4536" w:type="dxa"/>
          </w:tcPr>
          <w:p w:rsidR="00AF21FD" w:rsidRPr="00153F86" w:rsidRDefault="00AF21FD" w:rsidP="00884BE2">
            <w:pPr>
              <w:ind w:firstLine="0"/>
              <w:cnfStyle w:val="000000010000" w:firstRow="0" w:lastRow="0" w:firstColumn="0" w:lastColumn="0" w:oddVBand="0" w:evenVBand="0" w:oddHBand="0" w:evenHBand="1" w:firstRowFirstColumn="0" w:firstRowLastColumn="0" w:lastRowFirstColumn="0" w:lastRowLastColumn="0"/>
            </w:pPr>
            <w:r w:rsidRPr="00153F86">
              <w:t>Opracowanie modelu funkcjonowania systemu oraz narzędzi niezbędnych do świadczenia usług wsparcia dla nowo powstającego biznesu</w:t>
            </w:r>
          </w:p>
        </w:tc>
        <w:tc>
          <w:tcPr>
            <w:tcW w:w="2835" w:type="dxa"/>
            <w:vAlign w:val="center"/>
          </w:tcPr>
          <w:p w:rsidR="00AF21FD" w:rsidRPr="00153F86" w:rsidRDefault="00AF21FD" w:rsidP="00884BE2">
            <w:pPr>
              <w:ind w:firstLine="33"/>
              <w:jc w:val="center"/>
              <w:cnfStyle w:val="000000010000" w:firstRow="0" w:lastRow="0" w:firstColumn="0" w:lastColumn="0" w:oddVBand="0" w:evenVBand="0" w:oddHBand="0" w:evenHBand="1" w:firstRowFirstColumn="0" w:firstRowLastColumn="0" w:lastRowFirstColumn="0" w:lastRowLastColumn="0"/>
            </w:pPr>
            <w:r w:rsidRPr="00153F86">
              <w:t>Gmina Miejska Hrubieszów, Gmina Hrubieszów</w:t>
            </w:r>
          </w:p>
        </w:tc>
        <w:tc>
          <w:tcPr>
            <w:tcW w:w="2409" w:type="dxa"/>
            <w:vAlign w:val="center"/>
          </w:tcPr>
          <w:p w:rsidR="00AF21FD" w:rsidRPr="00153F86" w:rsidRDefault="00AF21FD" w:rsidP="00884BE2">
            <w:pPr>
              <w:ind w:firstLine="33"/>
              <w:jc w:val="center"/>
              <w:cnfStyle w:val="000000010000" w:firstRow="0" w:lastRow="0" w:firstColumn="0" w:lastColumn="0" w:oddVBand="0" w:evenVBand="0" w:oddHBand="0" w:evenHBand="1" w:firstRowFirstColumn="0" w:firstRowLastColumn="0" w:lastRowFirstColumn="0" w:lastRowLastColumn="0"/>
            </w:pPr>
            <w:r w:rsidRPr="00153F86">
              <w:t>Organizacje pozarządowe, instytucje otoczenia biznesu</w:t>
            </w:r>
          </w:p>
        </w:tc>
        <w:tc>
          <w:tcPr>
            <w:tcW w:w="1560" w:type="dxa"/>
            <w:vAlign w:val="center"/>
          </w:tcPr>
          <w:p w:rsidR="00AF21FD" w:rsidRDefault="00AF21FD" w:rsidP="00884BE2">
            <w:pPr>
              <w:ind w:firstLine="34"/>
              <w:jc w:val="center"/>
              <w:cnfStyle w:val="000000010000" w:firstRow="0" w:lastRow="0" w:firstColumn="0" w:lastColumn="0" w:oddVBand="0" w:evenVBand="0" w:oddHBand="0" w:evenHBand="1" w:firstRowFirstColumn="0" w:firstRowLastColumn="0" w:lastRowFirstColumn="0" w:lastRowLastColumn="0"/>
            </w:pPr>
            <w:r w:rsidRPr="00153F86">
              <w:t>2021 – 2030</w:t>
            </w:r>
          </w:p>
        </w:tc>
      </w:tr>
      <w:tr w:rsidR="00AF21FD" w:rsidTr="00884BE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AF21FD" w:rsidRPr="00BE2A80" w:rsidRDefault="00AF21FD" w:rsidP="00884BE2">
            <w:pPr>
              <w:ind w:firstLine="0"/>
              <w:jc w:val="left"/>
              <w:rPr>
                <w:rFonts w:cstheme="minorHAnsi"/>
                <w:b w:val="0"/>
                <w:color w:val="000000"/>
                <w:sz w:val="20"/>
                <w:szCs w:val="20"/>
              </w:rPr>
            </w:pPr>
          </w:p>
        </w:tc>
        <w:tc>
          <w:tcPr>
            <w:tcW w:w="4536" w:type="dxa"/>
          </w:tcPr>
          <w:p w:rsidR="00AF21FD" w:rsidRPr="0003501F" w:rsidRDefault="00AF21FD" w:rsidP="00884BE2">
            <w:pPr>
              <w:ind w:firstLine="33"/>
              <w:cnfStyle w:val="000000100000" w:firstRow="0" w:lastRow="0" w:firstColumn="0" w:lastColumn="0" w:oddVBand="0" w:evenVBand="0" w:oddHBand="1" w:evenHBand="0" w:firstRowFirstColumn="0" w:firstRowLastColumn="0" w:lastRowFirstColumn="0" w:lastRowLastColumn="0"/>
            </w:pPr>
            <w:r w:rsidRPr="0003501F">
              <w:t xml:space="preserve">Projekty związane z zapewnieniem lepszego otoczenia instytucjonalnego w zakresie obsługi branży rolno-spożywczej na terenie HOF, w tym bliska współpraca z takimi instytucjami jak: Centrum Doradztwa Rolniczego w Brwinowie, ODR w Puławach, </w:t>
            </w:r>
            <w:proofErr w:type="spellStart"/>
            <w:r w:rsidRPr="0003501F">
              <w:t>IUNiG</w:t>
            </w:r>
            <w:proofErr w:type="spellEnd"/>
            <w:r w:rsidRPr="0003501F">
              <w:t xml:space="preserve"> w Puławach</w:t>
            </w:r>
          </w:p>
        </w:tc>
        <w:tc>
          <w:tcPr>
            <w:tcW w:w="2835" w:type="dxa"/>
            <w:vAlign w:val="center"/>
          </w:tcPr>
          <w:p w:rsidR="00AF21FD" w:rsidRPr="0003501F" w:rsidRDefault="00AF21FD" w:rsidP="00884BE2">
            <w:pPr>
              <w:ind w:firstLine="33"/>
              <w:jc w:val="center"/>
              <w:cnfStyle w:val="000000100000" w:firstRow="0" w:lastRow="0" w:firstColumn="0" w:lastColumn="0" w:oddVBand="0" w:evenVBand="0" w:oddHBand="1" w:evenHBand="0" w:firstRowFirstColumn="0" w:firstRowLastColumn="0" w:lastRowFirstColumn="0" w:lastRowLastColumn="0"/>
            </w:pPr>
            <w:r w:rsidRPr="0003501F">
              <w:t>Gmina Miejska Hrubieszów, Gmina Hrubieszów</w:t>
            </w:r>
          </w:p>
        </w:tc>
        <w:tc>
          <w:tcPr>
            <w:tcW w:w="2409" w:type="dxa"/>
            <w:vAlign w:val="center"/>
          </w:tcPr>
          <w:p w:rsidR="00AF21FD" w:rsidRPr="0003501F" w:rsidRDefault="00AF21FD" w:rsidP="00884BE2">
            <w:pPr>
              <w:ind w:firstLine="33"/>
              <w:jc w:val="center"/>
              <w:cnfStyle w:val="000000100000" w:firstRow="0" w:lastRow="0" w:firstColumn="0" w:lastColumn="0" w:oddVBand="0" w:evenVBand="0" w:oddHBand="1" w:evenHBand="0" w:firstRowFirstColumn="0" w:firstRowLastColumn="0" w:lastRowFirstColumn="0" w:lastRowLastColumn="0"/>
            </w:pPr>
            <w:r w:rsidRPr="0003501F">
              <w:t>Rolnicy, organizacje rolnicze, przedsiębiorcy, instytucje otoczenia rolnictwa</w:t>
            </w:r>
          </w:p>
        </w:tc>
        <w:tc>
          <w:tcPr>
            <w:tcW w:w="1560" w:type="dxa"/>
            <w:vAlign w:val="center"/>
          </w:tcPr>
          <w:p w:rsidR="00AF21FD" w:rsidRPr="0003501F" w:rsidRDefault="00AF21FD" w:rsidP="00884BE2">
            <w:pPr>
              <w:ind w:firstLine="34"/>
              <w:jc w:val="center"/>
              <w:cnfStyle w:val="000000100000" w:firstRow="0" w:lastRow="0" w:firstColumn="0" w:lastColumn="0" w:oddVBand="0" w:evenVBand="0" w:oddHBand="1" w:evenHBand="0" w:firstRowFirstColumn="0" w:firstRowLastColumn="0" w:lastRowFirstColumn="0" w:lastRowLastColumn="0"/>
            </w:pPr>
            <w:r w:rsidRPr="0003501F">
              <w:t>2021 – 2030</w:t>
            </w:r>
          </w:p>
        </w:tc>
      </w:tr>
      <w:tr w:rsidR="00AF21FD" w:rsidTr="00884BE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AF21FD" w:rsidRPr="00BE2A80" w:rsidRDefault="00AF21FD" w:rsidP="00884BE2">
            <w:pPr>
              <w:ind w:firstLine="0"/>
              <w:jc w:val="left"/>
              <w:rPr>
                <w:rFonts w:cstheme="minorHAnsi"/>
                <w:b w:val="0"/>
                <w:color w:val="000000"/>
                <w:sz w:val="20"/>
                <w:szCs w:val="20"/>
              </w:rPr>
            </w:pPr>
          </w:p>
        </w:tc>
        <w:tc>
          <w:tcPr>
            <w:tcW w:w="4536" w:type="dxa"/>
          </w:tcPr>
          <w:p w:rsidR="00AF21FD" w:rsidRPr="0003501F" w:rsidRDefault="00AF21FD" w:rsidP="00884BE2">
            <w:pPr>
              <w:ind w:firstLine="33"/>
              <w:cnfStyle w:val="000000010000" w:firstRow="0" w:lastRow="0" w:firstColumn="0" w:lastColumn="0" w:oddVBand="0" w:evenVBand="0" w:oddHBand="0" w:evenHBand="1" w:firstRowFirstColumn="0" w:firstRowLastColumn="0" w:lastRowFirstColumn="0" w:lastRowLastColumn="0"/>
            </w:pPr>
            <w:r w:rsidRPr="0003501F">
              <w:t xml:space="preserve">Tworzenie korzystnych warunków do przyciągania nowych inwestycji w zakresie przetwórstwa rolno-spożywczego (w tym </w:t>
            </w:r>
            <w:r w:rsidRPr="0003501F">
              <w:lastRenderedPageBreak/>
              <w:t>podmiotów wchodzących w skład planowanego holdingu Krajowej Grupy Spożywczej)</w:t>
            </w:r>
          </w:p>
        </w:tc>
        <w:tc>
          <w:tcPr>
            <w:tcW w:w="2835" w:type="dxa"/>
            <w:vAlign w:val="center"/>
          </w:tcPr>
          <w:p w:rsidR="00AF21FD" w:rsidRPr="0003501F" w:rsidRDefault="00AF21FD" w:rsidP="00884BE2">
            <w:pPr>
              <w:ind w:firstLine="33"/>
              <w:jc w:val="center"/>
              <w:cnfStyle w:val="000000010000" w:firstRow="0" w:lastRow="0" w:firstColumn="0" w:lastColumn="0" w:oddVBand="0" w:evenVBand="0" w:oddHBand="0" w:evenHBand="1" w:firstRowFirstColumn="0" w:firstRowLastColumn="0" w:lastRowFirstColumn="0" w:lastRowLastColumn="0"/>
            </w:pPr>
            <w:r w:rsidRPr="0003501F">
              <w:lastRenderedPageBreak/>
              <w:t>Gmina Miejska Hrubieszów, Gmina Hrubieszów</w:t>
            </w:r>
          </w:p>
        </w:tc>
        <w:tc>
          <w:tcPr>
            <w:tcW w:w="2409" w:type="dxa"/>
            <w:vAlign w:val="center"/>
          </w:tcPr>
          <w:p w:rsidR="00AF21FD" w:rsidRPr="0003501F" w:rsidRDefault="00AF21FD" w:rsidP="00884BE2">
            <w:pPr>
              <w:ind w:firstLine="33"/>
              <w:jc w:val="center"/>
              <w:cnfStyle w:val="000000010000" w:firstRow="0" w:lastRow="0" w:firstColumn="0" w:lastColumn="0" w:oddVBand="0" w:evenVBand="0" w:oddHBand="0" w:evenHBand="1" w:firstRowFirstColumn="0" w:firstRowLastColumn="0" w:lastRowFirstColumn="0" w:lastRowLastColumn="0"/>
            </w:pPr>
            <w:r w:rsidRPr="0003501F">
              <w:t xml:space="preserve">Rolnicy, organizacje rolnicze, przedsiębiorcy, instytucje otoczenia </w:t>
            </w:r>
            <w:r w:rsidRPr="0003501F">
              <w:lastRenderedPageBreak/>
              <w:t>rolnictwa</w:t>
            </w:r>
          </w:p>
        </w:tc>
        <w:tc>
          <w:tcPr>
            <w:tcW w:w="1560" w:type="dxa"/>
            <w:vAlign w:val="center"/>
          </w:tcPr>
          <w:p w:rsidR="00AF21FD" w:rsidRDefault="00AF21FD" w:rsidP="00884BE2">
            <w:pPr>
              <w:ind w:firstLine="34"/>
              <w:jc w:val="center"/>
              <w:cnfStyle w:val="000000010000" w:firstRow="0" w:lastRow="0" w:firstColumn="0" w:lastColumn="0" w:oddVBand="0" w:evenVBand="0" w:oddHBand="0" w:evenHBand="1" w:firstRowFirstColumn="0" w:firstRowLastColumn="0" w:lastRowFirstColumn="0" w:lastRowLastColumn="0"/>
            </w:pPr>
            <w:r w:rsidRPr="0003501F">
              <w:lastRenderedPageBreak/>
              <w:t>2021 – 2030</w:t>
            </w:r>
          </w:p>
        </w:tc>
      </w:tr>
    </w:tbl>
    <w:p w:rsidR="00EB3686" w:rsidRDefault="00EB3686" w:rsidP="00EB3686">
      <w:r w:rsidRPr="00BB62BE">
        <w:lastRenderedPageBreak/>
        <w:t xml:space="preserve">Indykatywny wykaz wstępnie </w:t>
      </w:r>
      <w:r>
        <w:t>zidentyfikowanych projektów i</w:t>
      </w:r>
      <w:r w:rsidRPr="00BB62BE">
        <w:t xml:space="preserve"> przedsięwzięć inwestycyjnych wpisujący się w zakres celu strategicznego </w:t>
      </w:r>
      <w:r>
        <w:t>3</w:t>
      </w:r>
      <w:r w:rsidRPr="00BB62BE">
        <w:t>:</w:t>
      </w:r>
    </w:p>
    <w:tbl>
      <w:tblPr>
        <w:tblStyle w:val="Jasnasiatkaakcent5"/>
        <w:tblW w:w="0" w:type="auto"/>
        <w:tblLook w:val="04A0" w:firstRow="1" w:lastRow="0" w:firstColumn="1" w:lastColumn="0" w:noHBand="0" w:noVBand="1"/>
      </w:tblPr>
      <w:tblGrid>
        <w:gridCol w:w="7338"/>
        <w:gridCol w:w="3827"/>
        <w:gridCol w:w="2979"/>
      </w:tblGrid>
      <w:tr w:rsidR="00EB3686" w:rsidTr="00BC4D84">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7338" w:type="dxa"/>
          </w:tcPr>
          <w:p w:rsidR="00EB3686" w:rsidRPr="005A3422" w:rsidRDefault="00EB3686" w:rsidP="00037A14">
            <w:pPr>
              <w:ind w:firstLine="0"/>
              <w:jc w:val="center"/>
              <w:rPr>
                <w:rFonts w:cs="Times New Roman"/>
                <w:b w:val="0"/>
                <w:bCs w:val="0"/>
                <w:sz w:val="20"/>
                <w:szCs w:val="20"/>
              </w:rPr>
            </w:pPr>
            <w:r w:rsidRPr="005A3422">
              <w:rPr>
                <w:rFonts w:cs="Times New Roman"/>
                <w:sz w:val="20"/>
                <w:szCs w:val="20"/>
              </w:rPr>
              <w:t>Projekty</w:t>
            </w:r>
            <w:r w:rsidRPr="005A3422">
              <w:rPr>
                <w:rFonts w:cs="Times New Roman"/>
                <w:bCs w:val="0"/>
                <w:sz w:val="20"/>
                <w:szCs w:val="20"/>
              </w:rPr>
              <w:t xml:space="preserve"> / przedsięwzięcia </w:t>
            </w:r>
          </w:p>
        </w:tc>
        <w:tc>
          <w:tcPr>
            <w:tcW w:w="3827" w:type="dxa"/>
          </w:tcPr>
          <w:p w:rsidR="00EB3686" w:rsidRPr="005A3422" w:rsidRDefault="00EB3686" w:rsidP="00037A14">
            <w:pPr>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5A3422">
              <w:rPr>
                <w:rFonts w:cs="Times New Roman"/>
                <w:bCs w:val="0"/>
                <w:sz w:val="20"/>
                <w:szCs w:val="20"/>
              </w:rPr>
              <w:t>Podmiot odpowiedzialny za realizacj</w:t>
            </w:r>
            <w:r>
              <w:rPr>
                <w:rFonts w:cs="Times New Roman"/>
                <w:bCs w:val="0"/>
                <w:sz w:val="20"/>
                <w:szCs w:val="20"/>
              </w:rPr>
              <w:t>ę</w:t>
            </w:r>
            <w:r w:rsidRPr="005A3422">
              <w:rPr>
                <w:rFonts w:cs="Times New Roman"/>
                <w:bCs w:val="0"/>
                <w:sz w:val="20"/>
                <w:szCs w:val="20"/>
              </w:rPr>
              <w:t xml:space="preserve"> </w:t>
            </w:r>
          </w:p>
        </w:tc>
        <w:tc>
          <w:tcPr>
            <w:tcW w:w="2979" w:type="dxa"/>
          </w:tcPr>
          <w:p w:rsidR="00EB3686" w:rsidRPr="005A3422" w:rsidRDefault="00EB3686" w:rsidP="00037A14">
            <w:pPr>
              <w:ind w:firstLine="34"/>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5A3422">
              <w:rPr>
                <w:rFonts w:cs="Times New Roman"/>
                <w:bCs w:val="0"/>
                <w:sz w:val="20"/>
                <w:szCs w:val="20"/>
              </w:rPr>
              <w:t>Szacowana wartość (</w:t>
            </w:r>
            <w:r w:rsidRPr="005A3422">
              <w:rPr>
                <w:rFonts w:cs="Times New Roman"/>
                <w:sz w:val="20"/>
                <w:szCs w:val="20"/>
              </w:rPr>
              <w:t>z</w:t>
            </w:r>
            <w:r w:rsidRPr="005A3422">
              <w:rPr>
                <w:rFonts w:cs="Times New Roman"/>
                <w:bCs w:val="0"/>
                <w:sz w:val="20"/>
                <w:szCs w:val="20"/>
              </w:rPr>
              <w:t xml:space="preserve">ł) </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Wzmocnienie potencjału lokalnej gospodarki</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Miejska Hrubieszów</w:t>
            </w:r>
          </w:p>
        </w:tc>
        <w:tc>
          <w:tcPr>
            <w:tcW w:w="2979" w:type="dxa"/>
            <w:vAlign w:val="center"/>
          </w:tcPr>
          <w:p w:rsidR="000A1324" w:rsidRPr="0002490D"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bCs/>
              </w:rPr>
            </w:pPr>
            <w:r w:rsidRPr="0002490D">
              <w:rPr>
                <w:rFonts w:eastAsia="Calibri"/>
                <w:bCs/>
              </w:rPr>
              <w:t>3 000 000,00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Uzbrojenie terenów inwestycyjnych, zapleczy produkcyjnych</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866C8">
              <w:rPr>
                <w:sz w:val="20"/>
                <w:szCs w:val="20"/>
              </w:rPr>
              <w:t>Gmina Miejska Hrubieszów</w:t>
            </w:r>
          </w:p>
        </w:tc>
        <w:tc>
          <w:tcPr>
            <w:tcW w:w="2979" w:type="dxa"/>
            <w:vAlign w:val="center"/>
          </w:tcPr>
          <w:p w:rsidR="000A1324" w:rsidRPr="0002490D" w:rsidRDefault="000A1324"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bCs/>
              </w:rPr>
            </w:pPr>
            <w:r w:rsidRPr="0002490D">
              <w:rPr>
                <w:rFonts w:eastAsia="Calibri"/>
                <w:bCs/>
              </w:rPr>
              <w:t>10 000 000,00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Utworzenie i rozwój Kreatywnego Centrum Edukacji i Współpracy Gospodarczej</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7866C8">
              <w:rPr>
                <w:sz w:val="20"/>
                <w:szCs w:val="20"/>
              </w:rPr>
              <w:t>Gmina Miejska Hrubieszów</w:t>
            </w:r>
          </w:p>
        </w:tc>
        <w:tc>
          <w:tcPr>
            <w:tcW w:w="2979" w:type="dxa"/>
            <w:vAlign w:val="center"/>
          </w:tcPr>
          <w:p w:rsidR="000A1324" w:rsidRPr="0002490D"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pPr>
            <w:r w:rsidRPr="0002490D">
              <w:rPr>
                <w:rFonts w:eastAsia="Calibri"/>
                <w:bCs/>
              </w:rPr>
              <w:t>5 000 000,00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Działania na rzecz skracania łańcucha dostaw w przetwórstwie rolno-spożywczym</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Hrubieszów</w:t>
            </w:r>
          </w:p>
        </w:tc>
        <w:tc>
          <w:tcPr>
            <w:tcW w:w="2979" w:type="dxa"/>
            <w:vAlign w:val="center"/>
          </w:tcPr>
          <w:p w:rsidR="000A1324" w:rsidRPr="0002490D"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b/>
              </w:rPr>
            </w:pPr>
            <w:r w:rsidRPr="0002490D">
              <w:rPr>
                <w:rFonts w:cs="Times New Roman"/>
              </w:rPr>
              <w:t>3 000 000,00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Rozwój oferty turystycznej w tym poprzez lepsze wykorzystanie dziedzictwa kulturowego i przyrodniczego miasta.</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Miejska Hrubieszów</w:t>
            </w:r>
          </w:p>
        </w:tc>
        <w:tc>
          <w:tcPr>
            <w:tcW w:w="2979" w:type="dxa"/>
            <w:vAlign w:val="center"/>
          </w:tcPr>
          <w:p w:rsidR="000A1324" w:rsidRPr="0002490D"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bCs/>
              </w:rPr>
            </w:pPr>
            <w:r w:rsidRPr="0002490D">
              <w:rPr>
                <w:rFonts w:eastAsia="Calibri"/>
                <w:bCs/>
              </w:rPr>
              <w:t>4 000 000,00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Utworzenie podziemnej trasy turystycznej w Hrubieszowie</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7866C8">
              <w:rPr>
                <w:sz w:val="20"/>
                <w:szCs w:val="20"/>
              </w:rPr>
              <w:t>Gmina Miejska Hrubieszów</w:t>
            </w:r>
          </w:p>
        </w:tc>
        <w:tc>
          <w:tcPr>
            <w:tcW w:w="2979" w:type="dxa"/>
            <w:vAlign w:val="center"/>
          </w:tcPr>
          <w:p w:rsidR="000A1324" w:rsidRPr="0002490D" w:rsidRDefault="000A1324" w:rsidP="000A1324">
            <w:pPr>
              <w:widowControl w:val="0"/>
              <w:spacing w:before="0"/>
              <w:jc w:val="right"/>
              <w:cnfStyle w:val="000000010000" w:firstRow="0" w:lastRow="0" w:firstColumn="0" w:lastColumn="0" w:oddVBand="0" w:evenVBand="0" w:oddHBand="0" w:evenHBand="1" w:firstRowFirstColumn="0" w:firstRowLastColumn="0" w:lastRowFirstColumn="0" w:lastRowLastColumn="0"/>
              <w:rPr>
                <w:bCs/>
              </w:rPr>
            </w:pPr>
            <w:r w:rsidRPr="0002490D">
              <w:rPr>
                <w:rFonts w:eastAsia="Calibri"/>
                <w:bCs/>
              </w:rPr>
              <w:t>20 000 000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Budowa miejsc i obiektów w obszarze turystyki i rekreacji (obiekty/miejsca odwołujące się do walorów historycznych, kulturowych, przyrodniczych, edukacyjnych, rekreacyjnych)   </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sidRPr="007866C8">
              <w:rPr>
                <w:sz w:val="20"/>
                <w:szCs w:val="20"/>
              </w:rPr>
              <w:t>Gmina Miejska Hrubieszów</w:t>
            </w:r>
          </w:p>
        </w:tc>
        <w:tc>
          <w:tcPr>
            <w:tcW w:w="2979" w:type="dxa"/>
            <w:vAlign w:val="center"/>
          </w:tcPr>
          <w:p w:rsidR="000A1324" w:rsidRPr="0002490D" w:rsidRDefault="000A1324" w:rsidP="000A1324">
            <w:pPr>
              <w:widowControl w:val="0"/>
              <w:spacing w:before="0"/>
              <w:jc w:val="right"/>
              <w:cnfStyle w:val="000000100000" w:firstRow="0" w:lastRow="0" w:firstColumn="0" w:lastColumn="0" w:oddVBand="0" w:evenVBand="0" w:oddHBand="1" w:evenHBand="0" w:firstRowFirstColumn="0" w:firstRowLastColumn="0" w:lastRowFirstColumn="0" w:lastRowLastColumn="0"/>
              <w:rPr>
                <w:bCs/>
              </w:rPr>
            </w:pPr>
            <w:r w:rsidRPr="0002490D">
              <w:rPr>
                <w:rFonts w:eastAsia="Calibri"/>
                <w:bCs/>
              </w:rPr>
              <w:t>10 000 000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 xml:space="preserve">Budowa Centrum Dziedzictwa Archeologicznego i Kulturowego w </w:t>
            </w:r>
            <w:proofErr w:type="spellStart"/>
            <w:r w:rsidRPr="007866C8">
              <w:rPr>
                <w:rFonts w:asciiTheme="minorHAnsi" w:hAnsiTheme="minorHAnsi" w:cstheme="minorHAnsi"/>
                <w:b w:val="0"/>
                <w:sz w:val="20"/>
                <w:szCs w:val="20"/>
              </w:rPr>
              <w:t>Masłomęczu</w:t>
            </w:r>
            <w:proofErr w:type="spellEnd"/>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Hrubieszów</w:t>
            </w:r>
          </w:p>
        </w:tc>
        <w:tc>
          <w:tcPr>
            <w:tcW w:w="2979" w:type="dxa"/>
            <w:vAlign w:val="center"/>
          </w:tcPr>
          <w:p w:rsidR="000A1324" w:rsidRPr="0002490D"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b/>
              </w:rPr>
            </w:pPr>
            <w:r w:rsidRPr="0002490D">
              <w:rPr>
                <w:rFonts w:cs="Times New Roman"/>
              </w:rPr>
              <w:t>1</w:t>
            </w:r>
            <w:r>
              <w:rPr>
                <w:rFonts w:cs="Times New Roman"/>
              </w:rPr>
              <w:t>7</w:t>
            </w:r>
            <w:r w:rsidRPr="0002490D">
              <w:rPr>
                <w:rFonts w:cs="Times New Roman"/>
              </w:rPr>
              <w:t> 000 000,00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 xml:space="preserve">Wyposażenie i zagospodarowanie Centrum Dziedzictwa Archeologicznego i Kulturowego w </w:t>
            </w:r>
            <w:proofErr w:type="spellStart"/>
            <w:r w:rsidRPr="007866C8">
              <w:rPr>
                <w:rFonts w:asciiTheme="minorHAnsi" w:hAnsiTheme="minorHAnsi" w:cstheme="minorHAnsi"/>
                <w:b w:val="0"/>
                <w:sz w:val="20"/>
                <w:szCs w:val="20"/>
              </w:rPr>
              <w:t>Masłomęczu</w:t>
            </w:r>
            <w:proofErr w:type="spellEnd"/>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Hrubieszów</w:t>
            </w:r>
          </w:p>
        </w:tc>
        <w:tc>
          <w:tcPr>
            <w:tcW w:w="2979" w:type="dxa"/>
            <w:vAlign w:val="center"/>
          </w:tcPr>
          <w:p w:rsidR="000A1324" w:rsidRPr="0002490D" w:rsidRDefault="000A1324" w:rsidP="000A1324">
            <w:pPr>
              <w:spacing w:before="0"/>
              <w:jc w:val="right"/>
              <w:cnfStyle w:val="000000100000" w:firstRow="0" w:lastRow="0" w:firstColumn="0" w:lastColumn="0" w:oddVBand="0" w:evenVBand="0" w:oddHBand="1" w:evenHBand="0" w:firstRowFirstColumn="0" w:firstRowLastColumn="0" w:lastRowFirstColumn="0" w:lastRowLastColumn="0"/>
              <w:rPr>
                <w:b/>
              </w:rPr>
            </w:pPr>
            <w:r>
              <w:rPr>
                <w:rFonts w:cs="Times New Roman"/>
              </w:rPr>
              <w:t>5</w:t>
            </w:r>
            <w:r w:rsidRPr="0002490D">
              <w:rPr>
                <w:rFonts w:cs="Times New Roman"/>
              </w:rPr>
              <w:t>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Pr>
                <w:rFonts w:asciiTheme="minorHAnsi" w:hAnsiTheme="minorHAnsi" w:cstheme="minorHAnsi"/>
                <w:b w:val="0"/>
                <w:sz w:val="20"/>
                <w:szCs w:val="20"/>
              </w:rPr>
              <w:t>B</w:t>
            </w:r>
            <w:r w:rsidRPr="007866C8">
              <w:rPr>
                <w:rFonts w:asciiTheme="minorHAnsi" w:hAnsiTheme="minorHAnsi" w:cstheme="minorHAnsi"/>
                <w:b w:val="0"/>
                <w:sz w:val="20"/>
                <w:szCs w:val="20"/>
              </w:rPr>
              <w:t>udowa architektury związanej z dziedzictwem historycznym w Gródku</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Hrubieszów</w:t>
            </w:r>
          </w:p>
        </w:tc>
        <w:tc>
          <w:tcPr>
            <w:tcW w:w="2979" w:type="dxa"/>
            <w:vAlign w:val="center"/>
          </w:tcPr>
          <w:p w:rsidR="000A1324" w:rsidRPr="0002490D"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b/>
              </w:rPr>
            </w:pPr>
            <w:r w:rsidRPr="0002490D">
              <w:rPr>
                <w:rFonts w:cs="Times New Roman"/>
              </w:rPr>
              <w:t>2 000 000,00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Utrzymanie istniejących i budowa nowych ścieżek i szlaków turystycznych</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Hrubieszów</w:t>
            </w:r>
          </w:p>
        </w:tc>
        <w:tc>
          <w:tcPr>
            <w:tcW w:w="2979" w:type="dxa"/>
            <w:vAlign w:val="center"/>
          </w:tcPr>
          <w:p w:rsidR="000A1324" w:rsidRPr="0002490D" w:rsidRDefault="000A1324" w:rsidP="000A1324">
            <w:pPr>
              <w:spacing w:before="0"/>
              <w:jc w:val="right"/>
              <w:cnfStyle w:val="000000100000" w:firstRow="0" w:lastRow="0" w:firstColumn="0" w:lastColumn="0" w:oddVBand="0" w:evenVBand="0" w:oddHBand="1" w:evenHBand="0" w:firstRowFirstColumn="0" w:firstRowLastColumn="0" w:lastRowFirstColumn="0" w:lastRowLastColumn="0"/>
              <w:rPr>
                <w:b/>
              </w:rPr>
            </w:pPr>
            <w:r w:rsidRPr="0002490D">
              <w:rPr>
                <w:rFonts w:cs="Times New Roman"/>
              </w:rPr>
              <w:t>2 000 000,00</w:t>
            </w:r>
          </w:p>
        </w:tc>
      </w:tr>
      <w:tr w:rsidR="000A1324" w:rsidTr="00574FE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 xml:space="preserve">Zagospodarowanie terenu świetlicy w Czumowie (kemping, </w:t>
            </w:r>
            <w:proofErr w:type="spellStart"/>
            <w:r w:rsidRPr="007866C8">
              <w:rPr>
                <w:rFonts w:asciiTheme="minorHAnsi" w:hAnsiTheme="minorHAnsi" w:cstheme="minorHAnsi"/>
                <w:b w:val="0"/>
                <w:sz w:val="20"/>
                <w:szCs w:val="20"/>
              </w:rPr>
              <w:t>skatepark</w:t>
            </w:r>
            <w:proofErr w:type="spellEnd"/>
            <w:r w:rsidRPr="007866C8">
              <w:rPr>
                <w:rFonts w:asciiTheme="minorHAnsi" w:hAnsiTheme="minorHAnsi" w:cstheme="minorHAnsi"/>
                <w:b w:val="0"/>
                <w:sz w:val="20"/>
                <w:szCs w:val="20"/>
              </w:rPr>
              <w:t xml:space="preserve"> itp.)</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866C8">
              <w:rPr>
                <w:sz w:val="20"/>
                <w:szCs w:val="20"/>
              </w:rPr>
              <w:t>Gmina Hrubieszów</w:t>
            </w:r>
          </w:p>
        </w:tc>
        <w:tc>
          <w:tcPr>
            <w:tcW w:w="2979" w:type="dxa"/>
            <w:vAlign w:val="center"/>
          </w:tcPr>
          <w:p w:rsidR="000A1324" w:rsidRPr="0002490D"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rPr>
                <w:b/>
              </w:rPr>
            </w:pPr>
            <w:r w:rsidRPr="0002490D">
              <w:rPr>
                <w:rFonts w:cs="Times New Roman"/>
              </w:rPr>
              <w:t>800 000,00</w:t>
            </w:r>
          </w:p>
        </w:tc>
      </w:tr>
      <w:tr w:rsidR="000A1324" w:rsidTr="00BC4D8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5" w:type="dxa"/>
            <w:gridSpan w:val="2"/>
          </w:tcPr>
          <w:p w:rsidR="000A1324" w:rsidRPr="007866C8" w:rsidRDefault="000A1324" w:rsidP="004604BB">
            <w:pPr>
              <w:spacing w:before="0"/>
              <w:ind w:firstLine="0"/>
              <w:jc w:val="left"/>
              <w:rPr>
                <w:sz w:val="20"/>
                <w:szCs w:val="20"/>
              </w:rPr>
            </w:pPr>
            <w:r w:rsidRPr="007866C8">
              <w:rPr>
                <w:sz w:val="20"/>
                <w:szCs w:val="20"/>
              </w:rPr>
              <w:t>Razem</w:t>
            </w:r>
          </w:p>
        </w:tc>
        <w:tc>
          <w:tcPr>
            <w:tcW w:w="2979" w:type="dxa"/>
          </w:tcPr>
          <w:p w:rsidR="000A1324" w:rsidRPr="0002490D" w:rsidRDefault="000A1324" w:rsidP="0002490D">
            <w:pPr>
              <w:jc w:val="right"/>
              <w:cnfStyle w:val="000000100000" w:firstRow="0" w:lastRow="0" w:firstColumn="0" w:lastColumn="0" w:oddVBand="0" w:evenVBand="0" w:oddHBand="1" w:evenHBand="0" w:firstRowFirstColumn="0" w:firstRowLastColumn="0" w:lastRowFirstColumn="0" w:lastRowLastColumn="0"/>
              <w:rPr>
                <w:rFonts w:ascii="Calibri" w:hAnsi="Calibri" w:cs="Calibri"/>
                <w:b/>
                <w:color w:val="000000"/>
              </w:rPr>
            </w:pPr>
            <w:r>
              <w:rPr>
                <w:rFonts w:ascii="Calibri" w:hAnsi="Calibri" w:cs="Calibri"/>
                <w:b/>
                <w:color w:val="000000"/>
              </w:rPr>
              <w:t>81</w:t>
            </w:r>
            <w:r w:rsidRPr="0002490D">
              <w:rPr>
                <w:rFonts w:ascii="Calibri" w:hAnsi="Calibri" w:cs="Calibri"/>
                <w:b/>
                <w:color w:val="000000"/>
              </w:rPr>
              <w:t xml:space="preserve"> 800 000,00</w:t>
            </w:r>
          </w:p>
        </w:tc>
      </w:tr>
    </w:tbl>
    <w:p w:rsidR="00953E49" w:rsidRDefault="00192EEB" w:rsidP="00843AE8">
      <w:pPr>
        <w:pStyle w:val="Nagwek12"/>
      </w:pPr>
      <w:bookmarkStart w:id="52" w:name="_Toc138068781"/>
      <w:r w:rsidRPr="007478E0">
        <w:t>Cel strategiczny</w:t>
      </w:r>
      <w:r w:rsidR="00953E49" w:rsidRPr="007478E0">
        <w:t xml:space="preserve"> </w:t>
      </w:r>
      <w:r w:rsidRPr="007478E0">
        <w:t>4. SPRAWNA ADMINISTRACJA I AKTYWNE SPOŁECZEŃSTWO OBYWATELSKIE</w:t>
      </w:r>
      <w:bookmarkEnd w:id="52"/>
    </w:p>
    <w:p w:rsidR="001C6DF7" w:rsidRDefault="001C6DF7" w:rsidP="004A1733">
      <w:r>
        <w:t>W tym celu</w:t>
      </w:r>
      <w:r w:rsidR="00132386">
        <w:t xml:space="preserve"> strategicznym</w:t>
      </w:r>
      <w:r>
        <w:t xml:space="preserve"> skupiono się na czterech c</w:t>
      </w:r>
      <w:r w:rsidR="00132386">
        <w:t>e</w:t>
      </w:r>
      <w:r>
        <w:t xml:space="preserve">lach operacyjnych, które w sposób kompleksowy przełożą się na </w:t>
      </w:r>
      <w:r w:rsidR="00AF1F3E">
        <w:t>jego realizację.</w:t>
      </w:r>
    </w:p>
    <w:p w:rsidR="000603E7" w:rsidRDefault="00004DDF" w:rsidP="004A1733">
      <w:pPr>
        <w:rPr>
          <w:rFonts w:cstheme="minorHAnsi"/>
          <w:b/>
          <w:sz w:val="20"/>
          <w:szCs w:val="20"/>
        </w:rPr>
      </w:pPr>
      <w:proofErr w:type="gramStart"/>
      <w:r w:rsidRPr="004A1733">
        <w:t>Wzrost jakości</w:t>
      </w:r>
      <w:proofErr w:type="gramEnd"/>
      <w:r w:rsidRPr="004A1733">
        <w:t xml:space="preserve"> świadczonych usług publicznych </w:t>
      </w:r>
      <w:r w:rsidR="008806C2">
        <w:t>wpływa</w:t>
      </w:r>
      <w:r w:rsidRPr="004A1733">
        <w:t xml:space="preserve"> pozytywnie na jakość życia mieszkańców. </w:t>
      </w:r>
      <w:r w:rsidR="00657E2F">
        <w:t xml:space="preserve">Istotnym wyznacznikiem dobrego rządzenia </w:t>
      </w:r>
      <w:proofErr w:type="gramStart"/>
      <w:r w:rsidR="00657E2F">
        <w:t>jest jakość</w:t>
      </w:r>
      <w:proofErr w:type="gramEnd"/>
      <w:r w:rsidR="00657E2F">
        <w:t xml:space="preserve"> stanowionego prawa oraz sprawność administracji w realizacji zadań statutowych i rozwiązywaniu codziennych problemów mieszkańców. </w:t>
      </w:r>
      <w:r w:rsidRPr="004A1733">
        <w:t xml:space="preserve">Przekłada się również bezpośrednio na aktywność społeczną mieszkańców i ich zdolność do samoorganizacji. </w:t>
      </w:r>
      <w:r w:rsidR="004A1733" w:rsidRPr="004A1733">
        <w:t xml:space="preserve">Ze względu na fakt, </w:t>
      </w:r>
      <w:r w:rsidR="008806C2">
        <w:t>ż</w:t>
      </w:r>
      <w:r w:rsidR="004A1733" w:rsidRPr="004A1733">
        <w:t xml:space="preserve">e obszar HOF współtworzą dwie </w:t>
      </w:r>
      <w:r w:rsidR="004A1733" w:rsidRPr="004A1733">
        <w:lastRenderedPageBreak/>
        <w:t>jednostki n</w:t>
      </w:r>
      <w:r w:rsidRPr="004A1733">
        <w:t xml:space="preserve">iezwykle istotnym działaniem w HOF jest </w:t>
      </w:r>
      <w:r w:rsidR="004A1733" w:rsidRPr="004A1733">
        <w:rPr>
          <w:rFonts w:ascii="Calibri" w:hAnsi="Calibri" w:cs="Calibri"/>
          <w:color w:val="000000"/>
        </w:rPr>
        <w:t>w</w:t>
      </w:r>
      <w:r w:rsidRPr="004A1733">
        <w:rPr>
          <w:rFonts w:ascii="Calibri" w:hAnsi="Calibri" w:cs="Calibri"/>
          <w:color w:val="000000"/>
        </w:rPr>
        <w:t xml:space="preserve">prowadzenie praktyki zintegrowanego planowania strategicznego na </w:t>
      </w:r>
      <w:r w:rsidR="000603E7">
        <w:rPr>
          <w:rFonts w:ascii="Calibri" w:hAnsi="Calibri" w:cs="Calibri"/>
          <w:color w:val="000000"/>
        </w:rPr>
        <w:t>całym obszarze</w:t>
      </w:r>
      <w:r w:rsidRPr="004A1733">
        <w:rPr>
          <w:rFonts w:ascii="Calibri" w:hAnsi="Calibri" w:cs="Calibri"/>
          <w:color w:val="000000"/>
        </w:rPr>
        <w:t xml:space="preserve"> (w wymiarze społecznym, gospodarczym, środowiskowym i </w:t>
      </w:r>
      <w:r w:rsidR="004A1733" w:rsidRPr="004A1733">
        <w:rPr>
          <w:rFonts w:ascii="Calibri" w:hAnsi="Calibri" w:cs="Calibri"/>
          <w:color w:val="000000"/>
        </w:rPr>
        <w:t>przestrzennym).</w:t>
      </w:r>
      <w:r w:rsidR="004A1733">
        <w:rPr>
          <w:rFonts w:ascii="Calibri" w:hAnsi="Calibri" w:cs="Calibri"/>
          <w:color w:val="000000"/>
        </w:rPr>
        <w:t xml:space="preserve"> </w:t>
      </w:r>
      <w:r w:rsidR="004A1733">
        <w:t>Istotna jest współpraca</w:t>
      </w:r>
      <w:r w:rsidR="004A1733" w:rsidRPr="004A1733">
        <w:t xml:space="preserve"> JST w ujęciu horyzontalnym oraz wertykalnym </w:t>
      </w:r>
      <w:r w:rsidR="000603E7">
        <w:t>jak również wspólne podejście</w:t>
      </w:r>
      <w:r w:rsidR="004A1733" w:rsidRPr="004A1733">
        <w:t xml:space="preserve"> do rozwiązy</w:t>
      </w:r>
      <w:r w:rsidR="000603E7">
        <w:t xml:space="preserve">wania problemów czy </w:t>
      </w:r>
      <w:r w:rsidR="004A1733" w:rsidRPr="004A1733">
        <w:t>prowadzenia działań prorozwojowych obszaru.</w:t>
      </w:r>
      <w:r w:rsidR="004A1733">
        <w:t xml:space="preserve"> W ramach prowadzenia zintegrowanego zarządzania rozwojem HOF ważne jest </w:t>
      </w:r>
      <w:r w:rsidR="004A1733" w:rsidRPr="004A1733">
        <w:t>usprawnieni</w:t>
      </w:r>
      <w:r w:rsidR="000603E7">
        <w:t>e</w:t>
      </w:r>
      <w:r w:rsidR="004A1733" w:rsidRPr="004A1733">
        <w:t xml:space="preserve"> </w:t>
      </w:r>
      <w:r w:rsidR="004A1733" w:rsidRPr="000603E7">
        <w:t xml:space="preserve">procesów koordynacji wewnętrznej w administracji poszczególnych gmin, jak i pomiędzy gminami HOF. Poza prowadzeniem wspólnej polityki warto również zadbać o wymianę i promocję dobrych praktyk w zakresie „dobrego rządzenia” </w:t>
      </w:r>
      <w:r w:rsidR="000603E7" w:rsidRPr="000603E7">
        <w:t>Obszarem Funkcjonalnym</w:t>
      </w:r>
      <w:r w:rsidR="008806C2">
        <w:t xml:space="preserve"> zarówno na </w:t>
      </w:r>
      <w:r w:rsidR="000603E7" w:rsidRPr="000603E7">
        <w:t>obszarze kraju poprzez współpracę z innymi „MOF-</w:t>
      </w:r>
      <w:proofErr w:type="spellStart"/>
      <w:r w:rsidR="000603E7" w:rsidRPr="000603E7">
        <w:t>ami</w:t>
      </w:r>
      <w:proofErr w:type="spellEnd"/>
      <w:r w:rsidR="000603E7" w:rsidRPr="000603E7">
        <w:t>”</w:t>
      </w:r>
      <w:r w:rsidR="008806C2">
        <w:t>,</w:t>
      </w:r>
      <w:r w:rsidR="000603E7" w:rsidRPr="000603E7">
        <w:t xml:space="preserve"> jak również poza granicami </w:t>
      </w:r>
      <w:r w:rsidR="008806C2">
        <w:t>państwa dzięki</w:t>
      </w:r>
      <w:r w:rsidR="000603E7" w:rsidRPr="000603E7">
        <w:t xml:space="preserve"> współp</w:t>
      </w:r>
      <w:r w:rsidR="008806C2">
        <w:t>racy</w:t>
      </w:r>
      <w:r w:rsidR="000603E7" w:rsidRPr="000603E7">
        <w:t xml:space="preserve"> z jednostkami organizacyjnymi innych krajów.</w:t>
      </w:r>
      <w:r w:rsidR="000603E7">
        <w:rPr>
          <w:rFonts w:cstheme="minorHAnsi"/>
          <w:b/>
          <w:sz w:val="20"/>
          <w:szCs w:val="20"/>
        </w:rPr>
        <w:t xml:space="preserve"> </w:t>
      </w:r>
    </w:p>
    <w:p w:rsidR="000603E7" w:rsidRDefault="000603E7" w:rsidP="004A1733">
      <w:r w:rsidRPr="00F41E59">
        <w:rPr>
          <w:rFonts w:cstheme="minorHAnsi"/>
        </w:rPr>
        <w:t xml:space="preserve">We współczesnej gospodarce odczuwany jest coraz silniejszy wpływ nowych technologii będących wynikiem wysokiego tempa postępu naukowo-technicznego. Jak potwierdziła sytuacja związana z rozwojem pandemii Covid-19 w ostatnich latach bardzo wzrosło znaczenie </w:t>
      </w:r>
      <w:r w:rsidR="00F41E59" w:rsidRPr="00F41E59">
        <w:rPr>
          <w:rFonts w:cstheme="minorHAnsi"/>
        </w:rPr>
        <w:t>cyfryzacji usług</w:t>
      </w:r>
      <w:r w:rsidR="008806C2">
        <w:rPr>
          <w:rFonts w:cstheme="minorHAnsi"/>
        </w:rPr>
        <w:t>, wdrażania rozwiązań technologicznych</w:t>
      </w:r>
      <w:r w:rsidR="00F41E59" w:rsidRPr="00F41E59">
        <w:rPr>
          <w:rFonts w:cstheme="minorHAnsi"/>
        </w:rPr>
        <w:t xml:space="preserve"> oraz </w:t>
      </w:r>
      <w:r w:rsidR="008806C2">
        <w:rPr>
          <w:rFonts w:cstheme="minorHAnsi"/>
        </w:rPr>
        <w:t>waga</w:t>
      </w:r>
      <w:r w:rsidR="00F41E59" w:rsidRPr="00F41E59">
        <w:rPr>
          <w:rFonts w:cstheme="minorHAnsi"/>
        </w:rPr>
        <w:t xml:space="preserve"> cyberbezpieczeństwa i ochrony danych </w:t>
      </w:r>
      <w:proofErr w:type="gramStart"/>
      <w:r w:rsidR="00F41E59" w:rsidRPr="00F41E59">
        <w:rPr>
          <w:rFonts w:cstheme="minorHAnsi"/>
        </w:rPr>
        <w:t xml:space="preserve">wrażliwych. </w:t>
      </w:r>
      <w:proofErr w:type="gramEnd"/>
      <w:r w:rsidR="00F41E59" w:rsidRPr="00F41E59">
        <w:rPr>
          <w:rFonts w:cstheme="minorHAnsi"/>
          <w:color w:val="1B1B1B"/>
          <w:shd w:val="clear" w:color="auto" w:fill="FFFFFF"/>
        </w:rPr>
        <w:t>Na</w:t>
      </w:r>
      <w:r w:rsidR="001C6DF7">
        <w:rPr>
          <w:rFonts w:cstheme="minorHAnsi"/>
          <w:color w:val="1B1B1B"/>
          <w:shd w:val="clear" w:color="auto" w:fill="FFFFFF"/>
        </w:rPr>
        <w:t xml:space="preserve"> lepszą ochronę informacji </w:t>
      </w:r>
      <w:r w:rsidR="008806C2">
        <w:rPr>
          <w:rFonts w:cstheme="minorHAnsi"/>
          <w:color w:val="1B1B1B"/>
          <w:shd w:val="clear" w:color="auto" w:fill="FFFFFF"/>
        </w:rPr>
        <w:t xml:space="preserve">poza zastosowaniem rozwiązań technologicznych w dużym stopniu </w:t>
      </w:r>
      <w:r w:rsidR="001C6DF7">
        <w:rPr>
          <w:rFonts w:cstheme="minorHAnsi"/>
          <w:color w:val="1B1B1B"/>
          <w:shd w:val="clear" w:color="auto" w:fill="FFFFFF"/>
        </w:rPr>
        <w:t>wpływa również</w:t>
      </w:r>
      <w:r w:rsidR="00F41E59" w:rsidRPr="00F41E59">
        <w:rPr>
          <w:rFonts w:cstheme="minorHAnsi"/>
          <w:color w:val="1B1B1B"/>
          <w:shd w:val="clear" w:color="auto" w:fill="FFFFFF"/>
        </w:rPr>
        <w:t xml:space="preserve"> promowanie wiedzy i dobrych praktyk wśród </w:t>
      </w:r>
      <w:r w:rsidR="008806C2">
        <w:rPr>
          <w:rFonts w:cstheme="minorHAnsi"/>
          <w:color w:val="1B1B1B"/>
          <w:shd w:val="clear" w:color="auto" w:fill="FFFFFF"/>
        </w:rPr>
        <w:t xml:space="preserve">pracowników administracji i </w:t>
      </w:r>
      <w:r w:rsidR="00F41E59" w:rsidRPr="00F41E59">
        <w:rPr>
          <w:rFonts w:cstheme="minorHAnsi"/>
          <w:color w:val="1B1B1B"/>
          <w:shd w:val="clear" w:color="auto" w:fill="FFFFFF"/>
        </w:rPr>
        <w:t>mieszkańców m.in. poprzez dedykowane programy edukacyjne oraz kampanie świadomościowe.</w:t>
      </w:r>
      <w:r w:rsidR="00F41E59" w:rsidRPr="00F41E59">
        <w:rPr>
          <w:rFonts w:cstheme="minorHAnsi"/>
        </w:rPr>
        <w:t xml:space="preserve"> </w:t>
      </w:r>
      <w:r w:rsidR="00F41E59" w:rsidRPr="00F41E59">
        <w:rPr>
          <w:rFonts w:cstheme="minorHAnsi"/>
          <w:color w:val="1B1B1B"/>
          <w:shd w:val="clear" w:color="auto" w:fill="FFFFFF"/>
        </w:rPr>
        <w:t xml:space="preserve">Niezbędnym działaniem </w:t>
      </w:r>
      <w:r w:rsidR="008806C2">
        <w:rPr>
          <w:rFonts w:cstheme="minorHAnsi"/>
          <w:color w:val="1B1B1B"/>
          <w:shd w:val="clear" w:color="auto" w:fill="FFFFFF"/>
        </w:rPr>
        <w:t xml:space="preserve">w tym zakresie </w:t>
      </w:r>
      <w:r w:rsidR="00F41E59" w:rsidRPr="00F41E59">
        <w:rPr>
          <w:rFonts w:cstheme="minorHAnsi"/>
          <w:color w:val="1B1B1B"/>
          <w:shd w:val="clear" w:color="auto" w:fill="FFFFFF"/>
        </w:rPr>
        <w:t xml:space="preserve">jest podniesienie kompetencji pracowników administracji i jednostek samorządu terytorialnego. </w:t>
      </w:r>
      <w:r w:rsidR="00F41E59" w:rsidRPr="00F41E59">
        <w:rPr>
          <w:rFonts w:cstheme="minorHAnsi"/>
        </w:rPr>
        <w:t>Rozwijające się technologie informacyjno-komunikacyjne stw</w:t>
      </w:r>
      <w:r w:rsidR="000433E2">
        <w:rPr>
          <w:rFonts w:cstheme="minorHAnsi"/>
        </w:rPr>
        <w:t>orzyły możliwości gromadzenia i </w:t>
      </w:r>
      <w:r w:rsidR="00F41E59" w:rsidRPr="00F41E59">
        <w:rPr>
          <w:rFonts w:cstheme="minorHAnsi"/>
        </w:rPr>
        <w:t xml:space="preserve">analizowania dużych zbiorów danych, dlatego też warto wykorzystywać ten potencjał poprzez </w:t>
      </w:r>
      <w:r w:rsidR="00F41E59" w:rsidRPr="00F41E59">
        <w:rPr>
          <w:rFonts w:cstheme="minorHAnsi"/>
          <w:color w:val="000000"/>
        </w:rPr>
        <w:t>właściwe zarządzanie danymi w samorządach oraz ich udostępniani</w:t>
      </w:r>
      <w:r w:rsidR="001C6DF7">
        <w:rPr>
          <w:rFonts w:cstheme="minorHAnsi"/>
          <w:color w:val="000000"/>
        </w:rPr>
        <w:t>e</w:t>
      </w:r>
      <w:r w:rsidR="00A74CC6">
        <w:rPr>
          <w:rFonts w:cstheme="minorHAnsi"/>
          <w:color w:val="000000"/>
        </w:rPr>
        <w:t xml:space="preserve">. Dane mogą posłużyć </w:t>
      </w:r>
      <w:r w:rsidR="00F41E59" w:rsidRPr="00F41E59">
        <w:rPr>
          <w:rFonts w:cstheme="minorHAnsi"/>
          <w:color w:val="000000"/>
        </w:rPr>
        <w:t>do prowadzenia szeregu analiz,</w:t>
      </w:r>
      <w:r w:rsidR="00F41E59">
        <w:rPr>
          <w:rFonts w:cstheme="minorHAnsi"/>
          <w:color w:val="000000"/>
        </w:rPr>
        <w:t xml:space="preserve"> </w:t>
      </w:r>
      <w:r w:rsidR="00F41E59" w:rsidRPr="00F41E59">
        <w:rPr>
          <w:rFonts w:cstheme="minorHAnsi"/>
          <w:color w:val="000000"/>
        </w:rPr>
        <w:t>co może się pozytywnie przełożyć na proces planowania społeczno-przestrzenno-gospodarczego.</w:t>
      </w:r>
      <w:r w:rsidR="00657E2F">
        <w:rPr>
          <w:rFonts w:cstheme="minorHAnsi"/>
          <w:color w:val="000000"/>
        </w:rPr>
        <w:t xml:space="preserve"> </w:t>
      </w:r>
      <w:r w:rsidR="00657E2F">
        <w:t>Rozwój społeczny i gospodarczy w coraz większym stopniu zależny jest od szybkiego i nieskrępowanego dostępu do informacji oraz jej wykorzystania w zarządzaniu, produkcji, sektorze usług oraz sektorze publicznym.</w:t>
      </w:r>
    </w:p>
    <w:p w:rsidR="00657E2F" w:rsidRDefault="00657E2F" w:rsidP="000433E2">
      <w:pPr>
        <w:rPr>
          <w:rFonts w:cstheme="minorHAnsi"/>
        </w:rPr>
      </w:pPr>
      <w:r w:rsidRPr="000433E2">
        <w:t xml:space="preserve">Lokalną aktywność obywatelską należy </w:t>
      </w:r>
      <w:proofErr w:type="gramStart"/>
      <w:r w:rsidRPr="000433E2">
        <w:t>traktować jako</w:t>
      </w:r>
      <w:proofErr w:type="gramEnd"/>
      <w:r w:rsidRPr="000433E2">
        <w:t xml:space="preserve"> warunek powodzenia mechanizmów współrządzenia oraz istotny czynnik rozwoju. Lokalna aktywność obywatelska obejmuje różnorodne działania w tym m.in. nawiązanie kontaktów z władzami, głosowanie w wyborach, bycie członkiem organizacji pozarządowej lub organów doradczych, udział w spotkaniach konsultacyjnych, bycie wolontariuszem, organizowanie lokalnej inicjatywy oraz pomoc sąsiedzka. Ważnym zadaniem </w:t>
      </w:r>
      <w:r w:rsidR="000433E2" w:rsidRPr="000433E2">
        <w:t xml:space="preserve">władz </w:t>
      </w:r>
      <w:r w:rsidRPr="000433E2">
        <w:t>jest u</w:t>
      </w:r>
      <w:r w:rsidRPr="000433E2">
        <w:rPr>
          <w:rFonts w:cstheme="minorHAnsi"/>
        </w:rPr>
        <w:t>powszechnienie zasad partycypacji społecznej i współrządzenia</w:t>
      </w:r>
      <w:r w:rsidR="000433E2" w:rsidRPr="000433E2">
        <w:rPr>
          <w:rFonts w:cstheme="minorHAnsi"/>
        </w:rPr>
        <w:t xml:space="preserve"> oraz dążenie do rozwoju organizacji pozarządowych na terenie HOF poprzez wsparcie finansowe i bliską współpracę z tymi organizacjami.</w:t>
      </w:r>
    </w:p>
    <w:p w:rsidR="000433E2" w:rsidRDefault="008E2037" w:rsidP="000433E2">
      <w:pPr>
        <w:rPr>
          <w:rFonts w:cs="Times New Roman"/>
        </w:rPr>
      </w:pPr>
      <w:r>
        <w:rPr>
          <w:rFonts w:cstheme="minorHAnsi"/>
        </w:rPr>
        <w:t>Kolejnym istotnym kierunkiem działań jest p</w:t>
      </w:r>
      <w:r w:rsidR="000433E2">
        <w:rPr>
          <w:rFonts w:cstheme="minorHAnsi"/>
        </w:rPr>
        <w:t>rowadzenie</w:t>
      </w:r>
      <w:r>
        <w:rPr>
          <w:rFonts w:cstheme="minorHAnsi"/>
        </w:rPr>
        <w:t xml:space="preserve"> czynności</w:t>
      </w:r>
      <w:r w:rsidR="000433E2">
        <w:rPr>
          <w:rFonts w:cstheme="minorHAnsi"/>
        </w:rPr>
        <w:t xml:space="preserve"> marketingowych</w:t>
      </w:r>
      <w:r w:rsidR="00EC7551">
        <w:rPr>
          <w:rFonts w:cstheme="minorHAnsi"/>
        </w:rPr>
        <w:t xml:space="preserve">, efektywnej i długoterminowej promocji HOF pod kątem różnych aspektów działań </w:t>
      </w:r>
      <w:r w:rsidR="00EC7551" w:rsidRPr="00EC7551">
        <w:t>(atrakcyjnego miejsca do życia i pracy, atrakcyjnego miejsca do inwestycji oraz atrakcyjnego miejsca dla turystów),</w:t>
      </w:r>
      <w:r w:rsidR="00281DA7">
        <w:rPr>
          <w:rFonts w:cstheme="minorHAnsi"/>
        </w:rPr>
        <w:t xml:space="preserve"> które pozwolą na </w:t>
      </w:r>
      <w:r w:rsidR="000433E2">
        <w:rPr>
          <w:rFonts w:cstheme="minorHAnsi"/>
        </w:rPr>
        <w:t xml:space="preserve">kreowanie </w:t>
      </w:r>
      <w:r w:rsidR="000433E2">
        <w:rPr>
          <w:rFonts w:cs="Times New Roman"/>
        </w:rPr>
        <w:t xml:space="preserve">pozytywnego wizerunku </w:t>
      </w:r>
      <w:r>
        <w:rPr>
          <w:rFonts w:cs="Times New Roman"/>
        </w:rPr>
        <w:t>HOF</w:t>
      </w:r>
      <w:r w:rsidR="000433E2">
        <w:rPr>
          <w:rFonts w:cs="Times New Roman"/>
        </w:rPr>
        <w:t xml:space="preserve"> i skojarzeń na jego temat u osób odwiedzających </w:t>
      </w:r>
      <w:r>
        <w:rPr>
          <w:rFonts w:cs="Times New Roman"/>
        </w:rPr>
        <w:t>obszar</w:t>
      </w:r>
      <w:r w:rsidR="000433E2">
        <w:rPr>
          <w:rFonts w:cs="Times New Roman"/>
        </w:rPr>
        <w:t xml:space="preserve">, jak i </w:t>
      </w:r>
      <w:r>
        <w:rPr>
          <w:rFonts w:cs="Times New Roman"/>
        </w:rPr>
        <w:t>osób tu</w:t>
      </w:r>
      <w:r w:rsidR="000433E2">
        <w:rPr>
          <w:rFonts w:cs="Times New Roman"/>
        </w:rPr>
        <w:t xml:space="preserve"> żyjących. Promocja obszaru HOF oraz aktywny marketing przełożą się na wzrost przyciągania zewnętrznych kapitałów, technologii i ludzi.</w:t>
      </w:r>
      <w:r w:rsidR="00EC7551">
        <w:rPr>
          <w:rFonts w:cs="Times New Roman"/>
        </w:rPr>
        <w:t xml:space="preserve"> </w:t>
      </w:r>
      <w:r w:rsidR="00281DA7">
        <w:rPr>
          <w:rFonts w:cs="Times New Roman"/>
        </w:rPr>
        <w:t>Działania</w:t>
      </w:r>
      <w:r w:rsidR="00EC7551">
        <w:rPr>
          <w:rFonts w:cs="Times New Roman"/>
        </w:rPr>
        <w:t xml:space="preserve"> skierowan</w:t>
      </w:r>
      <w:r w:rsidR="00281DA7">
        <w:rPr>
          <w:rFonts w:cs="Times New Roman"/>
        </w:rPr>
        <w:t>e</w:t>
      </w:r>
      <w:r w:rsidR="00EC7551">
        <w:rPr>
          <w:rFonts w:cs="Times New Roman"/>
        </w:rPr>
        <w:t xml:space="preserve"> do potencjalnych inwestorów </w:t>
      </w:r>
      <w:r w:rsidR="00B75D70">
        <w:rPr>
          <w:rFonts w:cs="Times New Roman"/>
        </w:rPr>
        <w:t>powinn</w:t>
      </w:r>
      <w:r w:rsidR="00281DA7">
        <w:rPr>
          <w:rFonts w:cs="Times New Roman"/>
        </w:rPr>
        <w:t>y</w:t>
      </w:r>
      <w:r w:rsidR="00B75D70">
        <w:rPr>
          <w:rFonts w:cs="Times New Roman"/>
        </w:rPr>
        <w:t xml:space="preserve"> skupiać się na promocji terenów inwestycyjnych, jak również na przygotowaniu wspólnej dla obszaru HOF oferty inwestycyjnej. Dużym atutem jest </w:t>
      </w:r>
      <w:r w:rsidR="00B75D70">
        <w:rPr>
          <w:rFonts w:cs="Times New Roman"/>
        </w:rPr>
        <w:lastRenderedPageBreak/>
        <w:t xml:space="preserve">zorganizowanie i prowadzenie profesjonalnego punktu obsługi inwestora. </w:t>
      </w:r>
      <w:r w:rsidR="00281DA7">
        <w:rPr>
          <w:rFonts w:cs="Times New Roman"/>
        </w:rPr>
        <w:t>Działania</w:t>
      </w:r>
      <w:r w:rsidR="00EC7551">
        <w:rPr>
          <w:rFonts w:cs="Times New Roman"/>
        </w:rPr>
        <w:t xml:space="preserve"> skierowan</w:t>
      </w:r>
      <w:r w:rsidR="00281DA7">
        <w:rPr>
          <w:rFonts w:cs="Times New Roman"/>
        </w:rPr>
        <w:t>e</w:t>
      </w:r>
      <w:r w:rsidR="00EC7551">
        <w:rPr>
          <w:rFonts w:cs="Times New Roman"/>
        </w:rPr>
        <w:t xml:space="preserve"> do turystów powinn</w:t>
      </w:r>
      <w:r w:rsidR="00281DA7">
        <w:rPr>
          <w:rFonts w:cs="Times New Roman"/>
        </w:rPr>
        <w:t>y</w:t>
      </w:r>
      <w:r w:rsidR="00EC7551">
        <w:rPr>
          <w:rFonts w:cs="Times New Roman"/>
        </w:rPr>
        <w:t xml:space="preserve"> skupić się na przekazaniu potencjaln</w:t>
      </w:r>
      <w:r w:rsidR="00B75D70">
        <w:rPr>
          <w:rFonts w:cs="Times New Roman"/>
        </w:rPr>
        <w:t>emu</w:t>
      </w:r>
      <w:r w:rsidR="00EC7551">
        <w:rPr>
          <w:rFonts w:cs="Times New Roman"/>
        </w:rPr>
        <w:t xml:space="preserve"> turyście informacji na temat dostępności danej atrakcji turystycznej i usługach z nią związanych. Ważne przy tym jest </w:t>
      </w:r>
      <w:r w:rsidR="00281DA7">
        <w:rPr>
          <w:rFonts w:cs="Times New Roman"/>
        </w:rPr>
        <w:t>promowanie atrakcji w </w:t>
      </w:r>
      <w:r w:rsidR="00EC7551">
        <w:rPr>
          <w:rFonts w:cs="Times New Roman"/>
        </w:rPr>
        <w:t>określonych pakietach pozwalających turyście przy okazji zwiedzić również inne atrakcje w okolicy i efektywnie zaplanować czas i wydatki.</w:t>
      </w:r>
      <w:r w:rsidR="001C6DF7">
        <w:rPr>
          <w:rFonts w:cs="Times New Roman"/>
        </w:rPr>
        <w:t xml:space="preserve"> HOF powinien </w:t>
      </w:r>
      <w:r w:rsidR="00281DA7">
        <w:rPr>
          <w:rFonts w:cs="Times New Roman"/>
        </w:rPr>
        <w:t xml:space="preserve">również </w:t>
      </w:r>
      <w:r w:rsidR="001C6DF7">
        <w:rPr>
          <w:rFonts w:cs="Times New Roman"/>
        </w:rPr>
        <w:t xml:space="preserve">podejmować działania angażujące w inicjatywy i kampanie promocyjne organizowane przez inne instytucje (m.in. Urząd Marszałkowski Województwa Lubelskiego) i wykorzystywać je do celów promocyjnych. </w:t>
      </w:r>
      <w:r w:rsidR="001C6DF7" w:rsidRPr="001C6DF7">
        <w:rPr>
          <w:rFonts w:cs="Times New Roman"/>
        </w:rPr>
        <w:t xml:space="preserve">Uczestnictwo we wspólnych kampaniach promocyjnych podniesie skuteczności prowadzonych działań i pozwoli dotrzeć do szerszej grupy odbiorców.  </w:t>
      </w:r>
    </w:p>
    <w:p w:rsidR="00192EEB" w:rsidRDefault="007478E0" w:rsidP="00192EEB">
      <w:pPr>
        <w:spacing w:before="240"/>
        <w:ind w:firstLine="567"/>
        <w:jc w:val="center"/>
        <w:rPr>
          <w:color w:val="02706D" w:themeColor="accent6" w:themeShade="80"/>
        </w:rPr>
      </w:pPr>
      <w:r>
        <w:rPr>
          <w:noProof/>
          <w:lang w:eastAsia="pl-PL"/>
        </w:rPr>
        <mc:AlternateContent>
          <mc:Choice Requires="wps">
            <w:drawing>
              <wp:anchor distT="0" distB="0" distL="114300" distR="114300" simplePos="0" relativeHeight="251724800" behindDoc="0" locked="0" layoutInCell="1" allowOverlap="1" wp14:anchorId="0BD3B22E" wp14:editId="53673EAA">
                <wp:simplePos x="0" y="0"/>
                <wp:positionH relativeFrom="column">
                  <wp:posOffset>5285740</wp:posOffset>
                </wp:positionH>
                <wp:positionV relativeFrom="paragraph">
                  <wp:posOffset>857250</wp:posOffset>
                </wp:positionV>
                <wp:extent cx="1108075" cy="297815"/>
                <wp:effectExtent l="0" t="0" r="15875" b="15240"/>
                <wp:wrapNone/>
                <wp:docPr id="47" name="Prostokąt zaokrąglony 47"/>
                <wp:cNvGraphicFramePr/>
                <a:graphic xmlns:a="http://schemas.openxmlformats.org/drawingml/2006/main">
                  <a:graphicData uri="http://schemas.microsoft.com/office/word/2010/wordprocessingShape">
                    <wps:wsp>
                      <wps:cNvSpPr/>
                      <wps:spPr>
                        <a:xfrm>
                          <a:off x="0" y="0"/>
                          <a:ext cx="1108075" cy="29781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441D5" w:rsidRPr="004364AE" w:rsidRDefault="002441D5" w:rsidP="007478E0">
                            <w:pPr>
                              <w:spacing w:before="0" w:after="0" w:line="240" w:lineRule="auto"/>
                              <w:ind w:firstLine="0"/>
                              <w:jc w:val="left"/>
                              <w:rPr>
                                <w:color w:val="000000" w:themeColor="text1"/>
                                <w:sz w:val="18"/>
                                <w:szCs w:val="18"/>
                              </w:rPr>
                            </w:pPr>
                            <w:r>
                              <w:rPr>
                                <w:color w:val="000000" w:themeColor="text1"/>
                                <w:sz w:val="18"/>
                                <w:szCs w:val="18"/>
                              </w:rPr>
                              <w:t>Cel strategiczny 4</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roundrect id="Prostokąt zaokrąglony 47" o:spid="_x0000_s1050" style="position:absolute;left:0;text-align:left;margin-left:416.2pt;margin-top:67.5pt;width:87.25pt;height:23.4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" fillcolor="#31b6fd [3204]" strokecolor="#016194 [1604]" strokeweight="2pt">
                <v:textbox style="mso-fit-shape-to-text:t" inset=",0,,0">
                  <w:txbxContent>
                    <w:p w:rsidR="002441D5" w:rsidRPr="004364AE" w:rsidRDefault="002441D5" w:rsidP="007478E0">
                      <w:pPr>
                        <w:spacing w:before="0" w:after="0" w:line="240" w:lineRule="auto"/>
                        <w:ind w:firstLine="0"/>
                        <w:jc w:val="left"/>
                        <w:rPr>
                          <w:color w:val="000000" w:themeColor="text1"/>
                          <w:sz w:val="18"/>
                          <w:szCs w:val="18"/>
                        </w:rPr>
                      </w:pPr>
                      <w:r>
                        <w:rPr>
                          <w:color w:val="000000" w:themeColor="text1"/>
                          <w:sz w:val="18"/>
                          <w:szCs w:val="18"/>
                        </w:rPr>
                        <w:t>Cel strategiczny 4</w:t>
                      </w:r>
                    </w:p>
                  </w:txbxContent>
                </v:textbox>
              </v:roundrect>
            </w:pict>
          </mc:Fallback>
        </mc:AlternateContent>
      </w:r>
      <w:r w:rsidR="00192EEB">
        <w:rPr>
          <w:noProof/>
          <w:lang w:eastAsia="pl-PL"/>
        </w:rPr>
        <w:drawing>
          <wp:inline distT="0" distB="0" distL="0" distR="0" wp14:anchorId="3ADBE330" wp14:editId="20A783B4">
            <wp:extent cx="5486400" cy="4073237"/>
            <wp:effectExtent l="0" t="0" r="38100" b="0"/>
            <wp:docPr id="45" name="Di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660F7B" w:rsidRDefault="00660F7B" w:rsidP="00660F7B">
      <w:r>
        <w:lastRenderedPageBreak/>
        <w:t xml:space="preserve">Poniżej zaprezentowano zestawienie możliwych kierunków działań realizujących założenia celu strategicznego </w:t>
      </w:r>
      <w:r w:rsidR="00281DA7">
        <w:t>4. SPRAWNA ADMINISTRACJA I </w:t>
      </w:r>
      <w:r w:rsidRPr="007478E0">
        <w:t>AKTYWNE SPOŁECZEŃSTWO OBYWATELSKIE</w:t>
      </w:r>
      <w:r>
        <w:t xml:space="preserve">. </w:t>
      </w:r>
      <w:r w:rsidRPr="003E1FF5">
        <w:t>Zbiór przedstawionych kierunków interwencji nie stanowi katalogu zamkniętego.</w:t>
      </w:r>
    </w:p>
    <w:p w:rsidR="007A2DBC" w:rsidRDefault="007A2DBC" w:rsidP="007A2DBC">
      <w:pPr>
        <w:rPr>
          <w:b/>
        </w:rPr>
      </w:pPr>
      <w:r>
        <w:rPr>
          <w:b/>
        </w:rPr>
        <w:t xml:space="preserve">Cel operacyjny </w:t>
      </w:r>
      <w:r w:rsidRPr="00192EEB">
        <w:rPr>
          <w:b/>
        </w:rPr>
        <w:t>4.1</w:t>
      </w:r>
      <w:r w:rsidRPr="00192EEB">
        <w:rPr>
          <w:b/>
        </w:rPr>
        <w:tab/>
        <w:t>Wzmacnianie zdolności instytucjonalnej administracji samorządowej w zakresie zintegrowanego zarządzania rozwojem HOF</w:t>
      </w:r>
    </w:p>
    <w:tbl>
      <w:tblPr>
        <w:tblStyle w:val="Jasnasiatkaakcent21"/>
        <w:tblW w:w="0" w:type="auto"/>
        <w:tblLook w:val="04A0" w:firstRow="1" w:lastRow="0" w:firstColumn="1" w:lastColumn="0" w:noHBand="0" w:noVBand="1"/>
      </w:tblPr>
      <w:tblGrid>
        <w:gridCol w:w="2802"/>
        <w:gridCol w:w="4536"/>
        <w:gridCol w:w="2835"/>
        <w:gridCol w:w="2551"/>
        <w:gridCol w:w="1418"/>
      </w:tblGrid>
      <w:tr w:rsidR="00712E71" w:rsidTr="007A2D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3759BB">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3759BB">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551"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8" w:type="dxa"/>
          </w:tcPr>
          <w:p w:rsidR="00712E71" w:rsidRPr="003F543C" w:rsidRDefault="00712E71" w:rsidP="003759BB">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1460E4" w:rsidRDefault="007A2DBC" w:rsidP="003759BB">
            <w:pPr>
              <w:spacing w:before="0"/>
              <w:ind w:firstLine="0"/>
              <w:jc w:val="left"/>
              <w:rPr>
                <w:rFonts w:asciiTheme="minorHAnsi" w:hAnsiTheme="minorHAnsi" w:cstheme="minorHAnsi"/>
                <w:b w:val="0"/>
                <w:sz w:val="20"/>
                <w:szCs w:val="20"/>
              </w:rPr>
            </w:pPr>
            <w:r w:rsidRPr="001460E4">
              <w:rPr>
                <w:rFonts w:asciiTheme="minorHAnsi" w:hAnsiTheme="minorHAnsi" w:cstheme="minorHAnsi"/>
                <w:b w:val="0"/>
                <w:sz w:val="20"/>
                <w:szCs w:val="20"/>
              </w:rPr>
              <w:t>Kreowanie polityki rozwoju oraz monitorowanie jej efektów i skuteczności</w:t>
            </w:r>
          </w:p>
        </w:tc>
        <w:tc>
          <w:tcPr>
            <w:tcW w:w="4536" w:type="dxa"/>
            <w:vAlign w:val="center"/>
          </w:tcPr>
          <w:p w:rsidR="007A2DBC" w:rsidRPr="004E7DA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Wprowadzenie praktyki zintegrowanego planowania st</w:t>
            </w:r>
            <w:r>
              <w:rPr>
                <w:rFonts w:ascii="Calibri" w:hAnsi="Calibri" w:cs="Calibri"/>
                <w:color w:val="000000"/>
                <w:sz w:val="20"/>
                <w:szCs w:val="20"/>
              </w:rPr>
              <w:t>rategicznego na obszarze HOF (w </w:t>
            </w:r>
            <w:r w:rsidRPr="004E7DA8">
              <w:rPr>
                <w:rFonts w:ascii="Calibri" w:hAnsi="Calibri" w:cs="Calibri"/>
                <w:color w:val="000000"/>
                <w:sz w:val="20"/>
                <w:szCs w:val="20"/>
              </w:rPr>
              <w:t>wymiarze społecznym, gospodarczym, środowiskowym i</w:t>
            </w:r>
            <w:r>
              <w:rPr>
                <w:rFonts w:ascii="Calibri" w:hAnsi="Calibri" w:cs="Calibri"/>
                <w:color w:val="000000"/>
                <w:sz w:val="20"/>
                <w:szCs w:val="20"/>
              </w:rPr>
              <w:t> </w:t>
            </w:r>
            <w:r w:rsidRPr="004E7DA8">
              <w:rPr>
                <w:rFonts w:ascii="Calibri" w:hAnsi="Calibri" w:cs="Calibri"/>
                <w:color w:val="000000"/>
                <w:sz w:val="20"/>
                <w:szCs w:val="20"/>
              </w:rPr>
              <w:t xml:space="preserve">przestrzennym) oraz jakość opracowywanych dokumentów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1" w:type="dxa"/>
            <w:vAlign w:val="center"/>
          </w:tcPr>
          <w:p w:rsidR="007A2DBC" w:rsidRPr="0031040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31040C">
              <w:rPr>
                <w:rFonts w:ascii="Calibri" w:hAnsi="Calibri" w:cs="Calibri"/>
                <w:color w:val="000000"/>
                <w:sz w:val="20"/>
                <w:szCs w:val="20"/>
              </w:rPr>
              <w:t>Mieszkańcy – osoby fizyczne, przedsiębiorcy</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1460E4"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4E7DA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Upowszechnienie zasad stałego monitorowania i ocena efektów wdrażanych dokumentów strategicznych i polityk</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1" w:type="dxa"/>
            <w:vAlign w:val="center"/>
          </w:tcPr>
          <w:p w:rsidR="007A2DBC" w:rsidRPr="0031040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31040C">
              <w:rPr>
                <w:rFonts w:ascii="Calibri" w:hAnsi="Calibri" w:cs="Calibri"/>
                <w:color w:val="000000"/>
                <w:sz w:val="20"/>
                <w:szCs w:val="20"/>
              </w:rPr>
              <w:t>Jednostki organizacyjne gmin</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1460E4"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4E7DA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 xml:space="preserve">Zwiększenie zdolności w zakresie pozyskiwania środków zewnętrznych na rozwój obszaru HOF, w tym środków z innowacyjnych mechanizmów finansowania (instrumenty zwrotne, instrumenty dłużne, PPP)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r>
              <w:rPr>
                <w:sz w:val="20"/>
                <w:szCs w:val="20"/>
              </w:rPr>
              <w:t>, instytucje otoczenia biznesu i rolnictwa, przedsiębiorcy</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1460E4"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4E7DA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Roz</w:t>
            </w:r>
            <w:r>
              <w:rPr>
                <w:rFonts w:ascii="Calibri" w:hAnsi="Calibri" w:cs="Calibri"/>
                <w:color w:val="000000"/>
                <w:sz w:val="20"/>
                <w:szCs w:val="20"/>
              </w:rPr>
              <w:t>wój współpracy JST w ujęciu hory</w:t>
            </w:r>
            <w:r w:rsidRPr="004E7DA8">
              <w:rPr>
                <w:rFonts w:ascii="Calibri" w:hAnsi="Calibri" w:cs="Calibri"/>
                <w:color w:val="000000"/>
                <w:sz w:val="20"/>
                <w:szCs w:val="20"/>
              </w:rPr>
              <w:t>zontalnym (np. w ramach partn</w:t>
            </w:r>
            <w:r>
              <w:rPr>
                <w:rFonts w:ascii="Calibri" w:hAnsi="Calibri" w:cs="Calibri"/>
                <w:color w:val="000000"/>
                <w:sz w:val="20"/>
                <w:szCs w:val="20"/>
              </w:rPr>
              <w:t>erstwa ZIT) oraz wertykalnym (z </w:t>
            </w:r>
            <w:r w:rsidRPr="004E7DA8">
              <w:rPr>
                <w:rFonts w:ascii="Calibri" w:hAnsi="Calibri" w:cs="Calibri"/>
                <w:color w:val="000000"/>
                <w:sz w:val="20"/>
                <w:szCs w:val="20"/>
              </w:rPr>
              <w:t>jednos</w:t>
            </w:r>
            <w:r>
              <w:rPr>
                <w:rFonts w:ascii="Calibri" w:hAnsi="Calibri" w:cs="Calibri"/>
                <w:color w:val="000000"/>
                <w:sz w:val="20"/>
                <w:szCs w:val="20"/>
              </w:rPr>
              <w:t>tkami na poziomie ponadlokalnym, regionalnym i </w:t>
            </w:r>
            <w:r w:rsidRPr="004E7DA8">
              <w:rPr>
                <w:rFonts w:ascii="Calibri" w:hAnsi="Calibri" w:cs="Calibri"/>
                <w:color w:val="000000"/>
                <w:sz w:val="20"/>
                <w:szCs w:val="20"/>
              </w:rPr>
              <w:t>krajowym)</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2D0DA3">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3D0FA6">
              <w:rPr>
                <w:sz w:val="18"/>
                <w:szCs w:val="20"/>
              </w:rPr>
              <w:t>Samorządy partnerskie</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FFFFFF" w:themeFill="background1"/>
            <w:vAlign w:val="center"/>
          </w:tcPr>
          <w:p w:rsidR="007A2DBC" w:rsidRPr="001460E4" w:rsidRDefault="007A2DBC" w:rsidP="003759BB">
            <w:pPr>
              <w:spacing w:before="0"/>
              <w:ind w:firstLine="0"/>
              <w:jc w:val="left"/>
              <w:rPr>
                <w:rFonts w:asciiTheme="minorHAnsi" w:hAnsiTheme="minorHAnsi" w:cstheme="minorHAnsi"/>
                <w:b w:val="0"/>
                <w:sz w:val="20"/>
                <w:szCs w:val="20"/>
              </w:rPr>
            </w:pPr>
            <w:proofErr w:type="gramStart"/>
            <w:r w:rsidRPr="001460E4">
              <w:rPr>
                <w:rFonts w:asciiTheme="minorHAnsi" w:hAnsiTheme="minorHAnsi" w:cstheme="minorHAnsi"/>
                <w:b w:val="0"/>
                <w:sz w:val="20"/>
                <w:szCs w:val="20"/>
              </w:rPr>
              <w:t>Poprawa jakości</w:t>
            </w:r>
            <w:proofErr w:type="gramEnd"/>
            <w:r w:rsidRPr="001460E4">
              <w:rPr>
                <w:rFonts w:asciiTheme="minorHAnsi" w:hAnsiTheme="minorHAnsi" w:cstheme="minorHAnsi"/>
                <w:b w:val="0"/>
                <w:sz w:val="20"/>
                <w:szCs w:val="20"/>
              </w:rPr>
              <w:t xml:space="preserve"> świadczonych usług publicznych</w:t>
            </w:r>
          </w:p>
        </w:tc>
        <w:tc>
          <w:tcPr>
            <w:tcW w:w="4536" w:type="dxa"/>
            <w:vAlign w:val="center"/>
          </w:tcPr>
          <w:p w:rsidR="007A2DBC" w:rsidRPr="004E7DA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Upowszechnianie zasad otwarteg</w:t>
            </w:r>
            <w:r>
              <w:rPr>
                <w:rFonts w:ascii="Calibri" w:hAnsi="Calibri" w:cs="Calibri"/>
                <w:color w:val="000000"/>
                <w:sz w:val="20"/>
                <w:szCs w:val="20"/>
              </w:rPr>
              <w:t>o rządzenia (współrządzenia) na </w:t>
            </w:r>
            <w:r w:rsidRPr="004E7DA8">
              <w:rPr>
                <w:rFonts w:ascii="Calibri" w:hAnsi="Calibri" w:cs="Calibri"/>
                <w:color w:val="000000"/>
                <w:sz w:val="20"/>
                <w:szCs w:val="20"/>
              </w:rPr>
              <w:t>obs</w:t>
            </w:r>
            <w:r>
              <w:rPr>
                <w:rFonts w:ascii="Calibri" w:hAnsi="Calibri" w:cs="Calibri"/>
                <w:color w:val="000000"/>
                <w:sz w:val="20"/>
                <w:szCs w:val="20"/>
              </w:rPr>
              <w:t>z</w:t>
            </w:r>
            <w:r w:rsidRPr="004E7DA8">
              <w:rPr>
                <w:rFonts w:ascii="Calibri" w:hAnsi="Calibri" w:cs="Calibri"/>
                <w:color w:val="000000"/>
                <w:sz w:val="20"/>
                <w:szCs w:val="20"/>
              </w:rPr>
              <w:t>arze HOF</w:t>
            </w:r>
          </w:p>
        </w:tc>
        <w:tc>
          <w:tcPr>
            <w:tcW w:w="2835" w:type="dxa"/>
            <w:vAlign w:val="center"/>
          </w:tcPr>
          <w:p w:rsidR="007A2DBC" w:rsidRPr="009301FA"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9301FA">
              <w:rPr>
                <w:rFonts w:ascii="Calibri" w:hAnsi="Calibri" w:cs="Calibri"/>
                <w:color w:val="000000"/>
                <w:sz w:val="20"/>
                <w:szCs w:val="20"/>
              </w:rPr>
              <w:t>Gmina Miejska Hrubieszów, Gmina Hrubieszów</w:t>
            </w:r>
          </w:p>
        </w:tc>
        <w:tc>
          <w:tcPr>
            <w:tcW w:w="2551" w:type="dxa"/>
            <w:vAlign w:val="center"/>
          </w:tcPr>
          <w:p w:rsidR="007A2DBC" w:rsidRPr="009301FA"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9301FA">
              <w:rPr>
                <w:sz w:val="20"/>
                <w:szCs w:val="20"/>
              </w:rPr>
              <w:t>Mieszkańcy – osoby fizyczne, przedsiębiorcy</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vAlign w:val="center"/>
          </w:tcPr>
          <w:p w:rsidR="007A2DBC" w:rsidRPr="001460E4"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4E7DA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proofErr w:type="gramStart"/>
            <w:r w:rsidRPr="004E7DA8">
              <w:rPr>
                <w:rFonts w:ascii="Calibri" w:hAnsi="Calibri" w:cs="Calibri"/>
                <w:color w:val="000000"/>
                <w:sz w:val="20"/>
                <w:szCs w:val="20"/>
              </w:rPr>
              <w:t>Poprawa jakości</w:t>
            </w:r>
            <w:proofErr w:type="gramEnd"/>
            <w:r w:rsidRPr="004E7DA8">
              <w:rPr>
                <w:rFonts w:ascii="Calibri" w:hAnsi="Calibri" w:cs="Calibri"/>
                <w:color w:val="000000"/>
                <w:sz w:val="20"/>
                <w:szCs w:val="20"/>
              </w:rPr>
              <w:t xml:space="preserve"> stanowionego </w:t>
            </w:r>
            <w:r w:rsidRPr="00716E17">
              <w:rPr>
                <w:rFonts w:ascii="Calibri" w:hAnsi="Calibri" w:cs="Calibri"/>
                <w:color w:val="000000"/>
                <w:sz w:val="20"/>
                <w:szCs w:val="20"/>
              </w:rPr>
              <w:t xml:space="preserve">prawa </w:t>
            </w:r>
            <w:r w:rsidR="003F4A47" w:rsidRPr="00716E17">
              <w:rPr>
                <w:rFonts w:ascii="Calibri" w:hAnsi="Calibri" w:cs="Calibri"/>
                <w:color w:val="000000"/>
                <w:sz w:val="20"/>
                <w:szCs w:val="20"/>
              </w:rPr>
              <w:t>lokalnego</w:t>
            </w:r>
            <w:r w:rsidR="003F4A47">
              <w:rPr>
                <w:rFonts w:ascii="Calibri" w:hAnsi="Calibri" w:cs="Calibri"/>
                <w:color w:val="000000"/>
                <w:sz w:val="20"/>
                <w:szCs w:val="20"/>
              </w:rPr>
              <w:t xml:space="preserve"> </w:t>
            </w:r>
            <w:r w:rsidRPr="004E7DA8">
              <w:rPr>
                <w:rFonts w:ascii="Calibri" w:hAnsi="Calibri" w:cs="Calibri"/>
                <w:color w:val="000000"/>
                <w:sz w:val="20"/>
                <w:szCs w:val="20"/>
              </w:rPr>
              <w:t>oraz wprowadzenie mechanizmów oceny skutków regulacji prawnych oraz obciążeń administracyjnych na różne grupy interesariuszy</w:t>
            </w:r>
          </w:p>
        </w:tc>
        <w:tc>
          <w:tcPr>
            <w:tcW w:w="2835" w:type="dxa"/>
            <w:vAlign w:val="center"/>
          </w:tcPr>
          <w:p w:rsidR="007A2DBC" w:rsidRPr="009301FA"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9301FA">
              <w:rPr>
                <w:rFonts w:ascii="Calibri" w:hAnsi="Calibri" w:cs="Calibri"/>
                <w:color w:val="000000"/>
                <w:sz w:val="20"/>
                <w:szCs w:val="20"/>
              </w:rPr>
              <w:t>Gmina Miejska Hrubieszów, Gmina Hrubieszów</w:t>
            </w:r>
          </w:p>
        </w:tc>
        <w:tc>
          <w:tcPr>
            <w:tcW w:w="2551" w:type="dxa"/>
            <w:vAlign w:val="center"/>
          </w:tcPr>
          <w:p w:rsidR="007A2DBC" w:rsidRPr="009301FA"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9301FA">
              <w:rPr>
                <w:sz w:val="20"/>
                <w:szCs w:val="20"/>
              </w:rPr>
              <w:t>Mieszkańcy – osoby fizyczne, przedsiębiorcy</w:t>
            </w:r>
            <w:r>
              <w:rPr>
                <w:sz w:val="20"/>
                <w:szCs w:val="20"/>
              </w:rPr>
              <w:t>, rolnicy</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vAlign w:val="center"/>
          </w:tcPr>
          <w:p w:rsidR="007A2DBC" w:rsidRPr="001460E4"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4E7DA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 xml:space="preserve">Promowanie przejrzystej i otwartej polityki zamówień publicznych (w tym procedury w zakresie zamówień poniżej progu ustawowego, roczne plany </w:t>
            </w:r>
            <w:r w:rsidRPr="004E7DA8">
              <w:rPr>
                <w:rFonts w:ascii="Calibri" w:hAnsi="Calibri" w:cs="Calibri"/>
                <w:color w:val="000000"/>
                <w:sz w:val="20"/>
                <w:szCs w:val="20"/>
              </w:rPr>
              <w:lastRenderedPageBreak/>
              <w:t>zamówień itp.)</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lastRenderedPageBreak/>
              <w:t>Gmina Miejska Hrubieszów, Gmina Hrubieszów</w:t>
            </w:r>
          </w:p>
        </w:tc>
        <w:tc>
          <w:tcPr>
            <w:tcW w:w="2551" w:type="dxa"/>
            <w:vAlign w:val="center"/>
          </w:tcPr>
          <w:p w:rsidR="007A2DBC" w:rsidRPr="00072595"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w:t>
            </w:r>
            <w:r w:rsidRPr="00072595">
              <w:rPr>
                <w:sz w:val="20"/>
                <w:szCs w:val="20"/>
              </w:rPr>
              <w:t>rzedsiębiorcy</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1460E4" w:rsidRDefault="007A2DBC" w:rsidP="003759BB">
            <w:pPr>
              <w:spacing w:before="0"/>
              <w:ind w:firstLine="0"/>
              <w:jc w:val="left"/>
              <w:rPr>
                <w:rFonts w:asciiTheme="minorHAnsi" w:hAnsiTheme="minorHAnsi" w:cstheme="minorHAnsi"/>
                <w:b w:val="0"/>
                <w:sz w:val="20"/>
                <w:szCs w:val="20"/>
              </w:rPr>
            </w:pPr>
            <w:r w:rsidRPr="001460E4">
              <w:rPr>
                <w:rFonts w:asciiTheme="minorHAnsi" w:hAnsiTheme="minorHAnsi" w:cstheme="minorHAnsi"/>
                <w:b w:val="0"/>
                <w:sz w:val="20"/>
                <w:szCs w:val="20"/>
              </w:rPr>
              <w:lastRenderedPageBreak/>
              <w:t>Rozwój kadr oraz poprawa wewnętrznych procesów koordynowania i zarządzania na obszarze HOF</w:t>
            </w:r>
          </w:p>
        </w:tc>
        <w:tc>
          <w:tcPr>
            <w:tcW w:w="4536" w:type="dxa"/>
            <w:vAlign w:val="center"/>
          </w:tcPr>
          <w:p w:rsidR="007A2DBC" w:rsidRPr="004E7DA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Usprawnienie procesów koordynacji wewnętrznej w ramach administracji poszczególnych gmin, jak i pomiędzy gminami HOF (m.in. poprzez poprawę przejrzystości i dostępności obowiązujących schematów organizacyjnych, procedur, system odpowiedzialności i koordynacji poszczególnych zadań</w:t>
            </w:r>
            <w:r>
              <w:rPr>
                <w:rFonts w:ascii="Calibri" w:hAnsi="Calibri" w:cs="Calibri"/>
                <w:color w:val="000000"/>
                <w:sz w:val="20"/>
                <w:szCs w:val="20"/>
              </w:rPr>
              <w:t xml:space="preserve"> itp</w:t>
            </w:r>
            <w:r w:rsidRPr="004E7DA8">
              <w:rPr>
                <w:rFonts w:ascii="Calibri" w:hAnsi="Calibri" w:cs="Calibri"/>
                <w:color w:val="000000"/>
                <w:sz w:val="20"/>
                <w:szCs w:val="20"/>
              </w:rPr>
              <w:t>.)</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Pr="00072595"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1460E4"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4E7DA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Zarządzanie kadrami oraz rozwój ich wiedzy i kompetencji (m.in. poprzez wła</w:t>
            </w:r>
            <w:r>
              <w:rPr>
                <w:rFonts w:ascii="Calibri" w:hAnsi="Calibri" w:cs="Calibri"/>
                <w:color w:val="000000"/>
                <w:sz w:val="20"/>
                <w:szCs w:val="20"/>
              </w:rPr>
              <w:t>ściwe planowanie zatrudnienia i </w:t>
            </w:r>
            <w:r w:rsidRPr="004E7DA8">
              <w:rPr>
                <w:rFonts w:ascii="Calibri" w:hAnsi="Calibri" w:cs="Calibri"/>
                <w:color w:val="000000"/>
                <w:sz w:val="20"/>
                <w:szCs w:val="20"/>
              </w:rPr>
              <w:t>system rekrutacji</w:t>
            </w:r>
            <w:r>
              <w:rPr>
                <w:rFonts w:ascii="Calibri" w:hAnsi="Calibri" w:cs="Calibri"/>
                <w:color w:val="000000"/>
                <w:sz w:val="20"/>
                <w:szCs w:val="20"/>
              </w:rPr>
              <w:t>, szkolenia i </w:t>
            </w:r>
            <w:r w:rsidRPr="004E7DA8">
              <w:rPr>
                <w:rFonts w:ascii="Calibri" w:hAnsi="Calibri" w:cs="Calibri"/>
                <w:color w:val="000000"/>
                <w:sz w:val="20"/>
                <w:szCs w:val="20"/>
              </w:rPr>
              <w:t>dokształcanie się, zarządzanie karierą oraz indywidualne ścieżki ro</w:t>
            </w:r>
            <w:r>
              <w:rPr>
                <w:rFonts w:ascii="Calibri" w:hAnsi="Calibri" w:cs="Calibri"/>
                <w:color w:val="000000"/>
                <w:sz w:val="20"/>
                <w:szCs w:val="20"/>
              </w:rPr>
              <w:t>zwoju, polityka wynagradzania i </w:t>
            </w:r>
            <w:r w:rsidRPr="004E7DA8">
              <w:rPr>
                <w:rFonts w:ascii="Calibri" w:hAnsi="Calibri" w:cs="Calibri"/>
                <w:color w:val="000000"/>
                <w:sz w:val="20"/>
                <w:szCs w:val="20"/>
              </w:rPr>
              <w:t>motywowania do pracy itp.</w:t>
            </w:r>
            <w:r>
              <w:rPr>
                <w:rFonts w:ascii="Calibri" w:hAnsi="Calibri" w:cs="Calibri"/>
                <w:color w:val="000000"/>
                <w:sz w:val="20"/>
                <w:szCs w:val="20"/>
              </w:rPr>
              <w:t>)</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Pr="00072595"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1460E4"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4E7DA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Wprowadzenie stał</w:t>
            </w:r>
            <w:r>
              <w:rPr>
                <w:rFonts w:ascii="Calibri" w:hAnsi="Calibri" w:cs="Calibri"/>
                <w:color w:val="000000"/>
                <w:sz w:val="20"/>
                <w:szCs w:val="20"/>
              </w:rPr>
              <w:t>ych mechanizmów monitorowania i</w:t>
            </w:r>
            <w:r w:rsidRPr="004E7DA8">
              <w:rPr>
                <w:rFonts w:ascii="Calibri" w:hAnsi="Calibri" w:cs="Calibri"/>
                <w:color w:val="000000"/>
                <w:sz w:val="20"/>
                <w:szCs w:val="20"/>
              </w:rPr>
              <w:t xml:space="preserve"> samooceny funkcjonowania urzędów</w:t>
            </w:r>
            <w:r>
              <w:rPr>
                <w:rFonts w:ascii="Calibri" w:hAnsi="Calibri" w:cs="Calibri"/>
                <w:color w:val="000000"/>
                <w:sz w:val="20"/>
                <w:szCs w:val="20"/>
              </w:rPr>
              <w:t xml:space="preserve"> gminnych i </w:t>
            </w:r>
            <w:r w:rsidRPr="004E7DA8">
              <w:rPr>
                <w:rFonts w:ascii="Calibri" w:hAnsi="Calibri" w:cs="Calibri"/>
                <w:color w:val="000000"/>
                <w:sz w:val="20"/>
                <w:szCs w:val="20"/>
              </w:rPr>
              <w:t xml:space="preserve">ich jednostek organizacyjnych (w tym wykorzystanie narzędzia samooceny rozwoju instytucjonalnego JST, opracowanego przez OECD) </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Pr="00072595"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1460E4" w:rsidRDefault="007A2DBC" w:rsidP="003759BB">
            <w:pPr>
              <w:spacing w:before="0"/>
              <w:ind w:firstLine="0"/>
              <w:jc w:val="left"/>
              <w:rPr>
                <w:rFonts w:asciiTheme="minorHAnsi" w:hAnsiTheme="minorHAnsi" w:cstheme="minorHAnsi"/>
                <w:b w:val="0"/>
                <w:sz w:val="20"/>
                <w:szCs w:val="20"/>
              </w:rPr>
            </w:pPr>
            <w:r w:rsidRPr="001460E4">
              <w:rPr>
                <w:rFonts w:asciiTheme="minorHAnsi" w:hAnsiTheme="minorHAnsi" w:cstheme="minorHAnsi"/>
                <w:b w:val="0"/>
                <w:sz w:val="20"/>
                <w:szCs w:val="20"/>
              </w:rPr>
              <w:t xml:space="preserve">Współpraca partnerska, sieciowanie i wymiana praktyk w zakresie „dobrego rządzenia” na obszarze HOF  </w:t>
            </w:r>
          </w:p>
        </w:tc>
        <w:tc>
          <w:tcPr>
            <w:tcW w:w="4536" w:type="dxa"/>
            <w:vAlign w:val="center"/>
          </w:tcPr>
          <w:p w:rsidR="007A2DBC" w:rsidRPr="004E7DA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Współpraca krajowa w zakresie funkcjonowania i rozwoju miejskich obszarów funkcjonalnych planowania</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Pr="00072595"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072595">
              <w:rPr>
                <w:sz w:val="20"/>
                <w:szCs w:val="20"/>
              </w:rPr>
              <w:t>Inne MOF</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A2DBC" w:rsidRDefault="007A2DBC" w:rsidP="003759BB">
            <w:pPr>
              <w:spacing w:before="0"/>
              <w:ind w:firstLine="0"/>
              <w:rPr>
                <w:b w:val="0"/>
              </w:rPr>
            </w:pPr>
          </w:p>
        </w:tc>
        <w:tc>
          <w:tcPr>
            <w:tcW w:w="4536" w:type="dxa"/>
            <w:vAlign w:val="center"/>
          </w:tcPr>
          <w:p w:rsidR="007A2DBC" w:rsidRPr="004E7DA8"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Współpraca międzynarodowa w</w:t>
            </w:r>
            <w:r>
              <w:rPr>
                <w:rFonts w:ascii="Calibri" w:hAnsi="Calibri" w:cs="Calibri"/>
                <w:color w:val="000000"/>
                <w:sz w:val="20"/>
                <w:szCs w:val="20"/>
              </w:rPr>
              <w:t> </w:t>
            </w:r>
            <w:r w:rsidRPr="004E7DA8">
              <w:rPr>
                <w:rFonts w:ascii="Calibri" w:hAnsi="Calibri" w:cs="Calibri"/>
                <w:color w:val="000000"/>
                <w:sz w:val="20"/>
                <w:szCs w:val="20"/>
              </w:rPr>
              <w:t>zakresie wymiany wiedzy, doświadczeń i dobrych praktyk</w:t>
            </w:r>
          </w:p>
        </w:tc>
        <w:tc>
          <w:tcPr>
            <w:tcW w:w="2835" w:type="dxa"/>
            <w:vAlign w:val="center"/>
          </w:tcPr>
          <w:p w:rsidR="007A2DBC" w:rsidRPr="005E18A9"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5E18A9">
              <w:rPr>
                <w:rFonts w:ascii="Calibri" w:hAnsi="Calibri" w:cs="Calibri"/>
                <w:color w:val="000000"/>
                <w:sz w:val="20"/>
                <w:szCs w:val="20"/>
              </w:rPr>
              <w:t>Gmina Miejska Hrubieszów, Gmina Hrubieszów</w:t>
            </w:r>
          </w:p>
        </w:tc>
        <w:tc>
          <w:tcPr>
            <w:tcW w:w="2551" w:type="dxa"/>
            <w:vAlign w:val="center"/>
          </w:tcPr>
          <w:p w:rsidR="007A2DBC" w:rsidRPr="005E18A9"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5E18A9">
              <w:rPr>
                <w:sz w:val="20"/>
                <w:szCs w:val="20"/>
              </w:rPr>
              <w:t xml:space="preserve">Jednostki organizacyjne innych </w:t>
            </w:r>
            <w:r w:rsidRPr="00716E17">
              <w:rPr>
                <w:sz w:val="20"/>
                <w:szCs w:val="20"/>
              </w:rPr>
              <w:t>krajów</w:t>
            </w:r>
            <w:r w:rsidR="003F4A47" w:rsidRPr="00716E17">
              <w:rPr>
                <w:sz w:val="20"/>
                <w:szCs w:val="20"/>
              </w:rPr>
              <w:t>, samorządy zagraniczne, jednostki naukowe, przedsiębiorcy</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A2D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7A2DBC" w:rsidRDefault="007A2DBC" w:rsidP="003759BB">
            <w:pPr>
              <w:spacing w:before="0"/>
              <w:ind w:firstLine="0"/>
              <w:rPr>
                <w:b w:val="0"/>
              </w:rPr>
            </w:pPr>
          </w:p>
        </w:tc>
        <w:tc>
          <w:tcPr>
            <w:tcW w:w="4536" w:type="dxa"/>
            <w:vAlign w:val="center"/>
          </w:tcPr>
          <w:p w:rsidR="007A2DBC" w:rsidRPr="004E7DA8"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4E7DA8">
              <w:rPr>
                <w:rFonts w:ascii="Calibri" w:hAnsi="Calibri" w:cs="Calibri"/>
                <w:color w:val="000000"/>
                <w:sz w:val="20"/>
                <w:szCs w:val="20"/>
              </w:rPr>
              <w:t xml:space="preserve">Realizacja współpracy partnerskiej </w:t>
            </w:r>
            <w:r>
              <w:rPr>
                <w:rFonts w:ascii="Calibri" w:hAnsi="Calibri" w:cs="Calibri"/>
                <w:color w:val="000000"/>
                <w:sz w:val="20"/>
                <w:szCs w:val="20"/>
              </w:rPr>
              <w:t>miasta Hrubieszów z partnerem z </w:t>
            </w:r>
            <w:r w:rsidRPr="004E7DA8">
              <w:rPr>
                <w:rFonts w:ascii="Calibri" w:hAnsi="Calibri" w:cs="Calibri"/>
                <w:color w:val="000000"/>
                <w:sz w:val="20"/>
                <w:szCs w:val="20"/>
              </w:rPr>
              <w:t>Norwegii w ramach projektu rozwoju lokalnego</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5E18A9">
              <w:rPr>
                <w:rFonts w:ascii="Calibri" w:hAnsi="Calibri" w:cs="Calibri"/>
                <w:color w:val="000000"/>
                <w:sz w:val="20"/>
                <w:szCs w:val="20"/>
              </w:rPr>
              <w:t>Gmina Miejska Hrubieszów</w:t>
            </w:r>
          </w:p>
        </w:tc>
        <w:tc>
          <w:tcPr>
            <w:tcW w:w="2551" w:type="dxa"/>
            <w:vAlign w:val="center"/>
          </w:tcPr>
          <w:p w:rsidR="007A2DBC" w:rsidRPr="005E18A9"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5E18A9">
              <w:rPr>
                <w:sz w:val="20"/>
                <w:szCs w:val="20"/>
              </w:rPr>
              <w:t>Partner Norweski</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7A2DBC" w:rsidRDefault="007A2DBC" w:rsidP="007A2DBC">
      <w:pPr>
        <w:pStyle w:val="Akapitzlist"/>
        <w:spacing w:before="0"/>
        <w:ind w:firstLine="0"/>
        <w:rPr>
          <w:b/>
        </w:rPr>
      </w:pPr>
    </w:p>
    <w:p w:rsidR="007A2DBC" w:rsidRPr="007F60A9" w:rsidRDefault="007A2DBC" w:rsidP="007A2DBC">
      <w:pPr>
        <w:pStyle w:val="Akapitzlist"/>
        <w:spacing w:before="0" w:after="240"/>
        <w:ind w:firstLine="0"/>
        <w:rPr>
          <w:rFonts w:cs="Calibri"/>
          <w:color w:val="000000"/>
        </w:rPr>
      </w:pPr>
      <w:r>
        <w:rPr>
          <w:b/>
        </w:rPr>
        <w:t xml:space="preserve">Cel operacyjny 4.2 </w:t>
      </w:r>
      <w:r w:rsidRPr="00192EEB">
        <w:rPr>
          <w:rFonts w:cs="Calibri"/>
          <w:b/>
          <w:color w:val="000000"/>
        </w:rPr>
        <w:t>Cyfryzacja usług i zasobów administracji samorządowej</w:t>
      </w:r>
    </w:p>
    <w:tbl>
      <w:tblPr>
        <w:tblStyle w:val="Jasnasiatkaakcent21"/>
        <w:tblW w:w="0" w:type="auto"/>
        <w:tblLook w:val="04A0" w:firstRow="1" w:lastRow="0" w:firstColumn="1" w:lastColumn="0" w:noHBand="0" w:noVBand="1"/>
      </w:tblPr>
      <w:tblGrid>
        <w:gridCol w:w="2802"/>
        <w:gridCol w:w="4536"/>
        <w:gridCol w:w="2835"/>
        <w:gridCol w:w="2551"/>
        <w:gridCol w:w="1418"/>
      </w:tblGrid>
      <w:tr w:rsidR="00712E71" w:rsidTr="007F2D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3759BB">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3759BB">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551"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 xml:space="preserve">odmioty biorące udział w realizacji (partnerzy merytoryczni, </w:t>
            </w:r>
            <w:r w:rsidRPr="003F543C">
              <w:rPr>
                <w:rFonts w:asciiTheme="minorHAnsi" w:hAnsiTheme="minorHAnsi" w:cstheme="minorHAnsi"/>
                <w:color w:val="000000"/>
                <w:sz w:val="20"/>
                <w:szCs w:val="20"/>
              </w:rPr>
              <w:lastRenderedPageBreak/>
              <w:t>organizacyjni i finansowi)</w:t>
            </w:r>
          </w:p>
        </w:tc>
        <w:tc>
          <w:tcPr>
            <w:tcW w:w="1418" w:type="dxa"/>
          </w:tcPr>
          <w:p w:rsidR="00712E71" w:rsidRPr="003F543C" w:rsidRDefault="00712E71" w:rsidP="003759BB">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lastRenderedPageBreak/>
              <w:t>Okres realizacji</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E7014F" w:rsidRDefault="007A2DBC" w:rsidP="003759BB">
            <w:pPr>
              <w:spacing w:before="0"/>
              <w:ind w:firstLine="0"/>
              <w:jc w:val="left"/>
              <w:rPr>
                <w:rFonts w:asciiTheme="minorHAnsi" w:hAnsiTheme="minorHAnsi" w:cstheme="minorHAnsi"/>
                <w:b w:val="0"/>
                <w:sz w:val="20"/>
                <w:szCs w:val="20"/>
              </w:rPr>
            </w:pPr>
            <w:r w:rsidRPr="00716E17">
              <w:rPr>
                <w:rFonts w:asciiTheme="minorHAnsi" w:hAnsiTheme="minorHAnsi" w:cstheme="minorHAnsi"/>
                <w:b w:val="0"/>
                <w:sz w:val="20"/>
                <w:szCs w:val="20"/>
              </w:rPr>
              <w:lastRenderedPageBreak/>
              <w:t>Cyfryzacja usług publicznych</w:t>
            </w:r>
            <w:r w:rsidR="003F4A47" w:rsidRPr="00716E17">
              <w:rPr>
                <w:rFonts w:asciiTheme="minorHAnsi" w:hAnsiTheme="minorHAnsi" w:cstheme="minorHAnsi"/>
                <w:b w:val="0"/>
                <w:sz w:val="20"/>
                <w:szCs w:val="20"/>
              </w:rPr>
              <w:t xml:space="preserve">, </w:t>
            </w:r>
            <w:proofErr w:type="gramStart"/>
            <w:r w:rsidR="003F4A47" w:rsidRPr="00716E17">
              <w:rPr>
                <w:rFonts w:asciiTheme="minorHAnsi" w:hAnsiTheme="minorHAnsi" w:cstheme="minorHAnsi"/>
                <w:b w:val="0"/>
                <w:sz w:val="20"/>
                <w:szCs w:val="20"/>
              </w:rPr>
              <w:t>poprawa jakości</w:t>
            </w:r>
            <w:proofErr w:type="gramEnd"/>
            <w:r w:rsidR="003F4A47" w:rsidRPr="00716E17">
              <w:rPr>
                <w:rFonts w:asciiTheme="minorHAnsi" w:hAnsiTheme="minorHAnsi" w:cstheme="minorHAnsi"/>
                <w:b w:val="0"/>
                <w:sz w:val="20"/>
                <w:szCs w:val="20"/>
              </w:rPr>
              <w:t xml:space="preserve"> usług elektronicznych</w:t>
            </w:r>
            <w:r w:rsidRPr="00716E17">
              <w:rPr>
                <w:rFonts w:asciiTheme="minorHAnsi" w:hAnsiTheme="minorHAnsi" w:cstheme="minorHAnsi"/>
                <w:b w:val="0"/>
                <w:sz w:val="20"/>
                <w:szCs w:val="20"/>
              </w:rPr>
              <w:t xml:space="preserve"> oraz elektroniczny obieg</w:t>
            </w:r>
            <w:r w:rsidRPr="00E7014F">
              <w:rPr>
                <w:rFonts w:asciiTheme="minorHAnsi" w:hAnsiTheme="minorHAnsi" w:cstheme="minorHAnsi"/>
                <w:b w:val="0"/>
                <w:sz w:val="20"/>
                <w:szCs w:val="20"/>
              </w:rPr>
              <w:t xml:space="preserve"> dokumentów</w:t>
            </w:r>
          </w:p>
        </w:tc>
        <w:tc>
          <w:tcPr>
            <w:tcW w:w="4536" w:type="dxa"/>
            <w:vAlign w:val="center"/>
          </w:tcPr>
          <w:p w:rsidR="007A2DBC" w:rsidRPr="001460E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 xml:space="preserve">Przyspieszenie procesu cyfryzacji usług publicznych na terenie gmin HOF oraz podniesienie ich na wyższy poziom dojrzałości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Pr="00072595"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E7014F"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1460E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Rozwój systemu wsparcia dodatkowego dla świadczenia usług elektronicznych, w tym: (</w:t>
            </w:r>
            <w:r>
              <w:rPr>
                <w:rFonts w:ascii="Calibri" w:hAnsi="Calibri" w:cs="Calibri"/>
                <w:color w:val="000000"/>
                <w:sz w:val="20"/>
                <w:szCs w:val="20"/>
              </w:rPr>
              <w:t>I</w:t>
            </w:r>
            <w:r w:rsidRPr="001460E4">
              <w:rPr>
                <w:rFonts w:ascii="Calibri" w:hAnsi="Calibri" w:cs="Calibri"/>
                <w:color w:val="000000"/>
                <w:sz w:val="20"/>
                <w:szCs w:val="20"/>
              </w:rPr>
              <w:t>) cykliczne szkolenia na temat e-usług dla urzędnikó</w:t>
            </w:r>
            <w:r>
              <w:rPr>
                <w:rFonts w:ascii="Calibri" w:hAnsi="Calibri" w:cs="Calibri"/>
                <w:color w:val="000000"/>
                <w:sz w:val="20"/>
                <w:szCs w:val="20"/>
              </w:rPr>
              <w:t>w publicznych i mieszkańców; (II) dodatkowe usługi w </w:t>
            </w:r>
            <w:r w:rsidRPr="001460E4">
              <w:rPr>
                <w:rFonts w:ascii="Calibri" w:hAnsi="Calibri" w:cs="Calibri"/>
                <w:color w:val="000000"/>
                <w:sz w:val="20"/>
                <w:szCs w:val="20"/>
              </w:rPr>
              <w:t>postaci np. elektronicznych faktur, zdalnej pomocy, aplikacje mobilne, czaty, webinaria, bezpiec</w:t>
            </w:r>
            <w:r>
              <w:rPr>
                <w:rFonts w:ascii="Calibri" w:hAnsi="Calibri" w:cs="Calibri"/>
                <w:color w:val="000000"/>
                <w:sz w:val="20"/>
                <w:szCs w:val="20"/>
              </w:rPr>
              <w:t>zne przesyłanie informacji; (III</w:t>
            </w:r>
            <w:r w:rsidRPr="001460E4">
              <w:rPr>
                <w:rFonts w:ascii="Calibri" w:hAnsi="Calibri" w:cs="Calibri"/>
                <w:color w:val="000000"/>
                <w:sz w:val="20"/>
                <w:szCs w:val="20"/>
              </w:rPr>
              <w:t>) wsparcie dla osób o różnym</w:t>
            </w:r>
            <w:r>
              <w:rPr>
                <w:rFonts w:ascii="Calibri" w:hAnsi="Calibri" w:cs="Calibri"/>
                <w:color w:val="000000"/>
                <w:sz w:val="20"/>
                <w:szCs w:val="20"/>
              </w:rPr>
              <w:t xml:space="preserve"> stopniu niepełnosprawności; (IV) opracowane</w:t>
            </w:r>
            <w:r w:rsidRPr="001460E4">
              <w:rPr>
                <w:rFonts w:ascii="Calibri" w:hAnsi="Calibri" w:cs="Calibri"/>
                <w:color w:val="000000"/>
                <w:sz w:val="20"/>
                <w:szCs w:val="20"/>
              </w:rPr>
              <w:t xml:space="preserve"> procedury dotyczące oprogramowania, sprzętu i kwalifikacji personel</w:t>
            </w:r>
            <w:r>
              <w:rPr>
                <w:rFonts w:ascii="Calibri" w:hAnsi="Calibri" w:cs="Calibri"/>
                <w:color w:val="000000"/>
                <w:sz w:val="20"/>
                <w:szCs w:val="20"/>
              </w:rPr>
              <w:t>u, aby prowadzić pracę zdalną i </w:t>
            </w:r>
            <w:r w:rsidRPr="001460E4">
              <w:rPr>
                <w:rFonts w:ascii="Calibri" w:hAnsi="Calibri" w:cs="Calibri"/>
                <w:color w:val="000000"/>
                <w:sz w:val="20"/>
                <w:szCs w:val="20"/>
              </w:rPr>
              <w:t>wykorzystywać udostępniane dokumenty, kalendarze elektroniczne itd.</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Pr="00072595"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072595">
              <w:rPr>
                <w:sz w:val="20"/>
                <w:szCs w:val="20"/>
              </w:rPr>
              <w:t>Jednostki organizacyjne gmin</w:t>
            </w:r>
            <w:r>
              <w:rPr>
                <w:sz w:val="20"/>
                <w:szCs w:val="20"/>
              </w:rPr>
              <w:t>, przedsiębiorcy, organizacje pozarządowe</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E7014F"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1460E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Rozbudowa efektywnego systemu elektronicznego obiegu dokumentów umożliwiającego dzielenie się informacjami oraz komunikację między różnymi komórkami organizacyjnymi urzędu i jednostkami organizacyjnymi JST</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E7014F" w:rsidRDefault="007A2DBC" w:rsidP="003759BB">
            <w:pPr>
              <w:spacing w:before="0"/>
              <w:ind w:firstLine="0"/>
              <w:jc w:val="left"/>
              <w:rPr>
                <w:rFonts w:asciiTheme="minorHAnsi" w:hAnsiTheme="minorHAnsi" w:cstheme="minorHAnsi"/>
                <w:b w:val="0"/>
                <w:sz w:val="20"/>
                <w:szCs w:val="20"/>
              </w:rPr>
            </w:pPr>
            <w:r w:rsidRPr="00E7014F">
              <w:rPr>
                <w:rFonts w:asciiTheme="minorHAnsi" w:hAnsiTheme="minorHAnsi" w:cstheme="minorHAnsi"/>
                <w:b w:val="0"/>
                <w:sz w:val="20"/>
                <w:szCs w:val="20"/>
              </w:rPr>
              <w:t>Lepsze zarządzanie danymi publicznymi or</w:t>
            </w:r>
            <w:r>
              <w:rPr>
                <w:rFonts w:asciiTheme="minorHAnsi" w:hAnsiTheme="minorHAnsi" w:cstheme="minorHAnsi"/>
                <w:b w:val="0"/>
                <w:sz w:val="20"/>
                <w:szCs w:val="20"/>
              </w:rPr>
              <w:t>az zasady ich wykorzystywania i </w:t>
            </w:r>
            <w:r w:rsidRPr="00E7014F">
              <w:rPr>
                <w:rFonts w:asciiTheme="minorHAnsi" w:hAnsiTheme="minorHAnsi" w:cstheme="minorHAnsi"/>
                <w:b w:val="0"/>
                <w:sz w:val="20"/>
                <w:szCs w:val="20"/>
              </w:rPr>
              <w:t>udostępniania</w:t>
            </w:r>
          </w:p>
        </w:tc>
        <w:tc>
          <w:tcPr>
            <w:tcW w:w="4536" w:type="dxa"/>
            <w:vAlign w:val="center"/>
          </w:tcPr>
          <w:p w:rsidR="007A2DBC" w:rsidRPr="001460E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Przeprowadzenie inwentaryzacji dostępnych danych publicznych g</w:t>
            </w:r>
            <w:r>
              <w:rPr>
                <w:rFonts w:ascii="Calibri" w:hAnsi="Calibri" w:cs="Calibri"/>
                <w:color w:val="000000"/>
                <w:sz w:val="20"/>
                <w:szCs w:val="20"/>
              </w:rPr>
              <w:t>romadzonych w zasobach miasta i </w:t>
            </w:r>
            <w:r w:rsidRPr="001460E4">
              <w:rPr>
                <w:rFonts w:ascii="Calibri" w:hAnsi="Calibri" w:cs="Calibri"/>
                <w:color w:val="000000"/>
                <w:sz w:val="20"/>
                <w:szCs w:val="20"/>
              </w:rPr>
              <w:t xml:space="preserve">gminy pod kątem ich </w:t>
            </w:r>
            <w:proofErr w:type="gramStart"/>
            <w:r>
              <w:rPr>
                <w:rFonts w:ascii="Calibri" w:hAnsi="Calibri" w:cs="Calibri"/>
                <w:color w:val="000000"/>
                <w:sz w:val="20"/>
                <w:szCs w:val="20"/>
              </w:rPr>
              <w:t>udostępnienia</w:t>
            </w:r>
            <w:r w:rsidRPr="001460E4">
              <w:rPr>
                <w:rFonts w:ascii="Calibri" w:hAnsi="Calibri" w:cs="Calibri"/>
                <w:color w:val="000000"/>
                <w:sz w:val="20"/>
                <w:szCs w:val="20"/>
              </w:rPr>
              <w:t xml:space="preserve"> jako</w:t>
            </w:r>
            <w:proofErr w:type="gramEnd"/>
            <w:r w:rsidRPr="001460E4">
              <w:rPr>
                <w:rFonts w:ascii="Calibri" w:hAnsi="Calibri" w:cs="Calibri"/>
                <w:color w:val="000000"/>
                <w:sz w:val="20"/>
                <w:szCs w:val="20"/>
              </w:rPr>
              <w:t xml:space="preserve"> dane otwarte</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E7014F"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1460E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 xml:space="preserve">Opracowane strategii zarządzania własnymi danymi i udostępniania ich na zewnątrz (m.in. określenie metod, za </w:t>
            </w:r>
            <w:proofErr w:type="gramStart"/>
            <w:r w:rsidRPr="001460E4">
              <w:rPr>
                <w:rFonts w:ascii="Calibri" w:hAnsi="Calibri" w:cs="Calibri"/>
                <w:color w:val="000000"/>
                <w:sz w:val="20"/>
                <w:szCs w:val="20"/>
              </w:rPr>
              <w:t>pomocą których</w:t>
            </w:r>
            <w:proofErr w:type="gramEnd"/>
            <w:r w:rsidRPr="001460E4">
              <w:rPr>
                <w:rFonts w:ascii="Calibri" w:hAnsi="Calibri" w:cs="Calibri"/>
                <w:color w:val="000000"/>
                <w:sz w:val="20"/>
                <w:szCs w:val="20"/>
              </w:rPr>
              <w:t xml:space="preserve"> administracja zarządza własnymi zasobami danych poprzez ustalone reguły, polityki, procedury, role </w:t>
            </w:r>
            <w:r>
              <w:rPr>
                <w:rFonts w:ascii="Calibri" w:hAnsi="Calibri" w:cs="Calibri"/>
                <w:color w:val="000000"/>
                <w:sz w:val="20"/>
                <w:szCs w:val="20"/>
              </w:rPr>
              <w:t>oraz zasady odpowiedzialności)</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E7014F"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1460E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Współp</w:t>
            </w:r>
            <w:r>
              <w:rPr>
                <w:rFonts w:ascii="Calibri" w:hAnsi="Calibri" w:cs="Calibri"/>
                <w:color w:val="000000"/>
                <w:sz w:val="20"/>
                <w:szCs w:val="20"/>
              </w:rPr>
              <w:t>raca z instytucjami krajowymi i </w:t>
            </w:r>
            <w:r w:rsidRPr="001460E4">
              <w:rPr>
                <w:rFonts w:ascii="Calibri" w:hAnsi="Calibri" w:cs="Calibri"/>
                <w:color w:val="000000"/>
                <w:sz w:val="20"/>
                <w:szCs w:val="20"/>
              </w:rPr>
              <w:t>podmiotami prywatnymi w zakresie właściwego zarz</w:t>
            </w:r>
            <w:r>
              <w:rPr>
                <w:rFonts w:ascii="Calibri" w:hAnsi="Calibri" w:cs="Calibri"/>
                <w:color w:val="000000"/>
                <w:sz w:val="20"/>
                <w:szCs w:val="20"/>
              </w:rPr>
              <w:t>ądzania danymi (w </w:t>
            </w:r>
            <w:r w:rsidRPr="001460E4">
              <w:rPr>
                <w:rFonts w:ascii="Calibri" w:hAnsi="Calibri" w:cs="Calibri"/>
                <w:color w:val="000000"/>
                <w:sz w:val="20"/>
                <w:szCs w:val="20"/>
              </w:rPr>
              <w:t>tym big data) w samorządach oraz ic</w:t>
            </w:r>
            <w:r>
              <w:rPr>
                <w:rFonts w:ascii="Calibri" w:hAnsi="Calibri" w:cs="Calibri"/>
                <w:color w:val="000000"/>
                <w:sz w:val="20"/>
                <w:szCs w:val="20"/>
              </w:rPr>
              <w:t>h udostępniania (architektura i standaryzacja</w:t>
            </w:r>
            <w:r w:rsidRPr="001460E4">
              <w:rPr>
                <w:rFonts w:ascii="Calibri" w:hAnsi="Calibri" w:cs="Calibri"/>
                <w:color w:val="000000"/>
                <w:sz w:val="20"/>
                <w:szCs w:val="20"/>
              </w:rPr>
              <w:t xml:space="preserve"> danych, zapewnienie </w:t>
            </w:r>
            <w:proofErr w:type="gramStart"/>
            <w:r w:rsidRPr="001460E4">
              <w:rPr>
                <w:rFonts w:ascii="Calibri" w:hAnsi="Calibri" w:cs="Calibri"/>
                <w:color w:val="000000"/>
                <w:sz w:val="20"/>
                <w:szCs w:val="20"/>
              </w:rPr>
              <w:t>ic</w:t>
            </w:r>
            <w:r>
              <w:rPr>
                <w:rFonts w:ascii="Calibri" w:hAnsi="Calibri" w:cs="Calibri"/>
                <w:color w:val="000000"/>
                <w:sz w:val="20"/>
                <w:szCs w:val="20"/>
              </w:rPr>
              <w:t>h jakości</w:t>
            </w:r>
            <w:proofErr w:type="gramEnd"/>
            <w:r>
              <w:rPr>
                <w:rFonts w:ascii="Calibri" w:hAnsi="Calibri" w:cs="Calibri"/>
                <w:color w:val="000000"/>
                <w:sz w:val="20"/>
                <w:szCs w:val="20"/>
              </w:rPr>
              <w:t xml:space="preserve"> i interoperacyjności)</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072595">
              <w:rPr>
                <w:sz w:val="20"/>
                <w:szCs w:val="20"/>
              </w:rPr>
              <w:t>Jednostki organizacyjne gmin</w:t>
            </w:r>
            <w:r>
              <w:rPr>
                <w:sz w:val="20"/>
                <w:szCs w:val="20"/>
              </w:rPr>
              <w:t>, przedsiębiorcy, instytucje krajowe</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E7014F"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1460E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 xml:space="preserve">Podnoszenie wiedzy i umiejętności pracowników administracji w zakresie otwierania i zarządzania danymi oraz zwiększanie świadomości społecznej na temat potencjału otwartych danych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D9E6F6" w:themeFill="accent2" w:themeFillTint="33"/>
            <w:vAlign w:val="center"/>
          </w:tcPr>
          <w:p w:rsidR="007A2DBC" w:rsidRPr="00E7014F" w:rsidRDefault="007A2DBC" w:rsidP="003759BB">
            <w:pPr>
              <w:spacing w:before="0"/>
              <w:ind w:firstLine="0"/>
              <w:jc w:val="left"/>
              <w:rPr>
                <w:rFonts w:asciiTheme="minorHAnsi" w:hAnsiTheme="minorHAnsi" w:cstheme="minorHAnsi"/>
                <w:b w:val="0"/>
                <w:sz w:val="20"/>
                <w:szCs w:val="20"/>
              </w:rPr>
            </w:pPr>
            <w:proofErr w:type="spellStart"/>
            <w:r w:rsidRPr="00E7014F">
              <w:rPr>
                <w:rFonts w:asciiTheme="minorHAnsi" w:hAnsiTheme="minorHAnsi" w:cstheme="minorHAnsi"/>
                <w:b w:val="0"/>
                <w:sz w:val="20"/>
                <w:szCs w:val="20"/>
              </w:rPr>
              <w:t>Cyberbezpieczeństwo</w:t>
            </w:r>
            <w:proofErr w:type="spellEnd"/>
            <w:r w:rsidRPr="00E7014F">
              <w:rPr>
                <w:rFonts w:asciiTheme="minorHAnsi" w:hAnsiTheme="minorHAnsi" w:cstheme="minorHAnsi"/>
                <w:b w:val="0"/>
                <w:sz w:val="20"/>
                <w:szCs w:val="20"/>
              </w:rPr>
              <w:t xml:space="preserve"> i ochrona danych wrażliwych</w:t>
            </w:r>
          </w:p>
        </w:tc>
        <w:tc>
          <w:tcPr>
            <w:tcW w:w="4536" w:type="dxa"/>
            <w:vAlign w:val="center"/>
          </w:tcPr>
          <w:p w:rsidR="007A2DBC" w:rsidRPr="001460E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Regularne monitorowanie dotychczasowych praktyk i procedur za</w:t>
            </w:r>
            <w:r>
              <w:rPr>
                <w:rFonts w:ascii="Calibri" w:hAnsi="Calibri" w:cs="Calibri"/>
                <w:color w:val="000000"/>
                <w:sz w:val="20"/>
                <w:szCs w:val="20"/>
              </w:rPr>
              <w:t>pewnienia cyberbezpieczeństwa w </w:t>
            </w:r>
            <w:r w:rsidRPr="001460E4">
              <w:rPr>
                <w:rFonts w:ascii="Calibri" w:hAnsi="Calibri" w:cs="Calibri"/>
                <w:color w:val="000000"/>
                <w:sz w:val="20"/>
                <w:szCs w:val="20"/>
              </w:rPr>
              <w:t>urzędach gmin i jednostek im podległych (w tym coroczne wykonywanie audytów bezpieczeństwa typu KRI, KSC, DSS05)</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1460E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 xml:space="preserve">Upowszechnianie wiedzy i dobrych praktyk w zakresie cyberbezpieczeństwa w administracji samorządowej (szkolenia, poradniki, dobre praktyki </w:t>
            </w:r>
            <w:r>
              <w:rPr>
                <w:rFonts w:ascii="Calibri" w:hAnsi="Calibri" w:cs="Calibri"/>
                <w:color w:val="000000"/>
                <w:sz w:val="20"/>
                <w:szCs w:val="20"/>
              </w:rPr>
              <w:t>itp.</w:t>
            </w:r>
            <w:r w:rsidRPr="001460E4">
              <w:rPr>
                <w:rFonts w:ascii="Calibri" w:hAnsi="Calibri" w:cs="Calibri"/>
                <w:color w:val="000000"/>
                <w:sz w:val="20"/>
                <w:szCs w:val="20"/>
              </w:rPr>
              <w:t>)</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1460E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1460E4">
              <w:rPr>
                <w:rFonts w:ascii="Calibri" w:hAnsi="Calibri" w:cs="Calibri"/>
                <w:color w:val="000000"/>
                <w:sz w:val="20"/>
                <w:szCs w:val="20"/>
              </w:rPr>
              <w:t>Projekty inwestycyjn</w:t>
            </w:r>
            <w:r>
              <w:rPr>
                <w:rFonts w:ascii="Calibri" w:hAnsi="Calibri" w:cs="Calibri"/>
                <w:color w:val="000000"/>
                <w:sz w:val="20"/>
                <w:szCs w:val="20"/>
              </w:rPr>
              <w:t>e w zakresie zapewnienia cyberb</w:t>
            </w:r>
            <w:r w:rsidRPr="001460E4">
              <w:rPr>
                <w:rFonts w:ascii="Calibri" w:hAnsi="Calibri" w:cs="Calibri"/>
                <w:color w:val="000000"/>
                <w:sz w:val="20"/>
                <w:szCs w:val="20"/>
              </w:rPr>
              <w:t>e</w:t>
            </w:r>
            <w:r>
              <w:rPr>
                <w:rFonts w:ascii="Calibri" w:hAnsi="Calibri" w:cs="Calibri"/>
                <w:color w:val="000000"/>
                <w:sz w:val="20"/>
                <w:szCs w:val="20"/>
              </w:rPr>
              <w:t>zpiec</w:t>
            </w:r>
            <w:r w:rsidRPr="001460E4">
              <w:rPr>
                <w:rFonts w:ascii="Calibri" w:hAnsi="Calibri" w:cs="Calibri"/>
                <w:color w:val="000000"/>
                <w:sz w:val="20"/>
                <w:szCs w:val="20"/>
              </w:rPr>
              <w:t>zeństwa (zgodnie ze zidentyfikowanymi potrzebami w zakresie zape</w:t>
            </w:r>
            <w:r>
              <w:rPr>
                <w:rFonts w:ascii="Calibri" w:hAnsi="Calibri" w:cs="Calibri"/>
                <w:color w:val="000000"/>
                <w:sz w:val="20"/>
                <w:szCs w:val="20"/>
              </w:rPr>
              <w:t>wnienia odpowiedniego sprzętu i </w:t>
            </w:r>
            <w:r w:rsidRPr="001460E4">
              <w:rPr>
                <w:rFonts w:ascii="Calibri" w:hAnsi="Calibri" w:cs="Calibri"/>
                <w:color w:val="000000"/>
                <w:sz w:val="20"/>
                <w:szCs w:val="20"/>
              </w:rPr>
              <w:t>oprogramowania, korzystania z usług chmurowych)</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1"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072595">
              <w:rPr>
                <w:sz w:val="20"/>
                <w:szCs w:val="20"/>
              </w:rPr>
              <w:t>Jednostki organizacyjne gmin</w:t>
            </w:r>
          </w:p>
        </w:tc>
        <w:tc>
          <w:tcPr>
            <w:tcW w:w="1418"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7A2DBC" w:rsidRDefault="007A2DBC" w:rsidP="007A2DBC">
      <w:pPr>
        <w:rPr>
          <w:b/>
        </w:rPr>
      </w:pPr>
      <w:r>
        <w:rPr>
          <w:b/>
        </w:rPr>
        <w:t xml:space="preserve">Cel operacyjny </w:t>
      </w:r>
      <w:r w:rsidRPr="00192EEB">
        <w:rPr>
          <w:b/>
        </w:rPr>
        <w:t>4.3</w:t>
      </w:r>
      <w:r w:rsidRPr="00192EEB">
        <w:rPr>
          <w:b/>
        </w:rPr>
        <w:tab/>
      </w:r>
      <w:r>
        <w:rPr>
          <w:b/>
        </w:rPr>
        <w:t xml:space="preserve"> </w:t>
      </w:r>
      <w:r w:rsidRPr="00192EEB">
        <w:rPr>
          <w:b/>
        </w:rPr>
        <w:t>Aktywizacja obywatelska mieszkańców oraz budowanie kapitału społecznego</w:t>
      </w:r>
    </w:p>
    <w:tbl>
      <w:tblPr>
        <w:tblStyle w:val="Jasnasiatkaakcent21"/>
        <w:tblW w:w="0" w:type="auto"/>
        <w:tblLook w:val="04A0" w:firstRow="1" w:lastRow="0" w:firstColumn="1" w:lastColumn="0" w:noHBand="0" w:noVBand="1"/>
      </w:tblPr>
      <w:tblGrid>
        <w:gridCol w:w="2802"/>
        <w:gridCol w:w="4536"/>
        <w:gridCol w:w="2835"/>
        <w:gridCol w:w="2550"/>
        <w:gridCol w:w="1419"/>
      </w:tblGrid>
      <w:tr w:rsidR="00712E71" w:rsidTr="007F2D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3759BB">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3759BB">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550"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9" w:type="dxa"/>
          </w:tcPr>
          <w:p w:rsidR="00712E71" w:rsidRPr="003F543C" w:rsidRDefault="00712E71" w:rsidP="003759BB">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E7014F" w:rsidRDefault="007A2DBC" w:rsidP="003759BB">
            <w:pPr>
              <w:spacing w:before="0"/>
              <w:ind w:firstLine="0"/>
              <w:jc w:val="left"/>
              <w:rPr>
                <w:rFonts w:asciiTheme="minorHAnsi" w:hAnsiTheme="minorHAnsi" w:cstheme="minorHAnsi"/>
                <w:b w:val="0"/>
                <w:sz w:val="20"/>
                <w:szCs w:val="20"/>
              </w:rPr>
            </w:pPr>
            <w:r w:rsidRPr="00E7014F">
              <w:rPr>
                <w:rFonts w:asciiTheme="minorHAnsi" w:hAnsiTheme="minorHAnsi" w:cstheme="minorHAnsi"/>
                <w:b w:val="0"/>
                <w:sz w:val="20"/>
                <w:szCs w:val="20"/>
              </w:rPr>
              <w:t>Upowszechnienie zasad partycypacji społecznej i współrządzenia</w:t>
            </w:r>
          </w:p>
        </w:tc>
        <w:tc>
          <w:tcPr>
            <w:tcW w:w="4536" w:type="dxa"/>
            <w:vAlign w:val="center"/>
          </w:tcPr>
          <w:p w:rsidR="007A2DBC" w:rsidRPr="005E7DA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Partycypacja w proces</w:t>
            </w:r>
            <w:r>
              <w:rPr>
                <w:rFonts w:ascii="Calibri" w:hAnsi="Calibri" w:cs="Calibri"/>
                <w:color w:val="000000"/>
                <w:sz w:val="20"/>
                <w:szCs w:val="20"/>
              </w:rPr>
              <w:t>i</w:t>
            </w:r>
            <w:r w:rsidRPr="005E7DA4">
              <w:rPr>
                <w:rFonts w:ascii="Calibri" w:hAnsi="Calibri" w:cs="Calibri"/>
                <w:color w:val="000000"/>
                <w:sz w:val="20"/>
                <w:szCs w:val="20"/>
              </w:rPr>
              <w:t>e planowania strategicznego (aktywny udział mieszkańców w opracowywaniu dokumentów strategiczn</w:t>
            </w:r>
            <w:r>
              <w:rPr>
                <w:rFonts w:ascii="Calibri" w:hAnsi="Calibri" w:cs="Calibri"/>
                <w:color w:val="000000"/>
                <w:sz w:val="20"/>
                <w:szCs w:val="20"/>
              </w:rPr>
              <w:t>ych miasta i </w:t>
            </w:r>
            <w:r w:rsidRPr="005E7DA4">
              <w:rPr>
                <w:rFonts w:ascii="Calibri" w:hAnsi="Calibri" w:cs="Calibri"/>
                <w:color w:val="000000"/>
                <w:sz w:val="20"/>
                <w:szCs w:val="20"/>
              </w:rPr>
              <w:t>gminy)</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Pr="00716E17"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16E17">
              <w:rPr>
                <w:sz w:val="20"/>
                <w:szCs w:val="20"/>
              </w:rPr>
              <w:t>Mieszkańcy – osoby fizyczne</w:t>
            </w:r>
            <w:r w:rsidR="003F4A47" w:rsidRPr="00716E17">
              <w:rPr>
                <w:sz w:val="20"/>
                <w:szCs w:val="20"/>
              </w:rPr>
              <w:t>, organizacje pozarządowe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E7014F"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5E7DA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Par</w:t>
            </w:r>
            <w:r>
              <w:rPr>
                <w:rFonts w:ascii="Calibri" w:hAnsi="Calibri" w:cs="Calibri"/>
                <w:color w:val="000000"/>
                <w:sz w:val="20"/>
                <w:szCs w:val="20"/>
              </w:rPr>
              <w:t>tycypacja i współuczestnictwo w </w:t>
            </w:r>
            <w:r w:rsidRPr="005E7DA4">
              <w:rPr>
                <w:rFonts w:ascii="Calibri" w:hAnsi="Calibri" w:cs="Calibri"/>
                <w:color w:val="000000"/>
                <w:sz w:val="20"/>
                <w:szCs w:val="20"/>
              </w:rPr>
              <w:t>planowaniu budżetu gminy i jego wykorzystywaniu (budżet partycypacyjny/obywatelski)</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Pr="00716E1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716E17">
              <w:rPr>
                <w:sz w:val="20"/>
                <w:szCs w:val="20"/>
              </w:rPr>
              <w:t>Mieszkańcy – osoby fizyczne</w:t>
            </w:r>
            <w:r w:rsidR="003F4A47" w:rsidRPr="00716E17">
              <w:rPr>
                <w:sz w:val="20"/>
                <w:szCs w:val="20"/>
              </w:rPr>
              <w:t>, organizacje pozarządowe</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E7014F"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5E7DA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Rozwój różnych technik i narzędzi partycypacyjnych w kluczowych obszarach współpracy władz sa</w:t>
            </w:r>
            <w:r>
              <w:rPr>
                <w:rFonts w:ascii="Calibri" w:hAnsi="Calibri" w:cs="Calibri"/>
                <w:color w:val="000000"/>
                <w:sz w:val="20"/>
                <w:szCs w:val="20"/>
              </w:rPr>
              <w:t>morządowych z mieszkańcami (np. </w:t>
            </w:r>
            <w:r w:rsidRPr="005E7DA4">
              <w:rPr>
                <w:rFonts w:ascii="Calibri" w:hAnsi="Calibri" w:cs="Calibri"/>
                <w:color w:val="000000"/>
                <w:sz w:val="20"/>
                <w:szCs w:val="20"/>
              </w:rPr>
              <w:t>rewital</w:t>
            </w:r>
            <w:r>
              <w:rPr>
                <w:rFonts w:ascii="Calibri" w:hAnsi="Calibri" w:cs="Calibri"/>
                <w:color w:val="000000"/>
                <w:sz w:val="20"/>
                <w:szCs w:val="20"/>
              </w:rPr>
              <w:t>izacja przestrzeni publicznych,</w:t>
            </w:r>
            <w:r w:rsidRPr="005E7DA4">
              <w:rPr>
                <w:rFonts w:ascii="Calibri" w:hAnsi="Calibri" w:cs="Calibri"/>
                <w:color w:val="000000"/>
                <w:sz w:val="20"/>
                <w:szCs w:val="20"/>
              </w:rPr>
              <w:t xml:space="preserve"> wspólna organizacja wydarzeń kulturalnych, panele obywatelskie nt. </w:t>
            </w:r>
            <w:r w:rsidRPr="005E7DA4">
              <w:rPr>
                <w:rFonts w:ascii="Calibri" w:hAnsi="Calibri" w:cs="Calibri"/>
                <w:color w:val="000000"/>
                <w:sz w:val="20"/>
                <w:szCs w:val="20"/>
              </w:rPr>
              <w:lastRenderedPageBreak/>
              <w:t>klimatu, ekologii, zas</w:t>
            </w:r>
            <w:r>
              <w:rPr>
                <w:rFonts w:ascii="Calibri" w:hAnsi="Calibri" w:cs="Calibri"/>
                <w:color w:val="000000"/>
                <w:sz w:val="20"/>
                <w:szCs w:val="20"/>
              </w:rPr>
              <w:t>obów wody; mobilność i </w:t>
            </w:r>
            <w:r w:rsidRPr="005E7DA4">
              <w:rPr>
                <w:rFonts w:ascii="Calibri" w:hAnsi="Calibri" w:cs="Calibri"/>
                <w:color w:val="000000"/>
                <w:sz w:val="20"/>
                <w:szCs w:val="20"/>
              </w:rPr>
              <w:t xml:space="preserve">planowanie zielonej infrastruktury </w:t>
            </w:r>
            <w:r>
              <w:rPr>
                <w:rFonts w:ascii="Calibri" w:hAnsi="Calibri" w:cs="Calibri"/>
                <w:color w:val="000000"/>
                <w:sz w:val="20"/>
                <w:szCs w:val="20"/>
              </w:rPr>
              <w:t>itp.</w:t>
            </w:r>
            <w:r w:rsidRPr="005E7DA4">
              <w:rPr>
                <w:rFonts w:ascii="Calibri" w:hAnsi="Calibri" w:cs="Calibri"/>
                <w:color w:val="000000"/>
                <w:sz w:val="20"/>
                <w:szCs w:val="20"/>
              </w:rPr>
              <w:t xml:space="preserve">)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lastRenderedPageBreak/>
              <w:t>Gmina Miejska Hrubieszów, Gmina Hrubieszów</w:t>
            </w:r>
          </w:p>
        </w:tc>
        <w:tc>
          <w:tcPr>
            <w:tcW w:w="2550" w:type="dxa"/>
            <w:vAlign w:val="center"/>
          </w:tcPr>
          <w:p w:rsidR="007A2DBC" w:rsidRPr="00716E17"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16E17">
              <w:rPr>
                <w:sz w:val="20"/>
                <w:szCs w:val="20"/>
              </w:rPr>
              <w:t>Mieszkańcy – osoby fizyczne</w:t>
            </w:r>
            <w:r w:rsidR="003F4A47" w:rsidRPr="00716E17">
              <w:rPr>
                <w:sz w:val="20"/>
                <w:szCs w:val="20"/>
              </w:rPr>
              <w:t>, organizacje pozarządowe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AE07FC" w:rsidTr="007F2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AE07FC" w:rsidRPr="00E7014F" w:rsidRDefault="00AE07FC" w:rsidP="003759BB">
            <w:pPr>
              <w:spacing w:before="0"/>
              <w:ind w:firstLine="0"/>
              <w:jc w:val="left"/>
              <w:rPr>
                <w:rFonts w:asciiTheme="minorHAnsi" w:hAnsiTheme="minorHAnsi" w:cstheme="minorHAnsi"/>
                <w:b w:val="0"/>
                <w:sz w:val="20"/>
                <w:szCs w:val="20"/>
              </w:rPr>
            </w:pPr>
            <w:r w:rsidRPr="00E7014F">
              <w:rPr>
                <w:rFonts w:asciiTheme="minorHAnsi" w:hAnsiTheme="minorHAnsi" w:cstheme="minorHAnsi"/>
                <w:b w:val="0"/>
                <w:sz w:val="20"/>
                <w:szCs w:val="20"/>
              </w:rPr>
              <w:lastRenderedPageBreak/>
              <w:t>Rozwój organizacji pozarządowych na terenie H</w:t>
            </w:r>
            <w:r>
              <w:rPr>
                <w:rFonts w:asciiTheme="minorHAnsi" w:hAnsiTheme="minorHAnsi" w:cstheme="minorHAnsi"/>
                <w:b w:val="0"/>
                <w:sz w:val="20"/>
                <w:szCs w:val="20"/>
              </w:rPr>
              <w:t>OF oraz ich działalności poprzez wsparcie finansowe i </w:t>
            </w:r>
            <w:r w:rsidRPr="00E7014F">
              <w:rPr>
                <w:rFonts w:asciiTheme="minorHAnsi" w:hAnsiTheme="minorHAnsi" w:cstheme="minorHAnsi"/>
                <w:b w:val="0"/>
                <w:sz w:val="20"/>
                <w:szCs w:val="20"/>
              </w:rPr>
              <w:t>bliską współpracę</w:t>
            </w:r>
          </w:p>
        </w:tc>
        <w:tc>
          <w:tcPr>
            <w:tcW w:w="4536" w:type="dxa"/>
            <w:vAlign w:val="center"/>
          </w:tcPr>
          <w:p w:rsidR="00AE07FC" w:rsidRPr="005E7DA4" w:rsidRDefault="00716E17"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R</w:t>
            </w:r>
            <w:r w:rsidR="00AE07FC" w:rsidRPr="005E7DA4">
              <w:rPr>
                <w:rFonts w:ascii="Calibri" w:hAnsi="Calibri" w:cs="Calibri"/>
                <w:color w:val="000000"/>
                <w:sz w:val="20"/>
                <w:szCs w:val="20"/>
              </w:rPr>
              <w:t>ozwój i doskonalenie instr</w:t>
            </w:r>
            <w:r w:rsidR="00AE07FC">
              <w:rPr>
                <w:rFonts w:ascii="Calibri" w:hAnsi="Calibri" w:cs="Calibri"/>
                <w:color w:val="000000"/>
                <w:sz w:val="20"/>
                <w:szCs w:val="20"/>
              </w:rPr>
              <w:t>umentu budżetu obywatelskiego i </w:t>
            </w:r>
            <w:r w:rsidR="00AE07FC" w:rsidRPr="005E7DA4">
              <w:rPr>
                <w:rFonts w:ascii="Calibri" w:hAnsi="Calibri" w:cs="Calibri"/>
                <w:color w:val="000000"/>
                <w:sz w:val="20"/>
                <w:szCs w:val="20"/>
              </w:rPr>
              <w:t>sołeckiego na terenie HOF</w:t>
            </w:r>
          </w:p>
        </w:tc>
        <w:tc>
          <w:tcPr>
            <w:tcW w:w="2835" w:type="dxa"/>
            <w:vAlign w:val="center"/>
          </w:tcPr>
          <w:p w:rsidR="00AE07FC" w:rsidRDefault="00AE07F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AE07FC" w:rsidRPr="00237447" w:rsidRDefault="00AE07F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237447">
              <w:rPr>
                <w:sz w:val="20"/>
                <w:szCs w:val="20"/>
              </w:rPr>
              <w:t>Mieszkańcy – osoby fizyczne</w:t>
            </w:r>
          </w:p>
        </w:tc>
        <w:tc>
          <w:tcPr>
            <w:tcW w:w="1419" w:type="dxa"/>
            <w:vAlign w:val="center"/>
          </w:tcPr>
          <w:p w:rsidR="00AE07FC" w:rsidRDefault="00AE07F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AE07F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AE07FC" w:rsidRPr="00E7014F" w:rsidRDefault="00AE07FC" w:rsidP="003759BB">
            <w:pPr>
              <w:spacing w:before="0"/>
              <w:ind w:firstLine="0"/>
              <w:jc w:val="left"/>
              <w:rPr>
                <w:rFonts w:asciiTheme="minorHAnsi" w:hAnsiTheme="minorHAnsi" w:cstheme="minorHAnsi"/>
                <w:b w:val="0"/>
                <w:sz w:val="20"/>
                <w:szCs w:val="20"/>
              </w:rPr>
            </w:pPr>
          </w:p>
        </w:tc>
        <w:tc>
          <w:tcPr>
            <w:tcW w:w="4536" w:type="dxa"/>
            <w:vAlign w:val="center"/>
          </w:tcPr>
          <w:p w:rsidR="00AE07FC" w:rsidRPr="005E7DA4" w:rsidRDefault="00AE07F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Re</w:t>
            </w:r>
            <w:r>
              <w:rPr>
                <w:rFonts w:ascii="Calibri" w:hAnsi="Calibri" w:cs="Calibri"/>
                <w:color w:val="000000"/>
                <w:sz w:val="20"/>
                <w:szCs w:val="20"/>
              </w:rPr>
              <w:t>alizacja programów współpracy z </w:t>
            </w:r>
            <w:r w:rsidRPr="005E7DA4">
              <w:rPr>
                <w:rFonts w:ascii="Calibri" w:hAnsi="Calibri" w:cs="Calibri"/>
                <w:color w:val="000000"/>
                <w:sz w:val="20"/>
                <w:szCs w:val="20"/>
              </w:rPr>
              <w:t>organizacjami pozarządowymi bardziej ukierunkowanych na nowe inicjatywy i angażujących nowe podmioty i społeczności</w:t>
            </w:r>
          </w:p>
        </w:tc>
        <w:tc>
          <w:tcPr>
            <w:tcW w:w="2835" w:type="dxa"/>
            <w:vAlign w:val="center"/>
          </w:tcPr>
          <w:p w:rsidR="00AE07FC" w:rsidRDefault="00AE07F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AE07FC" w:rsidRPr="00237447" w:rsidRDefault="00AE07F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Organizacje pozarządowe</w:t>
            </w:r>
          </w:p>
        </w:tc>
        <w:tc>
          <w:tcPr>
            <w:tcW w:w="1419" w:type="dxa"/>
            <w:vAlign w:val="center"/>
          </w:tcPr>
          <w:p w:rsidR="00AE07FC" w:rsidRDefault="00AE07F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AE07FC" w:rsidTr="007F2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AE07FC" w:rsidRPr="00E7014F" w:rsidRDefault="00AE07FC" w:rsidP="003759BB">
            <w:pPr>
              <w:spacing w:before="0"/>
              <w:ind w:firstLine="0"/>
              <w:jc w:val="left"/>
              <w:rPr>
                <w:rFonts w:asciiTheme="minorHAnsi" w:hAnsiTheme="minorHAnsi" w:cstheme="minorHAnsi"/>
                <w:b w:val="0"/>
                <w:sz w:val="20"/>
                <w:szCs w:val="20"/>
              </w:rPr>
            </w:pPr>
          </w:p>
        </w:tc>
        <w:tc>
          <w:tcPr>
            <w:tcW w:w="4536" w:type="dxa"/>
            <w:vAlign w:val="center"/>
          </w:tcPr>
          <w:p w:rsidR="00AE07FC" w:rsidRPr="005E7DA4" w:rsidRDefault="00AE07F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Lepsze wykorzystanie istniejących struktur organizacyjnych</w:t>
            </w:r>
            <w:r>
              <w:rPr>
                <w:rFonts w:ascii="Calibri" w:hAnsi="Calibri" w:cs="Calibri"/>
                <w:color w:val="000000"/>
                <w:sz w:val="20"/>
                <w:szCs w:val="20"/>
              </w:rPr>
              <w:t xml:space="preserve"> (z </w:t>
            </w:r>
            <w:r w:rsidRPr="005E7DA4">
              <w:rPr>
                <w:rFonts w:ascii="Calibri" w:hAnsi="Calibri" w:cs="Calibri"/>
                <w:color w:val="000000"/>
                <w:sz w:val="20"/>
                <w:szCs w:val="20"/>
              </w:rPr>
              <w:t xml:space="preserve">osobowością i bez osobowości prawnej) do aktywizacji społeczności lokalnych (w tym ciał typu Młodzieżowa Rada Miejska, Hrubieszowska Rada Seniorów, koła gospodyń wiejskich itp.) </w:t>
            </w:r>
          </w:p>
        </w:tc>
        <w:tc>
          <w:tcPr>
            <w:tcW w:w="2835" w:type="dxa"/>
            <w:vAlign w:val="center"/>
          </w:tcPr>
          <w:p w:rsidR="00AE07FC" w:rsidRDefault="00AE07F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AE07FC" w:rsidRPr="00237447" w:rsidRDefault="00AE07F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Organizacje pozarządowe</w:t>
            </w:r>
          </w:p>
        </w:tc>
        <w:tc>
          <w:tcPr>
            <w:tcW w:w="1419" w:type="dxa"/>
            <w:vAlign w:val="center"/>
          </w:tcPr>
          <w:p w:rsidR="00AE07FC" w:rsidRDefault="00AE07F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AE07F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AE07FC" w:rsidRPr="00E7014F" w:rsidRDefault="00AE07FC" w:rsidP="003759BB">
            <w:pPr>
              <w:spacing w:before="0"/>
              <w:ind w:firstLine="0"/>
              <w:jc w:val="left"/>
              <w:rPr>
                <w:rFonts w:cstheme="minorHAnsi"/>
                <w:b w:val="0"/>
                <w:sz w:val="20"/>
                <w:szCs w:val="20"/>
              </w:rPr>
            </w:pPr>
          </w:p>
        </w:tc>
        <w:tc>
          <w:tcPr>
            <w:tcW w:w="4536" w:type="dxa"/>
            <w:vAlign w:val="center"/>
          </w:tcPr>
          <w:p w:rsidR="00AE07FC" w:rsidRPr="00EE5DDC" w:rsidRDefault="00AE07FC" w:rsidP="00EE5DDC">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EE5DDC">
              <w:rPr>
                <w:rFonts w:ascii="Calibri" w:hAnsi="Calibri" w:cs="Calibri"/>
                <w:color w:val="000000"/>
                <w:sz w:val="20"/>
                <w:szCs w:val="20"/>
              </w:rPr>
              <w:t>Projekty aktywizacji i integracji społeczności lokalnej HOF z wykorzystaniem lokalnych organizacji pozarządowych</w:t>
            </w:r>
            <w:r w:rsidR="00EE5DDC" w:rsidRPr="00EE5DDC">
              <w:rPr>
                <w:rFonts w:ascii="Calibri" w:hAnsi="Calibri" w:cs="Calibri"/>
                <w:color w:val="000000"/>
                <w:sz w:val="20"/>
                <w:szCs w:val="20"/>
              </w:rPr>
              <w:t xml:space="preserve"> </w:t>
            </w:r>
            <w:r w:rsidR="00EE5DDC" w:rsidRPr="00EE5DDC">
              <w:rPr>
                <w:sz w:val="20"/>
                <w:szCs w:val="20"/>
              </w:rPr>
              <w:t>oraz rozwijające oddolne inicjatywy realizowane przez NGO</w:t>
            </w:r>
          </w:p>
        </w:tc>
        <w:tc>
          <w:tcPr>
            <w:tcW w:w="2835" w:type="dxa"/>
            <w:vAlign w:val="center"/>
          </w:tcPr>
          <w:p w:rsidR="00AE07FC" w:rsidRPr="009301FA" w:rsidRDefault="00EE5DD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Pr>
                <w:rFonts w:ascii="Calibri" w:hAnsi="Calibri" w:cs="Calibri"/>
                <w:color w:val="000000"/>
                <w:sz w:val="20"/>
                <w:szCs w:val="20"/>
              </w:rPr>
              <w:t>NGO-</w:t>
            </w:r>
            <w:proofErr w:type="spellStart"/>
            <w:r>
              <w:rPr>
                <w:rFonts w:ascii="Calibri" w:hAnsi="Calibri" w:cs="Calibri"/>
                <w:color w:val="000000"/>
                <w:sz w:val="20"/>
                <w:szCs w:val="20"/>
              </w:rPr>
              <w:t>sy</w:t>
            </w:r>
            <w:proofErr w:type="spellEnd"/>
          </w:p>
        </w:tc>
        <w:tc>
          <w:tcPr>
            <w:tcW w:w="2550" w:type="dxa"/>
            <w:vAlign w:val="center"/>
          </w:tcPr>
          <w:p w:rsidR="00AE07FC" w:rsidRDefault="00EE5DD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9301FA">
              <w:rPr>
                <w:rFonts w:ascii="Calibri" w:hAnsi="Calibri" w:cs="Calibri"/>
                <w:color w:val="000000"/>
                <w:sz w:val="20"/>
                <w:szCs w:val="20"/>
              </w:rPr>
              <w:t>Gmina Miejska Hrubieszów, Gmina Hrubieszów</w:t>
            </w:r>
          </w:p>
        </w:tc>
        <w:tc>
          <w:tcPr>
            <w:tcW w:w="1419" w:type="dxa"/>
            <w:vAlign w:val="center"/>
          </w:tcPr>
          <w:p w:rsidR="00AE07FC" w:rsidRPr="00932C0C" w:rsidRDefault="00EE5DD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D9E6F6" w:themeFill="accent2" w:themeFillTint="33"/>
            <w:vAlign w:val="center"/>
          </w:tcPr>
          <w:p w:rsidR="007A2DBC" w:rsidRPr="00E7014F" w:rsidRDefault="007A2DBC" w:rsidP="003759BB">
            <w:pPr>
              <w:spacing w:before="0"/>
              <w:ind w:firstLine="0"/>
              <w:jc w:val="left"/>
              <w:rPr>
                <w:rFonts w:asciiTheme="minorHAnsi" w:hAnsiTheme="minorHAnsi" w:cstheme="minorHAnsi"/>
                <w:b w:val="0"/>
                <w:sz w:val="20"/>
                <w:szCs w:val="20"/>
              </w:rPr>
            </w:pPr>
            <w:r w:rsidRPr="00E7014F">
              <w:rPr>
                <w:rFonts w:asciiTheme="minorHAnsi" w:hAnsiTheme="minorHAnsi" w:cstheme="minorHAnsi"/>
                <w:b w:val="0"/>
                <w:sz w:val="20"/>
                <w:szCs w:val="20"/>
              </w:rPr>
              <w:t>Pobudzanie aktywności obywatelskiej z wykorzystaniem technologii cyfrowych</w:t>
            </w:r>
          </w:p>
        </w:tc>
        <w:tc>
          <w:tcPr>
            <w:tcW w:w="4536" w:type="dxa"/>
            <w:vAlign w:val="center"/>
          </w:tcPr>
          <w:p w:rsidR="007A2DBC" w:rsidRPr="005E7DA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Projekty aktywizacji mieszkańców miasta w ramach procesu budowania inteligentnego miasta wyko</w:t>
            </w:r>
            <w:r>
              <w:rPr>
                <w:rFonts w:ascii="Calibri" w:hAnsi="Calibri" w:cs="Calibri"/>
                <w:color w:val="000000"/>
                <w:sz w:val="20"/>
                <w:szCs w:val="20"/>
              </w:rPr>
              <w:t>rzystującego potencjał ludzki i </w:t>
            </w:r>
            <w:r w:rsidRPr="005E7DA4">
              <w:rPr>
                <w:rFonts w:ascii="Calibri" w:hAnsi="Calibri" w:cs="Calibri"/>
                <w:color w:val="000000"/>
                <w:sz w:val="20"/>
                <w:szCs w:val="20"/>
              </w:rPr>
              <w:t xml:space="preserve">technologiczny do swojego zrównoważonego rozwoju (smart </w:t>
            </w:r>
            <w:proofErr w:type="spellStart"/>
            <w:r w:rsidRPr="005E7DA4">
              <w:rPr>
                <w:rFonts w:ascii="Calibri" w:hAnsi="Calibri" w:cs="Calibri"/>
                <w:color w:val="000000"/>
                <w:sz w:val="20"/>
                <w:szCs w:val="20"/>
              </w:rPr>
              <w:t>city</w:t>
            </w:r>
            <w:proofErr w:type="spellEnd"/>
            <w:r w:rsidRPr="005E7DA4">
              <w:rPr>
                <w:rFonts w:ascii="Calibri" w:hAnsi="Calibri" w:cs="Calibri"/>
                <w:color w:val="000000"/>
                <w:sz w:val="20"/>
                <w:szCs w:val="20"/>
              </w:rPr>
              <w:t xml:space="preserve"> 3.0)</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Pr>
                <w:rFonts w:ascii="Calibri" w:hAnsi="Calibri" w:cs="Calibri"/>
                <w:color w:val="000000"/>
                <w:sz w:val="20"/>
                <w:szCs w:val="20"/>
              </w:rPr>
              <w:t>Gmina Miejska Hrubieszów</w:t>
            </w:r>
          </w:p>
        </w:tc>
        <w:tc>
          <w:tcPr>
            <w:tcW w:w="2550" w:type="dxa"/>
            <w:vAlign w:val="center"/>
          </w:tcPr>
          <w:p w:rsidR="007A2DBC" w:rsidRPr="0023744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Organizacje pozarządowe, mieszkańcy – osoby fizyczne</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5E7DA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Projekty aktywizacji mieszkańców wsi w ramach procesu rozwoju intel</w:t>
            </w:r>
            <w:r>
              <w:rPr>
                <w:rFonts w:ascii="Calibri" w:hAnsi="Calibri" w:cs="Calibri"/>
                <w:color w:val="000000"/>
                <w:sz w:val="20"/>
                <w:szCs w:val="20"/>
              </w:rPr>
              <w:t xml:space="preserve">igentnych wsi (smart </w:t>
            </w:r>
            <w:proofErr w:type="spellStart"/>
            <w:r>
              <w:rPr>
                <w:rFonts w:ascii="Calibri" w:hAnsi="Calibri" w:cs="Calibri"/>
                <w:color w:val="000000"/>
                <w:sz w:val="20"/>
                <w:szCs w:val="20"/>
              </w:rPr>
              <w:t>village</w:t>
            </w:r>
            <w:proofErr w:type="spellEnd"/>
            <w:r>
              <w:rPr>
                <w:rFonts w:ascii="Calibri" w:hAnsi="Calibri" w:cs="Calibri"/>
                <w:color w:val="000000"/>
                <w:sz w:val="20"/>
                <w:szCs w:val="20"/>
              </w:rPr>
              <w:t>)</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Pr>
                <w:rFonts w:ascii="Calibri" w:hAnsi="Calibri" w:cs="Calibri"/>
                <w:color w:val="000000"/>
                <w:sz w:val="20"/>
                <w:szCs w:val="20"/>
              </w:rPr>
              <w:t>Gmina Hrubieszów</w:t>
            </w:r>
          </w:p>
        </w:tc>
        <w:tc>
          <w:tcPr>
            <w:tcW w:w="2550" w:type="dxa"/>
            <w:vAlign w:val="center"/>
          </w:tcPr>
          <w:p w:rsidR="007A2DBC" w:rsidRPr="00237447"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Organizacje pozarządowe, mieszkańcy – osoby fizyczne</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5E7DA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 xml:space="preserve">Projekty w zakresie rozwoju kompetencji cyfrowych wśród społeczności lokalnej oraz informowania w zakresie dobrych praktyk w zakresie inteligentnego rozwoju (smart </w:t>
            </w:r>
            <w:proofErr w:type="spellStart"/>
            <w:proofErr w:type="gramStart"/>
            <w:r w:rsidRPr="005E7DA4">
              <w:rPr>
                <w:rFonts w:ascii="Calibri" w:hAnsi="Calibri" w:cs="Calibri"/>
                <w:color w:val="000000"/>
                <w:sz w:val="20"/>
                <w:szCs w:val="20"/>
              </w:rPr>
              <w:t>city</w:t>
            </w:r>
            <w:proofErr w:type="spellEnd"/>
            <w:r w:rsidRPr="005E7DA4">
              <w:rPr>
                <w:rFonts w:ascii="Calibri" w:hAnsi="Calibri" w:cs="Calibri"/>
                <w:color w:val="000000"/>
                <w:sz w:val="20"/>
                <w:szCs w:val="20"/>
              </w:rPr>
              <w:t xml:space="preserve"> , </w:t>
            </w:r>
            <w:proofErr w:type="gramEnd"/>
            <w:r w:rsidRPr="005E7DA4">
              <w:rPr>
                <w:rFonts w:ascii="Calibri" w:hAnsi="Calibri" w:cs="Calibri"/>
                <w:color w:val="000000"/>
                <w:sz w:val="20"/>
                <w:szCs w:val="20"/>
              </w:rPr>
              <w:t xml:space="preserve">smart </w:t>
            </w:r>
            <w:proofErr w:type="spellStart"/>
            <w:r w:rsidRPr="005E7DA4">
              <w:rPr>
                <w:rFonts w:ascii="Calibri" w:hAnsi="Calibri" w:cs="Calibri"/>
                <w:color w:val="000000"/>
                <w:sz w:val="20"/>
                <w:szCs w:val="20"/>
              </w:rPr>
              <w:t>village</w:t>
            </w:r>
            <w:proofErr w:type="spellEnd"/>
            <w:r w:rsidRPr="005E7DA4">
              <w:rPr>
                <w:rFonts w:ascii="Calibri" w:hAnsi="Calibri" w:cs="Calibri"/>
                <w:color w:val="000000"/>
                <w:sz w:val="20"/>
                <w:szCs w:val="20"/>
              </w:rPr>
              <w:t>)</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Pr="00237447"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Organizacje pozarządowe, GOK, Hrubieszowski Dom Kultury</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7A2DBC" w:rsidRDefault="007A2DBC" w:rsidP="007A2DBC">
      <w:pPr>
        <w:rPr>
          <w:b/>
        </w:rPr>
      </w:pPr>
      <w:r>
        <w:rPr>
          <w:b/>
        </w:rPr>
        <w:t xml:space="preserve">Cel operacyjny </w:t>
      </w:r>
      <w:r w:rsidRPr="00192EEB">
        <w:rPr>
          <w:b/>
        </w:rPr>
        <w:t>4.4</w:t>
      </w:r>
      <w:r w:rsidRPr="00192EEB">
        <w:rPr>
          <w:b/>
        </w:rPr>
        <w:tab/>
      </w:r>
      <w:r>
        <w:rPr>
          <w:b/>
        </w:rPr>
        <w:t xml:space="preserve"> </w:t>
      </w:r>
      <w:r w:rsidRPr="00192EEB">
        <w:rPr>
          <w:b/>
        </w:rPr>
        <w:t>Skuteczny marketing oraz promocja obszaru HOF i jego potencjałów rozwoju</w:t>
      </w:r>
    </w:p>
    <w:tbl>
      <w:tblPr>
        <w:tblStyle w:val="Jasnasiatkaakcent21"/>
        <w:tblW w:w="0" w:type="auto"/>
        <w:tblLook w:val="04A0" w:firstRow="1" w:lastRow="0" w:firstColumn="1" w:lastColumn="0" w:noHBand="0" w:noVBand="1"/>
      </w:tblPr>
      <w:tblGrid>
        <w:gridCol w:w="2802"/>
        <w:gridCol w:w="4536"/>
        <w:gridCol w:w="2835"/>
        <w:gridCol w:w="2550"/>
        <w:gridCol w:w="1419"/>
      </w:tblGrid>
      <w:tr w:rsidR="00712E71" w:rsidTr="007F2D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712E71" w:rsidRPr="003F543C" w:rsidRDefault="00712E71" w:rsidP="003759BB">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712E71" w:rsidRPr="003F543C" w:rsidRDefault="00712E71" w:rsidP="003759BB">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550" w:type="dxa"/>
          </w:tcPr>
          <w:p w:rsidR="00712E71" w:rsidRPr="003F543C" w:rsidRDefault="00712E71" w:rsidP="00A21F80">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419" w:type="dxa"/>
          </w:tcPr>
          <w:p w:rsidR="00712E71" w:rsidRPr="003F543C" w:rsidRDefault="00712E71" w:rsidP="003759BB">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FF69A0" w:rsidRDefault="007A2DBC" w:rsidP="003759BB">
            <w:pPr>
              <w:spacing w:before="0"/>
              <w:ind w:firstLine="0"/>
              <w:jc w:val="left"/>
              <w:rPr>
                <w:rFonts w:asciiTheme="minorHAnsi" w:hAnsiTheme="minorHAnsi" w:cstheme="minorHAnsi"/>
                <w:b w:val="0"/>
                <w:sz w:val="20"/>
                <w:szCs w:val="20"/>
              </w:rPr>
            </w:pPr>
            <w:r w:rsidRPr="00FF69A0">
              <w:rPr>
                <w:rFonts w:asciiTheme="minorHAnsi" w:hAnsiTheme="minorHAnsi" w:cstheme="minorHAnsi"/>
                <w:b w:val="0"/>
                <w:sz w:val="20"/>
                <w:szCs w:val="20"/>
              </w:rPr>
              <w:lastRenderedPageBreak/>
              <w:t xml:space="preserve">Wspólne działania marketingowe ukierunkowane na wypromowanie </w:t>
            </w:r>
            <w:proofErr w:type="gramStart"/>
            <w:r w:rsidRPr="00FF69A0">
              <w:rPr>
                <w:rFonts w:asciiTheme="minorHAnsi" w:hAnsiTheme="minorHAnsi" w:cstheme="minorHAnsi"/>
                <w:b w:val="0"/>
                <w:sz w:val="20"/>
                <w:szCs w:val="20"/>
              </w:rPr>
              <w:t>HOF jako</w:t>
            </w:r>
            <w:proofErr w:type="gramEnd"/>
            <w:r w:rsidRPr="00FF69A0">
              <w:rPr>
                <w:rFonts w:asciiTheme="minorHAnsi" w:hAnsiTheme="minorHAnsi" w:cstheme="minorHAnsi"/>
                <w:b w:val="0"/>
                <w:sz w:val="20"/>
                <w:szCs w:val="20"/>
              </w:rPr>
              <w:t xml:space="preserve"> atrakcyjnego miejsca do życia i pracy</w:t>
            </w:r>
          </w:p>
        </w:tc>
        <w:tc>
          <w:tcPr>
            <w:tcW w:w="4536" w:type="dxa"/>
            <w:vAlign w:val="center"/>
          </w:tcPr>
          <w:p w:rsidR="007A2DBC" w:rsidRPr="005E7DA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Opracowanie wspólnej strategii/planu działań przyciągania na teren HOF nowych mieszkań</w:t>
            </w:r>
            <w:r>
              <w:rPr>
                <w:rFonts w:ascii="Calibri" w:hAnsi="Calibri" w:cs="Calibri"/>
                <w:color w:val="000000"/>
                <w:sz w:val="20"/>
                <w:szCs w:val="20"/>
              </w:rPr>
              <w:t>c</w:t>
            </w:r>
            <w:r w:rsidRPr="005E7DA4">
              <w:rPr>
                <w:rFonts w:ascii="Calibri" w:hAnsi="Calibri" w:cs="Calibri"/>
                <w:color w:val="000000"/>
                <w:sz w:val="20"/>
                <w:szCs w:val="20"/>
              </w:rPr>
              <w:t>ów (ukierunkowanej na takie grupy docelowe jak: ludzie młodzi, pracownicy służb</w:t>
            </w:r>
            <w:r>
              <w:rPr>
                <w:rFonts w:ascii="Calibri" w:hAnsi="Calibri" w:cs="Calibri"/>
                <w:color w:val="000000"/>
                <w:sz w:val="20"/>
                <w:szCs w:val="20"/>
              </w:rPr>
              <w:t xml:space="preserve"> mundurowych, osoby z Ukrainy i </w:t>
            </w:r>
            <w:r w:rsidRPr="005E7DA4">
              <w:rPr>
                <w:rFonts w:ascii="Calibri" w:hAnsi="Calibri" w:cs="Calibri"/>
                <w:color w:val="000000"/>
                <w:sz w:val="20"/>
                <w:szCs w:val="20"/>
              </w:rPr>
              <w:t>Białorusi)</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A18A5" w:rsidRDefault="007A2DBC" w:rsidP="003759BB">
            <w:pPr>
              <w:spacing w:before="0"/>
              <w:ind w:firstLine="0"/>
              <w:jc w:val="left"/>
              <w:rPr>
                <w:b w:val="0"/>
                <w:sz w:val="20"/>
                <w:szCs w:val="20"/>
              </w:rPr>
            </w:pPr>
          </w:p>
        </w:tc>
        <w:tc>
          <w:tcPr>
            <w:tcW w:w="4536" w:type="dxa"/>
            <w:vAlign w:val="center"/>
          </w:tcPr>
          <w:p w:rsidR="007A2DBC" w:rsidRPr="005E7DA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Wypracowanie systemu zachęt i ulg dla osób zainteresowanych osie</w:t>
            </w:r>
            <w:r>
              <w:rPr>
                <w:rFonts w:ascii="Calibri" w:hAnsi="Calibri" w:cs="Calibri"/>
                <w:color w:val="000000"/>
                <w:sz w:val="20"/>
                <w:szCs w:val="20"/>
              </w:rPr>
              <w:t>dlaniem się na terenie HOF (np. lepszy dostęp do mieszkań i </w:t>
            </w:r>
            <w:r w:rsidRPr="005E7DA4">
              <w:rPr>
                <w:rFonts w:ascii="Calibri" w:hAnsi="Calibri" w:cs="Calibri"/>
                <w:color w:val="000000"/>
                <w:sz w:val="20"/>
                <w:szCs w:val="20"/>
              </w:rPr>
              <w:t xml:space="preserve">działek budowlanych, ulgi podatkowe, karta nowego mieszkańca itp.) </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072595">
              <w:rPr>
                <w:sz w:val="20"/>
                <w:szCs w:val="20"/>
              </w:rPr>
              <w:t>Jednostki organizacyjne gmin</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7A18A5" w:rsidRDefault="007A2DBC" w:rsidP="003759BB">
            <w:pPr>
              <w:spacing w:before="0"/>
              <w:ind w:firstLine="0"/>
              <w:jc w:val="left"/>
              <w:rPr>
                <w:b w:val="0"/>
                <w:sz w:val="20"/>
                <w:szCs w:val="20"/>
              </w:rPr>
            </w:pPr>
          </w:p>
        </w:tc>
        <w:tc>
          <w:tcPr>
            <w:tcW w:w="4536" w:type="dxa"/>
            <w:vAlign w:val="center"/>
          </w:tcPr>
          <w:p w:rsidR="007A2DBC" w:rsidRPr="005E7DA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 xml:space="preserve">Cykliczne akcje promocyjne skierowane do określonych grup odbiorców (z wykorzystaniem nowoczesnych technik i narzędzi marketingowych)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7A2DBC" w:rsidRPr="00FF69A0" w:rsidRDefault="007A2DBC" w:rsidP="003759BB">
            <w:pPr>
              <w:spacing w:before="0"/>
              <w:ind w:firstLine="0"/>
              <w:jc w:val="left"/>
              <w:rPr>
                <w:rFonts w:asciiTheme="minorHAnsi" w:hAnsiTheme="minorHAnsi" w:cstheme="minorHAnsi"/>
                <w:b w:val="0"/>
                <w:sz w:val="20"/>
                <w:szCs w:val="20"/>
              </w:rPr>
            </w:pPr>
            <w:r w:rsidRPr="00FF69A0">
              <w:rPr>
                <w:rFonts w:asciiTheme="minorHAnsi" w:hAnsiTheme="minorHAnsi" w:cstheme="minorHAnsi"/>
                <w:b w:val="0"/>
                <w:sz w:val="20"/>
                <w:szCs w:val="20"/>
              </w:rPr>
              <w:t xml:space="preserve">Wspólne działania marketingowe ukierunkowane na wypromowanie </w:t>
            </w:r>
            <w:proofErr w:type="gramStart"/>
            <w:r w:rsidRPr="00FF69A0">
              <w:rPr>
                <w:rFonts w:asciiTheme="minorHAnsi" w:hAnsiTheme="minorHAnsi" w:cstheme="minorHAnsi"/>
                <w:b w:val="0"/>
                <w:sz w:val="20"/>
                <w:szCs w:val="20"/>
              </w:rPr>
              <w:t>HOF jako</w:t>
            </w:r>
            <w:proofErr w:type="gramEnd"/>
            <w:r w:rsidRPr="00FF69A0">
              <w:rPr>
                <w:rFonts w:asciiTheme="minorHAnsi" w:hAnsiTheme="minorHAnsi" w:cstheme="minorHAnsi"/>
                <w:b w:val="0"/>
                <w:sz w:val="20"/>
                <w:szCs w:val="20"/>
              </w:rPr>
              <w:t xml:space="preserve"> atrakcyjnego miejsca do inwestycji</w:t>
            </w:r>
          </w:p>
        </w:tc>
        <w:tc>
          <w:tcPr>
            <w:tcW w:w="4536" w:type="dxa"/>
            <w:vAlign w:val="center"/>
          </w:tcPr>
          <w:p w:rsidR="007A2DBC" w:rsidRPr="005E7DA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 xml:space="preserve">Opracowanie wspólnej strategii/planu działań przyciągania na teren HOF nowych inwestorów, w tym inwentaryzacja potencjałów i przewag konkurencyjnych, określenie grup/branż docelowych (sektor przetwórstwa rolno-spożywczego, logistyka, </w:t>
            </w:r>
            <w:proofErr w:type="spellStart"/>
            <w:r w:rsidRPr="005E7DA4">
              <w:rPr>
                <w:rFonts w:ascii="Calibri" w:hAnsi="Calibri" w:cs="Calibri"/>
                <w:color w:val="000000"/>
                <w:sz w:val="20"/>
                <w:szCs w:val="20"/>
              </w:rPr>
              <w:t>biogospodarka</w:t>
            </w:r>
            <w:proofErr w:type="spellEnd"/>
            <w:r w:rsidRPr="005E7DA4">
              <w:rPr>
                <w:rFonts w:ascii="Calibri" w:hAnsi="Calibri" w:cs="Calibri"/>
                <w:color w:val="000000"/>
                <w:sz w:val="20"/>
                <w:szCs w:val="20"/>
              </w:rPr>
              <w:t>, energetyka odnawialna), metody i narzędzia promocji, pilotażowe akcje promocyjne</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072595">
              <w:rPr>
                <w:sz w:val="20"/>
                <w:szCs w:val="20"/>
              </w:rPr>
              <w:t>Jednostki organizacyjne gmin</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FF69A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5E7DA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Przygotowanie wspólnej oferty inwestycyjnej, która powinna odp</w:t>
            </w:r>
            <w:r>
              <w:rPr>
                <w:rFonts w:ascii="Calibri" w:hAnsi="Calibri" w:cs="Calibri"/>
                <w:color w:val="000000"/>
                <w:sz w:val="20"/>
                <w:szCs w:val="20"/>
              </w:rPr>
              <w:t>owiadać na takie pytania jak: (I</w:t>
            </w:r>
            <w:r w:rsidRPr="005E7DA4">
              <w:rPr>
                <w:rFonts w:ascii="Calibri" w:hAnsi="Calibri" w:cs="Calibri"/>
                <w:color w:val="000000"/>
                <w:sz w:val="20"/>
                <w:szCs w:val="20"/>
              </w:rPr>
              <w:t>) dlaczego warto</w:t>
            </w:r>
            <w:r>
              <w:rPr>
                <w:rFonts w:ascii="Calibri" w:hAnsi="Calibri" w:cs="Calibri"/>
                <w:color w:val="000000"/>
                <w:sz w:val="20"/>
                <w:szCs w:val="20"/>
              </w:rPr>
              <w:t xml:space="preserve"> inwestować na obszarze HOF; (II</w:t>
            </w:r>
            <w:r w:rsidRPr="005E7DA4">
              <w:rPr>
                <w:rFonts w:ascii="Calibri" w:hAnsi="Calibri" w:cs="Calibri"/>
                <w:color w:val="000000"/>
                <w:sz w:val="20"/>
                <w:szCs w:val="20"/>
              </w:rPr>
              <w:t xml:space="preserve">) wsparcie, na </w:t>
            </w:r>
            <w:r>
              <w:rPr>
                <w:rFonts w:ascii="Calibri" w:hAnsi="Calibri" w:cs="Calibri"/>
                <w:color w:val="000000"/>
                <w:sz w:val="20"/>
                <w:szCs w:val="20"/>
              </w:rPr>
              <w:t>jakie może liczyć inwestor, (III</w:t>
            </w:r>
            <w:r w:rsidRPr="005E7DA4">
              <w:rPr>
                <w:rFonts w:ascii="Calibri" w:hAnsi="Calibri" w:cs="Calibri"/>
                <w:color w:val="000000"/>
                <w:sz w:val="20"/>
                <w:szCs w:val="20"/>
              </w:rPr>
              <w:t xml:space="preserve">) lokalizacja działek/budynków </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FF69A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5E7DA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 xml:space="preserve">Zorganizowanie i prowadzenie profesjonalnego punktu obsługi inwestora (np. zgodnie ze standardami obsługi inwestora wg PAIH), w tym przygotowanie kadr, strona internetowa, rozwój sieci współpracy (np. z PFR, operatorami SSE itp.) </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072595">
              <w:rPr>
                <w:sz w:val="20"/>
                <w:szCs w:val="20"/>
              </w:rPr>
              <w:t>Jednostki organizacyjne gmin</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D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7A2DBC" w:rsidRPr="00FF69A0" w:rsidRDefault="007A2DBC" w:rsidP="003759BB">
            <w:pPr>
              <w:spacing w:before="0"/>
              <w:ind w:firstLine="0"/>
              <w:jc w:val="left"/>
              <w:rPr>
                <w:rFonts w:asciiTheme="minorHAnsi" w:hAnsiTheme="minorHAnsi" w:cstheme="minorHAnsi"/>
                <w:b w:val="0"/>
                <w:sz w:val="20"/>
                <w:szCs w:val="20"/>
              </w:rPr>
            </w:pPr>
          </w:p>
        </w:tc>
        <w:tc>
          <w:tcPr>
            <w:tcW w:w="4536" w:type="dxa"/>
            <w:vAlign w:val="center"/>
          </w:tcPr>
          <w:p w:rsidR="007A2DBC" w:rsidRPr="005E7DA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Pozys</w:t>
            </w:r>
            <w:r>
              <w:rPr>
                <w:rFonts w:ascii="Calibri" w:hAnsi="Calibri" w:cs="Calibri"/>
                <w:color w:val="000000"/>
                <w:sz w:val="20"/>
                <w:szCs w:val="20"/>
              </w:rPr>
              <w:t>kiwanie i obsługa inwestorów, w </w:t>
            </w:r>
            <w:r w:rsidRPr="005E7DA4">
              <w:rPr>
                <w:rFonts w:ascii="Calibri" w:hAnsi="Calibri" w:cs="Calibri"/>
                <w:color w:val="000000"/>
                <w:sz w:val="20"/>
                <w:szCs w:val="20"/>
              </w:rPr>
              <w:t xml:space="preserve">tym: bezpośredni marketing inwestycyjny – wizyty, misje itp.; obsługa inwestorów - wizyty lokalizacyjne; obsługa systemu finansowego wsparcia projektów; negocjowanie pakietów wsparcia dla inwestora; współpraca z ambasadami RP ( Zagraniczne Biura </w:t>
            </w:r>
            <w:r w:rsidRPr="005E7DA4">
              <w:rPr>
                <w:rFonts w:ascii="Calibri" w:hAnsi="Calibri" w:cs="Calibri"/>
                <w:color w:val="000000"/>
                <w:sz w:val="20"/>
                <w:szCs w:val="20"/>
              </w:rPr>
              <w:lastRenderedPageBreak/>
              <w:t>Handl</w:t>
            </w:r>
            <w:r>
              <w:rPr>
                <w:rFonts w:ascii="Calibri" w:hAnsi="Calibri" w:cs="Calibri"/>
                <w:color w:val="000000"/>
                <w:sz w:val="20"/>
                <w:szCs w:val="20"/>
              </w:rPr>
              <w:t>owe, Wydziały Promocji Handlu i </w:t>
            </w:r>
            <w:r w:rsidRPr="005E7DA4">
              <w:rPr>
                <w:rFonts w:ascii="Calibri" w:hAnsi="Calibri" w:cs="Calibri"/>
                <w:color w:val="000000"/>
                <w:sz w:val="20"/>
                <w:szCs w:val="20"/>
              </w:rPr>
              <w:t xml:space="preserve">Inwestycji), opieka </w:t>
            </w:r>
            <w:proofErr w:type="spellStart"/>
            <w:r w:rsidRPr="005E7DA4">
              <w:rPr>
                <w:rFonts w:ascii="Calibri" w:hAnsi="Calibri" w:cs="Calibri"/>
                <w:color w:val="000000"/>
                <w:sz w:val="20"/>
                <w:szCs w:val="20"/>
              </w:rPr>
              <w:t>poinwestycyjna</w:t>
            </w:r>
            <w:proofErr w:type="spellEnd"/>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lastRenderedPageBreak/>
              <w:t>Gmina Miejska Hrubieszów, Gmina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r>
              <w:rPr>
                <w:sz w:val="20"/>
                <w:szCs w:val="20"/>
              </w:rPr>
              <w:t>, Zagraniczne Biura Handlowe</w:t>
            </w:r>
            <w:r w:rsidR="00D86D4C">
              <w:rPr>
                <w:sz w:val="20"/>
                <w:szCs w:val="20"/>
              </w:rPr>
              <w:t>, PAIH</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shd w:val="clear" w:color="auto" w:fill="D9E6F6" w:themeFill="accent2" w:themeFillTint="33"/>
            <w:vAlign w:val="center"/>
          </w:tcPr>
          <w:p w:rsidR="007A2DBC" w:rsidRPr="00FF69A0" w:rsidRDefault="007A2DBC" w:rsidP="003759BB">
            <w:pPr>
              <w:spacing w:before="0"/>
              <w:ind w:firstLine="0"/>
              <w:jc w:val="left"/>
              <w:rPr>
                <w:rFonts w:asciiTheme="minorHAnsi" w:hAnsiTheme="minorHAnsi" w:cstheme="minorHAnsi"/>
                <w:b w:val="0"/>
                <w:sz w:val="20"/>
                <w:szCs w:val="20"/>
              </w:rPr>
            </w:pPr>
            <w:r w:rsidRPr="00FF69A0">
              <w:rPr>
                <w:rFonts w:asciiTheme="minorHAnsi" w:hAnsiTheme="minorHAnsi" w:cstheme="minorHAnsi"/>
                <w:b w:val="0"/>
                <w:sz w:val="20"/>
                <w:szCs w:val="20"/>
              </w:rPr>
              <w:lastRenderedPageBreak/>
              <w:t xml:space="preserve">Wspólne działania marketingowe ukierunkowane na wypromowanie HOF, jako atrakcyjnego miejsca dla turystów </w:t>
            </w:r>
          </w:p>
        </w:tc>
        <w:tc>
          <w:tcPr>
            <w:tcW w:w="4536" w:type="dxa"/>
            <w:vAlign w:val="center"/>
          </w:tcPr>
          <w:p w:rsidR="007A2DBC" w:rsidRPr="005E7DA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 xml:space="preserve">Działania marketingowe ukierunkowane na stałą promocję potencjałów i atrakcji turystycznych HOF </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94592">
              <w:rPr>
                <w:sz w:val="20"/>
                <w:szCs w:val="20"/>
              </w:rPr>
              <w:t>GOK, Hrubieszowski Dom Kultury, Biblioteka Publiczna,</w:t>
            </w:r>
            <w:r>
              <w:rPr>
                <w:sz w:val="20"/>
                <w:szCs w:val="20"/>
              </w:rPr>
              <w:t xml:space="preserve"> HOSIR,</w:t>
            </w:r>
            <w:r w:rsidRPr="00794592">
              <w:rPr>
                <w:sz w:val="20"/>
                <w:szCs w:val="20"/>
              </w:rPr>
              <w:t xml:space="preserve"> </w:t>
            </w:r>
            <w:r>
              <w:rPr>
                <w:sz w:val="20"/>
                <w:szCs w:val="20"/>
              </w:rPr>
              <w:t xml:space="preserve">organizacje pozarządowe, przedsiębiorcy, LOT </w:t>
            </w:r>
            <w:proofErr w:type="spellStart"/>
            <w:r w:rsidRPr="00CC5034">
              <w:rPr>
                <w:sz w:val="20"/>
                <w:szCs w:val="20"/>
              </w:rPr>
              <w:t>Gotania</w:t>
            </w:r>
            <w:proofErr w:type="spellEnd"/>
            <w:r>
              <w:rPr>
                <w:sz w:val="20"/>
                <w:szCs w:val="20"/>
              </w:rPr>
              <w:t>,</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5E7DA4" w:rsidRDefault="007A2DBC" w:rsidP="003759BB">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Przygotowanie i wdrożenie kampanii promującej rozwijany produkt turystyczny Ziemi Hrubieszowskiej</w:t>
            </w:r>
          </w:p>
        </w:tc>
        <w:tc>
          <w:tcPr>
            <w:tcW w:w="2835"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794592">
              <w:rPr>
                <w:sz w:val="20"/>
                <w:szCs w:val="20"/>
              </w:rPr>
              <w:t>GOK, Hrubieszowski Dom Kultury, Biblioteka Publiczna,</w:t>
            </w:r>
            <w:r>
              <w:rPr>
                <w:sz w:val="20"/>
                <w:szCs w:val="20"/>
              </w:rPr>
              <w:t xml:space="preserve"> HOSIR,</w:t>
            </w:r>
            <w:r w:rsidRPr="00794592">
              <w:rPr>
                <w:sz w:val="20"/>
                <w:szCs w:val="20"/>
              </w:rPr>
              <w:t xml:space="preserve"> </w:t>
            </w:r>
            <w:r>
              <w:rPr>
                <w:sz w:val="20"/>
                <w:szCs w:val="20"/>
              </w:rPr>
              <w:t xml:space="preserve">organizacje pozarządowe, przedsiębiorcy, LOT </w:t>
            </w:r>
            <w:proofErr w:type="spellStart"/>
            <w:r w:rsidRPr="00CC5034">
              <w:rPr>
                <w:sz w:val="20"/>
                <w:szCs w:val="20"/>
              </w:rPr>
              <w:t>Gotania</w:t>
            </w:r>
            <w:proofErr w:type="spellEnd"/>
            <w:r>
              <w:rPr>
                <w:sz w:val="20"/>
                <w:szCs w:val="20"/>
              </w:rPr>
              <w:t>,</w:t>
            </w:r>
          </w:p>
        </w:tc>
        <w:tc>
          <w:tcPr>
            <w:tcW w:w="1419" w:type="dxa"/>
            <w:vAlign w:val="center"/>
          </w:tcPr>
          <w:p w:rsidR="007A2DBC" w:rsidRDefault="007A2DBC" w:rsidP="003759BB">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7A2DBC"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tcPr>
          <w:p w:rsidR="007A2DBC" w:rsidRDefault="007A2DBC" w:rsidP="003759BB">
            <w:pPr>
              <w:spacing w:before="0"/>
              <w:ind w:firstLine="0"/>
              <w:rPr>
                <w:b w:val="0"/>
              </w:rPr>
            </w:pPr>
          </w:p>
        </w:tc>
        <w:tc>
          <w:tcPr>
            <w:tcW w:w="4536" w:type="dxa"/>
            <w:vAlign w:val="center"/>
          </w:tcPr>
          <w:p w:rsidR="007A2DBC" w:rsidRPr="005E7DA4" w:rsidRDefault="007A2DBC" w:rsidP="003759BB">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5E7DA4">
              <w:rPr>
                <w:rFonts w:ascii="Calibri" w:hAnsi="Calibri" w:cs="Calibri"/>
                <w:color w:val="000000"/>
                <w:sz w:val="20"/>
                <w:szCs w:val="20"/>
              </w:rPr>
              <w:t>Współpraca sieciowa w zakresie promocji atrakcji turystycznych/produktu turystycznego HOF (np.. LGD, LOT, ROT, POT itp.)</w:t>
            </w:r>
          </w:p>
        </w:tc>
        <w:tc>
          <w:tcPr>
            <w:tcW w:w="2835"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550"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794592">
              <w:rPr>
                <w:sz w:val="20"/>
                <w:szCs w:val="20"/>
              </w:rPr>
              <w:t>GOK, Hrubieszowski Dom Kultury, Biblioteka Publiczna,</w:t>
            </w:r>
            <w:r>
              <w:rPr>
                <w:sz w:val="20"/>
                <w:szCs w:val="20"/>
              </w:rPr>
              <w:t xml:space="preserve"> HOSIR,</w:t>
            </w:r>
            <w:r w:rsidRPr="00794592">
              <w:rPr>
                <w:sz w:val="20"/>
                <w:szCs w:val="20"/>
              </w:rPr>
              <w:t xml:space="preserve"> </w:t>
            </w:r>
            <w:r>
              <w:rPr>
                <w:sz w:val="20"/>
                <w:szCs w:val="20"/>
              </w:rPr>
              <w:t xml:space="preserve">organizacje pozarządowe, przedsiębiorcy, organizacje turystyczne, LOT </w:t>
            </w:r>
            <w:proofErr w:type="spellStart"/>
            <w:r w:rsidRPr="00CC5034">
              <w:rPr>
                <w:sz w:val="20"/>
                <w:szCs w:val="20"/>
              </w:rPr>
              <w:t>Gotania</w:t>
            </w:r>
            <w:proofErr w:type="spellEnd"/>
            <w:r>
              <w:rPr>
                <w:sz w:val="20"/>
                <w:szCs w:val="20"/>
              </w:rPr>
              <w:t>,</w:t>
            </w:r>
          </w:p>
        </w:tc>
        <w:tc>
          <w:tcPr>
            <w:tcW w:w="1419" w:type="dxa"/>
            <w:vAlign w:val="center"/>
          </w:tcPr>
          <w:p w:rsidR="007A2DBC" w:rsidRDefault="007A2DBC" w:rsidP="003759BB">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322AB8" w:rsidRPr="00061671" w:rsidRDefault="00322AB8" w:rsidP="00322AB8">
      <w:pPr>
        <w:rPr>
          <w:rFonts w:cstheme="minorHAnsi"/>
          <w:b/>
        </w:rPr>
      </w:pPr>
      <w:r w:rsidRPr="00061671">
        <w:rPr>
          <w:rFonts w:cstheme="minorHAnsi"/>
          <w:b/>
        </w:rPr>
        <w:t xml:space="preserve">Cel operacyjny 4.5 </w:t>
      </w:r>
      <w:r w:rsidRPr="00061671">
        <w:rPr>
          <w:b/>
          <w:szCs w:val="18"/>
        </w:rPr>
        <w:t>Zintegrowana cyfryzacja usług publicznych kierowana do mieszkańców HOF</w:t>
      </w:r>
    </w:p>
    <w:p w:rsidR="00322AB8" w:rsidRPr="00061671" w:rsidRDefault="00322AB8" w:rsidP="00322AB8">
      <w:pPr>
        <w:spacing w:after="0"/>
      </w:pPr>
      <w:r w:rsidRPr="00061671">
        <w:t>Cel polityki: CP1 – Bardziej konkurencyjna i inteligentna Europa dzięki wspieraniu innowacyjnej i inteligentnej transformacji gospodarczej oraz regionalnej łączności cyfrowej</w:t>
      </w:r>
      <w:r w:rsidR="007C1213" w:rsidRPr="00061671">
        <w:t>.</w:t>
      </w:r>
    </w:p>
    <w:p w:rsidR="00322AB8" w:rsidRPr="00061671" w:rsidRDefault="00322AB8" w:rsidP="00322AB8">
      <w:pPr>
        <w:spacing w:after="0"/>
      </w:pPr>
      <w:r w:rsidRPr="00061671">
        <w:t>EFRR.CP1.I</w:t>
      </w:r>
      <w:r w:rsidR="00505989" w:rsidRPr="00061671">
        <w:t>I</w:t>
      </w:r>
      <w:r w:rsidRPr="00061671">
        <w:t xml:space="preserve"> </w:t>
      </w:r>
      <w:r w:rsidR="00505989" w:rsidRPr="00061671">
        <w:t>Czerpanie korzyści z cyfryzacji dla obywateli, przedsiębiorstw, organizacji badawczych i instytucji publicznych</w:t>
      </w:r>
      <w:r w:rsidR="007C1213" w:rsidRPr="00061671">
        <w:t>.</w:t>
      </w:r>
    </w:p>
    <w:p w:rsidR="00322AB8" w:rsidRPr="00061671" w:rsidRDefault="00322AB8" w:rsidP="00322AB8">
      <w:r w:rsidRPr="00061671">
        <w:t xml:space="preserve">Cel realizuje wymiar </w:t>
      </w:r>
      <w:r w:rsidR="009D5766" w:rsidRPr="00061671">
        <w:t xml:space="preserve">społeczny i </w:t>
      </w:r>
      <w:r w:rsidRPr="00061671">
        <w:t>przestrzenny</w:t>
      </w:r>
      <w:r w:rsidR="007C1213" w:rsidRPr="00061671">
        <w:t>.</w:t>
      </w:r>
    </w:p>
    <w:p w:rsidR="007754E1" w:rsidRPr="00061671" w:rsidRDefault="00322AB8" w:rsidP="007754E1">
      <w:r w:rsidRPr="00061671">
        <w:t xml:space="preserve">Opis celu: </w:t>
      </w:r>
      <w:r w:rsidR="007754E1" w:rsidRPr="00061671">
        <w:t xml:space="preserve">Administracja publiczna przechodzi dynamiczną transformację, napędzaną presją na stałe podnoszenie sprawności organizacyjnej. Rosną też wymagania i oczekiwania obywateli związane z dostępem do nowoczesnych usług publicznych. Aby skutecznie odpowiedzieć na te potrzeby konieczne jest budowanie zintegrowanych usług, których osią są potrzeby klientów - obywateli i biznesu. </w:t>
      </w:r>
      <w:r w:rsidR="00817566" w:rsidRPr="00061671">
        <w:t>E-administracja i usługi publiczne świadczone w formie e-usług są skutecznymi narzędziami wspierającym gospodarne wydatkowanie środków publicznych, gdyż, po pierwsze: zmniejszają skalę wydatków, a po drugie: wpływają na podwyższenie wydajności pracy administracji publicznej. Dodatkowymi zaletami wdrażania rozwiązań z obszaru ICT są zmiany reorganizacyjne – strukturalne i procesowe</w:t>
      </w:r>
      <w:r w:rsidR="00817566" w:rsidRPr="00061671">
        <w:rPr>
          <w:rFonts w:ascii="Open Sans" w:hAnsi="Open Sans" w:cs="Open Sans"/>
          <w:color w:val="314F88"/>
          <w:sz w:val="21"/>
          <w:szCs w:val="21"/>
          <w:shd w:val="clear" w:color="auto" w:fill="FFFFFF"/>
        </w:rPr>
        <w:t>.</w:t>
      </w:r>
      <w:r w:rsidR="00817566" w:rsidRPr="00061671">
        <w:t xml:space="preserve"> </w:t>
      </w:r>
      <w:r w:rsidR="007754E1" w:rsidRPr="00061671">
        <w:t xml:space="preserve">Cyfryzacja administracji publicznej niesie za sobą szereg korzyści - od zmniejszania kosztów i </w:t>
      </w:r>
      <w:proofErr w:type="gramStart"/>
      <w:r w:rsidR="007754E1" w:rsidRPr="00061671">
        <w:t>poprawiania jakości</w:t>
      </w:r>
      <w:proofErr w:type="gramEnd"/>
      <w:r w:rsidR="007754E1" w:rsidRPr="00061671">
        <w:t xml:space="preserve"> usług dzięki automatyzacji, poprzez zwiększanie dostępu do informacji publicznych aż po podnoszenie przejrzystości działania i poziomu bezpieczeństwa. Podczas </w:t>
      </w:r>
      <w:r w:rsidR="007754E1" w:rsidRPr="00061671">
        <w:lastRenderedPageBreak/>
        <w:t>prowadzenia tego typu działań istotne jest również równoległe podnoszenie gotowości zarówno kadr (poprzez szkolenia, zapewnienie odpowiednie</w:t>
      </w:r>
      <w:r w:rsidR="00817566" w:rsidRPr="00061671">
        <w:t>go sprzętu) jak i społeczeństwa. Władze lokalne powinny podejmować szerokie działania w celu minimalizowania wykluczenia cyfrowego oraz zintensyfikować działania edukacyjne mające na celu podniesienie umiejętności informatycznych i cyfrowych zarówno wśród obywateli jak i przedsiębiorstw. Bez podniesienia kompetencji cyfrowych społeczeństwa poziom korzystania nawet z najlepiej zaprojektowanych cyfrowo usług publicznych pozostanie na niskim poziomie.</w:t>
      </w:r>
      <w:r w:rsidR="007754E1" w:rsidRPr="00061671">
        <w:t xml:space="preserve"> </w:t>
      </w:r>
      <w:r w:rsidR="00817566" w:rsidRPr="00061671">
        <w:t>Elementem, na który warto zwrócić uwagę jest poziom poczucia bezpieczeństwa podczas korzystania z usług internetowych.</w:t>
      </w:r>
      <w:r w:rsidR="007754E1" w:rsidRPr="00061671">
        <w:t xml:space="preserve"> Niezwykle istotn</w:t>
      </w:r>
      <w:r w:rsidR="00817566" w:rsidRPr="00061671">
        <w:t>e</w:t>
      </w:r>
      <w:r w:rsidR="007754E1" w:rsidRPr="00061671">
        <w:t xml:space="preserve"> jest</w:t>
      </w:r>
      <w:r w:rsidR="00817566" w:rsidRPr="00061671">
        <w:t>, aby</w:t>
      </w:r>
      <w:r w:rsidR="007754E1" w:rsidRPr="00061671">
        <w:t xml:space="preserve"> korzystanie z usług było bezpieczne, a </w:t>
      </w:r>
      <w:r w:rsidR="00817566" w:rsidRPr="00061671">
        <w:t>korzystający</w:t>
      </w:r>
      <w:r w:rsidR="007754E1" w:rsidRPr="00061671">
        <w:t xml:space="preserve"> byli świadomi potencjalnego niebezpieczeństwa, a ich zachowania w sieci były odpowiedzialne i odbywały się bez zbędnego ryzyka.</w:t>
      </w:r>
      <w:r w:rsidR="00817566" w:rsidRPr="00061671">
        <w:t xml:space="preserve"> Wciąż wielu petentów preferuje załatwianie spraw administracyjnych drogą tradycyjną. Jednak widać wzrost oczekiwań zarówno mieszkańców jak i przedsiębiorców, jeśli chodzi o możliwość wykorzystania technologii ICT również w realizacji usług publicznych.</w:t>
      </w:r>
    </w:p>
    <w:p w:rsidR="007754E1" w:rsidRPr="00061671" w:rsidRDefault="000F1392" w:rsidP="007754E1">
      <w:r w:rsidRPr="00061671">
        <w:t>Powszechny dostęp do szerokopasmowego Internetu ma szczególne znaczenie dla rozwoju obszaru i dla jakości życia mieszkańców. Poziom penetracji budynków zasięgami internetu stacjonarnego ogółem</w:t>
      </w:r>
      <w:r w:rsidRPr="00061671">
        <w:rPr>
          <w:rStyle w:val="Odwoanieprzypisudolnego"/>
        </w:rPr>
        <w:footnoteReference w:id="25"/>
      </w:r>
      <w:r w:rsidRPr="00061671">
        <w:t xml:space="preserve"> dla HOF jest na wysokim poziomie, na obszarze Miasta w przedziale 80,1% - 100%, na obszarze Gminy Hrubieszów w przedziale 60,1% - 80,0%</w:t>
      </w:r>
      <w:r w:rsidRPr="00061671">
        <w:rPr>
          <w:rStyle w:val="Odwoanieprzypisudolnego"/>
        </w:rPr>
        <w:footnoteReference w:id="26"/>
      </w:r>
      <w:r w:rsidRPr="00061671">
        <w:t xml:space="preserve">. Penetracja budynkowa Internetem stacjonarnym o </w:t>
      </w:r>
      <w:proofErr w:type="gramStart"/>
      <w:r w:rsidRPr="00061671">
        <w:t>przepustowości co</w:t>
      </w:r>
      <w:proofErr w:type="gramEnd"/>
      <w:r w:rsidRPr="00061671">
        <w:t xml:space="preserve"> najmniej 30 </w:t>
      </w:r>
      <w:proofErr w:type="spellStart"/>
      <w:r w:rsidRPr="00061671">
        <w:t>Mb</w:t>
      </w:r>
      <w:proofErr w:type="spellEnd"/>
      <w:r w:rsidRPr="00061671">
        <w:t xml:space="preserve">/s jest na średnim poziomie. </w:t>
      </w:r>
      <w:r w:rsidR="007C1213" w:rsidRPr="00061671">
        <w:t>D</w:t>
      </w:r>
      <w:r w:rsidRPr="00061671">
        <w:t xml:space="preserve">la Miasta Hrubieszów wynosi 0,63, </w:t>
      </w:r>
      <w:r w:rsidR="007C1213" w:rsidRPr="00061671">
        <w:t>(</w:t>
      </w:r>
      <w:r w:rsidRPr="00061671">
        <w:t>560 miejsce w rankingu wszystkich gmin w kraju oraz 143 miejsce w rankingu gmin miejskich w kraju</w:t>
      </w:r>
      <w:r w:rsidR="007C1213" w:rsidRPr="00061671">
        <w:t>)</w:t>
      </w:r>
      <w:r w:rsidRPr="00061671">
        <w:t xml:space="preserve">. Oznacza to, iż pozostałe 37% domów w mieście znajduje się w zasięgu tzw. białych plam, czyli miejsc bez dostępu do Internetu o </w:t>
      </w:r>
      <w:proofErr w:type="gramStart"/>
      <w:r w:rsidRPr="00061671">
        <w:t>przepustowości co</w:t>
      </w:r>
      <w:proofErr w:type="gramEnd"/>
      <w:r w:rsidRPr="00061671">
        <w:t xml:space="preserve"> najmniej 30 MB/s. Najlepszy dostęp do Internetu mają mieszkańcy w centrum miasta (osiedle Jagiellońskie, Śródmieście). Nieco gorzej wygląda sytuacja w granicach Gminy Hrubieszów, gdzie wskaźnik wynosi 0,23 </w:t>
      </w:r>
      <w:r w:rsidR="007C1213" w:rsidRPr="00061671">
        <w:t>(</w:t>
      </w:r>
      <w:r w:rsidRPr="00061671">
        <w:t>1837 miejsce w rankingu wszystkich gmin w kraju oraz 989 miejsce w rankingu gmin wiejskich w kraju</w:t>
      </w:r>
      <w:r w:rsidR="007C1213" w:rsidRPr="00061671">
        <w:t>).</w:t>
      </w:r>
    </w:p>
    <w:p w:rsidR="00F57977" w:rsidRPr="00061671" w:rsidRDefault="00F57977" w:rsidP="00F57977">
      <w:r w:rsidRPr="00061671">
        <w:t xml:space="preserve">Zakres tematyczny działań zmierzających do realizacji celu zakłada cyfryzację usług publicznych, lepsze </w:t>
      </w:r>
      <w:r w:rsidR="007C1213" w:rsidRPr="00061671">
        <w:t>zarządzanie danymi publicznymi oraz</w:t>
      </w:r>
      <w:r w:rsidRPr="00061671">
        <w:t xml:space="preserve"> poprawę cyberbezpieczeństwa. </w:t>
      </w:r>
      <w:r w:rsidRPr="00061671">
        <w:rPr>
          <w:rFonts w:cstheme="minorHAnsi"/>
        </w:rPr>
        <w:t xml:space="preserve">Realizacja celu zakłada objęcie efektami całego obszaru HOF. </w:t>
      </w:r>
      <w:r w:rsidRPr="00061671">
        <w:t xml:space="preserve">Głównymi odbiorcami interwencji są mieszkańcy Gminy Hrubieszów oraz Miasta Hrubieszów stanowiącego rdzeń obszaru funkcjonalnego. Beneficjentami końcowymi działań realizujących zamierzenia celu </w:t>
      </w:r>
    </w:p>
    <w:p w:rsidR="00F57977" w:rsidRPr="00061671" w:rsidRDefault="00F57977" w:rsidP="00F57977">
      <w:r w:rsidRPr="00061671">
        <w:t xml:space="preserve">Za realizację celu odpowiedzialne są Gmina Miejska Hrubieszów i Gmina Hrubieszów. Natomiast niezwykle istotne jest zaangażowanie partnerów merytorycznych, organizacyjnych i finansowych z różnych sektorów. </w:t>
      </w:r>
      <w:r w:rsidRPr="00061671">
        <w:rPr>
          <w:rFonts w:cstheme="minorHAnsi"/>
        </w:rPr>
        <w:t>Potencjalne podmioty biorące udział w realizacji celu, to głównie</w:t>
      </w:r>
      <w:r w:rsidRPr="00061671">
        <w:t xml:space="preserve"> jednostki organizacyjne gmin, przedsiębiorcy, organizacje pozarządowe, przedsiębiorcy, instytucje krajowe.</w:t>
      </w:r>
    </w:p>
    <w:p w:rsidR="00345290" w:rsidRDefault="00345290" w:rsidP="00F57977"/>
    <w:p w:rsidR="00F57977" w:rsidRPr="00061671" w:rsidRDefault="00F57977" w:rsidP="00F57977">
      <w:r w:rsidRPr="00061671">
        <w:lastRenderedPageBreak/>
        <w:t>Propozycje projektów, które będą przyczyniały się do realizowania celu opisanego powyżej stanowią kierunki działań zaprezentowane w tabeli poniżej.</w:t>
      </w:r>
    </w:p>
    <w:tbl>
      <w:tblPr>
        <w:tblStyle w:val="Jasnasiatkaakcent23"/>
        <w:tblW w:w="14142" w:type="dxa"/>
        <w:tblLook w:val="04A0" w:firstRow="1" w:lastRow="0" w:firstColumn="1" w:lastColumn="0" w:noHBand="0" w:noVBand="1"/>
      </w:tblPr>
      <w:tblGrid>
        <w:gridCol w:w="2802"/>
        <w:gridCol w:w="4536"/>
        <w:gridCol w:w="2835"/>
        <w:gridCol w:w="2409"/>
        <w:gridCol w:w="1560"/>
      </w:tblGrid>
      <w:tr w:rsidR="00322AB8" w:rsidTr="00322AB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322AB8" w:rsidRPr="003F543C" w:rsidRDefault="00322AB8" w:rsidP="00322AB8">
            <w:pPr>
              <w:ind w:firstLine="0"/>
              <w:jc w:val="center"/>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działania</w:t>
            </w:r>
          </w:p>
        </w:tc>
        <w:tc>
          <w:tcPr>
            <w:tcW w:w="4536" w:type="dxa"/>
          </w:tcPr>
          <w:p w:rsidR="00322AB8" w:rsidRPr="003F543C" w:rsidRDefault="00322AB8" w:rsidP="00322AB8">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sidRPr="003F543C">
              <w:rPr>
                <w:rFonts w:asciiTheme="minorHAnsi" w:hAnsiTheme="minorHAnsi" w:cstheme="minorHAnsi"/>
                <w:color w:val="000000"/>
                <w:sz w:val="20"/>
                <w:szCs w:val="20"/>
              </w:rPr>
              <w:t>Możliwe kierunki działań</w:t>
            </w:r>
            <w:r>
              <w:rPr>
                <w:rFonts w:asciiTheme="minorHAnsi" w:hAnsiTheme="minorHAnsi" w:cstheme="minorHAnsi"/>
                <w:color w:val="000000"/>
                <w:sz w:val="20"/>
                <w:szCs w:val="20"/>
              </w:rPr>
              <w:t>/ typy projektów</w:t>
            </w:r>
          </w:p>
        </w:tc>
        <w:tc>
          <w:tcPr>
            <w:tcW w:w="2835" w:type="dxa"/>
          </w:tcPr>
          <w:p w:rsidR="00322AB8" w:rsidRPr="003F543C" w:rsidRDefault="00322AB8" w:rsidP="00322AB8">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Pr>
                <w:rFonts w:asciiTheme="minorHAnsi" w:hAnsiTheme="minorHAnsi" w:cstheme="minorHAnsi"/>
                <w:sz w:val="20"/>
                <w:szCs w:val="20"/>
              </w:rPr>
              <w:t>Potencjalne podmioty odpowiedzialne za realizację</w:t>
            </w:r>
          </w:p>
        </w:tc>
        <w:tc>
          <w:tcPr>
            <w:tcW w:w="2409" w:type="dxa"/>
          </w:tcPr>
          <w:p w:rsidR="00322AB8" w:rsidRPr="003F543C" w:rsidRDefault="00322AB8" w:rsidP="00322AB8">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000000"/>
                <w:sz w:val="20"/>
                <w:szCs w:val="20"/>
              </w:rPr>
            </w:pPr>
            <w:r>
              <w:rPr>
                <w:rFonts w:asciiTheme="minorHAnsi" w:hAnsiTheme="minorHAnsi" w:cstheme="minorHAnsi"/>
                <w:color w:val="000000"/>
                <w:sz w:val="20"/>
                <w:szCs w:val="20"/>
              </w:rPr>
              <w:t>Potencjalne p</w:t>
            </w:r>
            <w:r w:rsidRPr="003F543C">
              <w:rPr>
                <w:rFonts w:asciiTheme="minorHAnsi" w:hAnsiTheme="minorHAnsi" w:cstheme="minorHAnsi"/>
                <w:color w:val="000000"/>
                <w:sz w:val="20"/>
                <w:szCs w:val="20"/>
              </w:rPr>
              <w:t>odmioty biorące udział w realizacji (partnerzy merytoryczni, organizacyjni i finansowi)</w:t>
            </w:r>
          </w:p>
        </w:tc>
        <w:tc>
          <w:tcPr>
            <w:tcW w:w="1560" w:type="dxa"/>
          </w:tcPr>
          <w:p w:rsidR="00322AB8" w:rsidRPr="003F543C" w:rsidRDefault="00322AB8" w:rsidP="00322AB8">
            <w:pPr>
              <w:ind w:firstLine="3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F543C">
              <w:rPr>
                <w:rFonts w:asciiTheme="minorHAnsi" w:hAnsiTheme="minorHAnsi" w:cstheme="minorHAnsi"/>
                <w:sz w:val="20"/>
                <w:szCs w:val="20"/>
              </w:rPr>
              <w:t>Okres realizacji</w:t>
            </w:r>
          </w:p>
        </w:tc>
      </w:tr>
      <w:tr w:rsidR="00BE52B0" w:rsidTr="00322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tcPr>
          <w:p w:rsidR="00BE52B0" w:rsidRPr="00BE2A80" w:rsidRDefault="00AA6622" w:rsidP="00322AB8">
            <w:pPr>
              <w:ind w:firstLine="0"/>
              <w:jc w:val="left"/>
              <w:rPr>
                <w:rFonts w:asciiTheme="minorHAnsi" w:hAnsiTheme="minorHAnsi" w:cstheme="minorHAnsi"/>
                <w:b w:val="0"/>
                <w:color w:val="000000"/>
                <w:sz w:val="20"/>
                <w:szCs w:val="20"/>
              </w:rPr>
            </w:pPr>
            <w:r>
              <w:rPr>
                <w:rFonts w:asciiTheme="minorHAnsi" w:hAnsiTheme="minorHAnsi" w:cstheme="minorHAnsi"/>
                <w:b w:val="0"/>
                <w:color w:val="000000"/>
                <w:sz w:val="20"/>
                <w:szCs w:val="20"/>
              </w:rPr>
              <w:t xml:space="preserve">Cyfryzacja usług publicznych, lepsze zarządzanie danymi publicznymi i </w:t>
            </w:r>
            <w:proofErr w:type="spellStart"/>
            <w:r>
              <w:rPr>
                <w:rFonts w:asciiTheme="minorHAnsi" w:hAnsiTheme="minorHAnsi" w:cstheme="minorHAnsi"/>
                <w:b w:val="0"/>
                <w:color w:val="000000"/>
                <w:sz w:val="20"/>
                <w:szCs w:val="20"/>
              </w:rPr>
              <w:t>cyberbezpieczeństwo</w:t>
            </w:r>
            <w:proofErr w:type="spellEnd"/>
          </w:p>
        </w:tc>
        <w:tc>
          <w:tcPr>
            <w:tcW w:w="4536" w:type="dxa"/>
          </w:tcPr>
          <w:p w:rsidR="00BE52B0" w:rsidRPr="009D5766" w:rsidRDefault="00BE52B0" w:rsidP="00322AB8">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D5766">
              <w:rPr>
                <w:sz w:val="20"/>
                <w:szCs w:val="20"/>
              </w:rPr>
              <w:t>Rozwój elektronicznych usług publicznych na poziomie regionalnym i lokalnym (tworzenie, cyfryzacja nowych usług, poprawa funkcjonalności i e-dojrzałości istniejących usług, integracja usług, tworzenie i rozwijanie platform służących udostępnianiu usług, rozwój infrastruktury informatycznej jednostek, wsparcie rozwoju systemów elektronicznego zarządzania dokumentacją, rejestrów publicznych, aplikacji i systemów bazodanowych)</w:t>
            </w:r>
          </w:p>
        </w:tc>
        <w:tc>
          <w:tcPr>
            <w:tcW w:w="2835" w:type="dxa"/>
            <w:vAlign w:val="center"/>
          </w:tcPr>
          <w:p w:rsidR="00BE52B0" w:rsidRDefault="00BE52B0" w:rsidP="007A6453">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409" w:type="dxa"/>
            <w:vAlign w:val="center"/>
          </w:tcPr>
          <w:p w:rsidR="00BE52B0" w:rsidRPr="00072595" w:rsidRDefault="00BE52B0" w:rsidP="007A6453">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072595">
              <w:rPr>
                <w:sz w:val="20"/>
                <w:szCs w:val="20"/>
              </w:rPr>
              <w:t>Jednostki organizacyjne gmin</w:t>
            </w:r>
            <w:r>
              <w:rPr>
                <w:sz w:val="20"/>
                <w:szCs w:val="20"/>
              </w:rPr>
              <w:t>, przedsiębiorcy, organizacje pozarządowe</w:t>
            </w:r>
          </w:p>
        </w:tc>
        <w:tc>
          <w:tcPr>
            <w:tcW w:w="1560" w:type="dxa"/>
            <w:vAlign w:val="center"/>
          </w:tcPr>
          <w:p w:rsidR="00BE52B0" w:rsidRDefault="00BE52B0"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E52B0" w:rsidTr="00322A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BE52B0" w:rsidRPr="00BE2A80" w:rsidRDefault="00BE52B0" w:rsidP="00322AB8">
            <w:pPr>
              <w:ind w:firstLine="0"/>
              <w:jc w:val="left"/>
              <w:rPr>
                <w:rFonts w:asciiTheme="minorHAnsi" w:hAnsiTheme="minorHAnsi" w:cstheme="minorHAnsi"/>
                <w:b w:val="0"/>
                <w:color w:val="000000"/>
                <w:sz w:val="20"/>
                <w:szCs w:val="20"/>
              </w:rPr>
            </w:pPr>
          </w:p>
        </w:tc>
        <w:tc>
          <w:tcPr>
            <w:tcW w:w="4536" w:type="dxa"/>
          </w:tcPr>
          <w:p w:rsidR="00BE52B0" w:rsidRPr="009D5766" w:rsidRDefault="00BE52B0" w:rsidP="009D5766">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D5766">
              <w:rPr>
                <w:sz w:val="20"/>
                <w:szCs w:val="20"/>
              </w:rPr>
              <w:t>Udostępnienie informacji sektora publicznego oraz cyfrowych zasobów pozostających w dyspozycji podmiotów spoza sektora publicznego w zakresie zasobów naukowych, kulturowych i administracji</w:t>
            </w:r>
          </w:p>
        </w:tc>
        <w:tc>
          <w:tcPr>
            <w:tcW w:w="2835" w:type="dxa"/>
            <w:vAlign w:val="center"/>
          </w:tcPr>
          <w:p w:rsidR="00BE52B0" w:rsidRDefault="00BE52B0" w:rsidP="007A6453">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409" w:type="dxa"/>
            <w:vAlign w:val="center"/>
          </w:tcPr>
          <w:p w:rsidR="00BE52B0" w:rsidRDefault="00BE52B0" w:rsidP="007A6453">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072595">
              <w:rPr>
                <w:sz w:val="20"/>
                <w:szCs w:val="20"/>
              </w:rPr>
              <w:t>Jednostki organizacyjne gmin</w:t>
            </w:r>
            <w:r>
              <w:rPr>
                <w:sz w:val="20"/>
                <w:szCs w:val="20"/>
              </w:rPr>
              <w:t>, przedsiębiorcy, instytucje krajowe</w:t>
            </w:r>
          </w:p>
        </w:tc>
        <w:tc>
          <w:tcPr>
            <w:tcW w:w="1560" w:type="dxa"/>
            <w:vAlign w:val="center"/>
          </w:tcPr>
          <w:p w:rsidR="00BE52B0" w:rsidRDefault="00BE52B0"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E52B0" w:rsidTr="007754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BE52B0" w:rsidRPr="00BE2A80" w:rsidRDefault="00BE52B0" w:rsidP="00322AB8">
            <w:pPr>
              <w:ind w:firstLine="0"/>
              <w:jc w:val="left"/>
              <w:rPr>
                <w:rFonts w:asciiTheme="minorHAnsi" w:hAnsiTheme="minorHAnsi" w:cstheme="minorHAnsi"/>
                <w:b w:val="0"/>
                <w:color w:val="000000"/>
                <w:sz w:val="20"/>
                <w:szCs w:val="20"/>
              </w:rPr>
            </w:pPr>
          </w:p>
        </w:tc>
        <w:tc>
          <w:tcPr>
            <w:tcW w:w="4536" w:type="dxa"/>
            <w:vAlign w:val="center"/>
          </w:tcPr>
          <w:p w:rsidR="00BE52B0" w:rsidRPr="009D5766" w:rsidRDefault="00BE52B0" w:rsidP="007754E1">
            <w:pPr>
              <w:tabs>
                <w:tab w:val="left" w:pos="567"/>
              </w:tabs>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D5766">
              <w:rPr>
                <w:rFonts w:ascii="Calibri" w:hAnsi="Calibri" w:cs="Calibri"/>
                <w:color w:val="000000"/>
                <w:sz w:val="20"/>
                <w:szCs w:val="20"/>
              </w:rPr>
              <w:t>Projekty z zakresu infrastruktury informacji</w:t>
            </w:r>
          </w:p>
          <w:p w:rsidR="00BE52B0" w:rsidRPr="009D5766" w:rsidRDefault="00BE52B0" w:rsidP="007754E1">
            <w:pPr>
              <w:tabs>
                <w:tab w:val="left" w:pos="567"/>
              </w:tabs>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proofErr w:type="gramStart"/>
            <w:r>
              <w:rPr>
                <w:rFonts w:ascii="Calibri" w:hAnsi="Calibri" w:cs="Calibri"/>
                <w:color w:val="000000"/>
                <w:sz w:val="20"/>
                <w:szCs w:val="20"/>
              </w:rPr>
              <w:t>przestrzennej</w:t>
            </w:r>
            <w:proofErr w:type="gramEnd"/>
          </w:p>
        </w:tc>
        <w:tc>
          <w:tcPr>
            <w:tcW w:w="2835" w:type="dxa"/>
            <w:vAlign w:val="center"/>
          </w:tcPr>
          <w:p w:rsidR="00BE52B0" w:rsidRDefault="00BE52B0" w:rsidP="007A6453">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409" w:type="dxa"/>
            <w:vAlign w:val="center"/>
          </w:tcPr>
          <w:p w:rsidR="00BE52B0" w:rsidRDefault="00BE52B0" w:rsidP="007A6453">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r>
              <w:rPr>
                <w:sz w:val="20"/>
                <w:szCs w:val="20"/>
              </w:rPr>
              <w:t>, przedsiębiorcy, instytucje krajowe</w:t>
            </w:r>
          </w:p>
        </w:tc>
        <w:tc>
          <w:tcPr>
            <w:tcW w:w="1560" w:type="dxa"/>
            <w:vAlign w:val="center"/>
          </w:tcPr>
          <w:p w:rsidR="00BE52B0" w:rsidRDefault="00BE52B0"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E52B0" w:rsidTr="00322AB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BE52B0" w:rsidRPr="00BE2A80" w:rsidRDefault="00BE52B0" w:rsidP="00322AB8">
            <w:pPr>
              <w:ind w:firstLine="0"/>
              <w:jc w:val="left"/>
              <w:rPr>
                <w:rFonts w:asciiTheme="minorHAnsi" w:hAnsiTheme="minorHAnsi" w:cstheme="minorHAnsi"/>
                <w:b w:val="0"/>
                <w:color w:val="000000"/>
                <w:sz w:val="20"/>
                <w:szCs w:val="20"/>
              </w:rPr>
            </w:pPr>
          </w:p>
        </w:tc>
        <w:tc>
          <w:tcPr>
            <w:tcW w:w="4536" w:type="dxa"/>
            <w:vAlign w:val="center"/>
          </w:tcPr>
          <w:p w:rsidR="00BE52B0" w:rsidRPr="009D5766" w:rsidRDefault="00BE52B0" w:rsidP="00322AB8">
            <w:pPr>
              <w:spacing w:before="0"/>
              <w:ind w:firstLine="0"/>
              <w:jc w:val="left"/>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0"/>
                <w:szCs w:val="20"/>
              </w:rPr>
            </w:pPr>
            <w:r w:rsidRPr="009D5766">
              <w:rPr>
                <w:sz w:val="20"/>
              </w:rPr>
              <w:t>Projekty z zakresu rozwoju cyberbezpieczeństwa, tj. wzmacniające bezpieczeństwo świadczenia e-usług lub systemów informatycznych poprzez budowę lub modernizację istniejących systemów, o</w:t>
            </w:r>
            <w:r>
              <w:rPr>
                <w:sz w:val="20"/>
              </w:rPr>
              <w:t xml:space="preserve"> zasięgu regionalnym i lokalnym</w:t>
            </w:r>
          </w:p>
        </w:tc>
        <w:tc>
          <w:tcPr>
            <w:tcW w:w="2835" w:type="dxa"/>
            <w:vAlign w:val="center"/>
          </w:tcPr>
          <w:p w:rsidR="00BE52B0" w:rsidRDefault="00BE52B0" w:rsidP="007A6453">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409" w:type="dxa"/>
            <w:vAlign w:val="center"/>
          </w:tcPr>
          <w:p w:rsidR="00BE52B0" w:rsidRDefault="00BE52B0" w:rsidP="007A6453">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072595">
              <w:rPr>
                <w:sz w:val="20"/>
                <w:szCs w:val="20"/>
              </w:rPr>
              <w:t>Jednostki organizacyjne gmin</w:t>
            </w:r>
          </w:p>
        </w:tc>
        <w:tc>
          <w:tcPr>
            <w:tcW w:w="1560" w:type="dxa"/>
            <w:vAlign w:val="center"/>
          </w:tcPr>
          <w:p w:rsidR="00BE52B0" w:rsidRDefault="00BE52B0" w:rsidP="00322AB8">
            <w:pPr>
              <w:spacing w:before="0"/>
              <w:ind w:firstLine="0"/>
              <w:jc w:val="center"/>
              <w:cnfStyle w:val="000000010000" w:firstRow="0" w:lastRow="0" w:firstColumn="0" w:lastColumn="0" w:oddVBand="0" w:evenVBand="0" w:oddHBand="0" w:evenHBand="1"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r w:rsidR="00BE52B0" w:rsidTr="00322AB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Pr>
          <w:p w:rsidR="00BE52B0" w:rsidRPr="00BE2A80" w:rsidRDefault="00BE52B0" w:rsidP="00322AB8">
            <w:pPr>
              <w:ind w:firstLine="0"/>
              <w:jc w:val="left"/>
              <w:rPr>
                <w:rFonts w:cstheme="minorHAnsi"/>
                <w:b w:val="0"/>
                <w:color w:val="000000"/>
                <w:sz w:val="20"/>
                <w:szCs w:val="20"/>
              </w:rPr>
            </w:pPr>
          </w:p>
        </w:tc>
        <w:tc>
          <w:tcPr>
            <w:tcW w:w="4536" w:type="dxa"/>
          </w:tcPr>
          <w:p w:rsidR="00BE52B0" w:rsidRPr="00BE3A3D" w:rsidRDefault="00BE52B0" w:rsidP="00322AB8">
            <w:pPr>
              <w:spacing w:before="0"/>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9D5766">
              <w:rPr>
                <w:sz w:val="20"/>
              </w:rPr>
              <w:t>Wsparcie rozwoju kompetencji cyfrowych pracowników instytucji sektora publicznego w tym zaawansowanych kompetencji kadr z zakresu cyberbezpieczeństwa</w:t>
            </w:r>
          </w:p>
        </w:tc>
        <w:tc>
          <w:tcPr>
            <w:tcW w:w="2835" w:type="dxa"/>
            <w:vAlign w:val="center"/>
          </w:tcPr>
          <w:p w:rsidR="00BE52B0" w:rsidRDefault="00BE52B0" w:rsidP="007A6453">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01FA">
              <w:rPr>
                <w:rFonts w:ascii="Calibri" w:hAnsi="Calibri" w:cs="Calibri"/>
                <w:color w:val="000000"/>
                <w:sz w:val="20"/>
                <w:szCs w:val="20"/>
              </w:rPr>
              <w:t>Gmina Miejska Hrubieszów, Gmina Hrubieszów</w:t>
            </w:r>
          </w:p>
        </w:tc>
        <w:tc>
          <w:tcPr>
            <w:tcW w:w="2409" w:type="dxa"/>
            <w:vAlign w:val="center"/>
          </w:tcPr>
          <w:p w:rsidR="00BE52B0" w:rsidRDefault="00BE52B0" w:rsidP="007A6453">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072595">
              <w:rPr>
                <w:sz w:val="20"/>
                <w:szCs w:val="20"/>
              </w:rPr>
              <w:t>Jednostki organizacyjne gmin</w:t>
            </w:r>
          </w:p>
        </w:tc>
        <w:tc>
          <w:tcPr>
            <w:tcW w:w="1560" w:type="dxa"/>
            <w:vAlign w:val="center"/>
          </w:tcPr>
          <w:p w:rsidR="00BE52B0" w:rsidRDefault="00BE52B0" w:rsidP="00322AB8">
            <w:pPr>
              <w:spacing w:before="0"/>
              <w:ind w:firstLine="0"/>
              <w:jc w:val="center"/>
              <w:cnfStyle w:val="000000100000" w:firstRow="0" w:lastRow="0" w:firstColumn="0" w:lastColumn="0" w:oddVBand="0" w:evenVBand="0" w:oddHBand="1" w:evenHBand="0" w:firstRowFirstColumn="0" w:firstRowLastColumn="0" w:lastRowFirstColumn="0" w:lastRowLastColumn="0"/>
              <w:rPr>
                <w:b/>
              </w:rPr>
            </w:pPr>
            <w:r w:rsidRPr="00932C0C">
              <w:rPr>
                <w:rFonts w:ascii="Calibri" w:hAnsi="Calibri" w:cs="Calibri"/>
                <w:color w:val="000000"/>
                <w:sz w:val="20"/>
                <w:szCs w:val="20"/>
              </w:rPr>
              <w:t xml:space="preserve">2021 </w:t>
            </w:r>
            <w:r>
              <w:rPr>
                <w:rFonts w:ascii="Calibri" w:hAnsi="Calibri" w:cs="Calibri"/>
                <w:color w:val="000000"/>
                <w:sz w:val="20"/>
                <w:szCs w:val="20"/>
              </w:rPr>
              <w:t>–</w:t>
            </w:r>
            <w:r w:rsidRPr="00932C0C">
              <w:rPr>
                <w:rFonts w:ascii="Calibri" w:hAnsi="Calibri" w:cs="Calibri"/>
                <w:color w:val="000000"/>
                <w:sz w:val="20"/>
                <w:szCs w:val="20"/>
              </w:rPr>
              <w:t xml:space="preserve"> 2030</w:t>
            </w:r>
          </w:p>
        </w:tc>
      </w:tr>
    </w:tbl>
    <w:p w:rsidR="000C2F23" w:rsidRDefault="000C2F23" w:rsidP="00CC3F6A"/>
    <w:p w:rsidR="000C2F23" w:rsidRDefault="000C2F23" w:rsidP="00CC3F6A"/>
    <w:p w:rsidR="00CC3F6A" w:rsidRDefault="00322AB8" w:rsidP="00CC3F6A">
      <w:r w:rsidRPr="00574FE5">
        <w:lastRenderedPageBreak/>
        <w:t xml:space="preserve">Indykatywny wykaz wstępnie zidentyfikowanych projektów i przedsięwzięć inwestycyjnych wpisujący się w zakres celu strategicznego </w:t>
      </w:r>
      <w:r>
        <w:t>4 w pozakonkursowych celach operacyjnych</w:t>
      </w:r>
      <w:r w:rsidRPr="00574FE5">
        <w:t>:</w:t>
      </w:r>
      <w:r w:rsidR="004604BB">
        <w:t>4:</w:t>
      </w:r>
    </w:p>
    <w:tbl>
      <w:tblPr>
        <w:tblStyle w:val="Jasnasiatkaakcent5"/>
        <w:tblW w:w="0" w:type="auto"/>
        <w:tblLook w:val="04A0" w:firstRow="1" w:lastRow="0" w:firstColumn="1" w:lastColumn="0" w:noHBand="0" w:noVBand="1"/>
      </w:tblPr>
      <w:tblGrid>
        <w:gridCol w:w="7338"/>
        <w:gridCol w:w="3827"/>
        <w:gridCol w:w="2979"/>
      </w:tblGrid>
      <w:tr w:rsidR="00CC3F6A" w:rsidTr="00574FE5">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7338" w:type="dxa"/>
          </w:tcPr>
          <w:p w:rsidR="00CC3F6A" w:rsidRPr="005A3422" w:rsidRDefault="00CC3F6A" w:rsidP="00037A14">
            <w:pPr>
              <w:ind w:firstLine="0"/>
              <w:jc w:val="center"/>
              <w:rPr>
                <w:rFonts w:cs="Times New Roman"/>
                <w:b w:val="0"/>
                <w:bCs w:val="0"/>
                <w:sz w:val="20"/>
                <w:szCs w:val="20"/>
              </w:rPr>
            </w:pPr>
            <w:r w:rsidRPr="005A3422">
              <w:rPr>
                <w:rFonts w:cs="Times New Roman"/>
                <w:sz w:val="20"/>
                <w:szCs w:val="20"/>
              </w:rPr>
              <w:t>Projekty</w:t>
            </w:r>
            <w:r w:rsidRPr="005A3422">
              <w:rPr>
                <w:rFonts w:cs="Times New Roman"/>
                <w:bCs w:val="0"/>
                <w:sz w:val="20"/>
                <w:szCs w:val="20"/>
              </w:rPr>
              <w:t xml:space="preserve"> / przedsięwzięcia </w:t>
            </w:r>
          </w:p>
        </w:tc>
        <w:tc>
          <w:tcPr>
            <w:tcW w:w="3827" w:type="dxa"/>
          </w:tcPr>
          <w:p w:rsidR="00CC3F6A" w:rsidRPr="005A3422" w:rsidRDefault="00CC3F6A" w:rsidP="00037A14">
            <w:pPr>
              <w:ind w:firstLine="0"/>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5A3422">
              <w:rPr>
                <w:rFonts w:cs="Times New Roman"/>
                <w:bCs w:val="0"/>
                <w:sz w:val="20"/>
                <w:szCs w:val="20"/>
              </w:rPr>
              <w:t>Podmiot odpowiedzialny za realizacj</w:t>
            </w:r>
            <w:r>
              <w:rPr>
                <w:rFonts w:cs="Times New Roman"/>
                <w:bCs w:val="0"/>
                <w:sz w:val="20"/>
                <w:szCs w:val="20"/>
              </w:rPr>
              <w:t>ę</w:t>
            </w:r>
            <w:r w:rsidRPr="005A3422">
              <w:rPr>
                <w:rFonts w:cs="Times New Roman"/>
                <w:bCs w:val="0"/>
                <w:sz w:val="20"/>
                <w:szCs w:val="20"/>
              </w:rPr>
              <w:t xml:space="preserve"> </w:t>
            </w:r>
          </w:p>
        </w:tc>
        <w:tc>
          <w:tcPr>
            <w:tcW w:w="2979" w:type="dxa"/>
          </w:tcPr>
          <w:p w:rsidR="00CC3F6A" w:rsidRPr="005A3422" w:rsidRDefault="00CC3F6A" w:rsidP="00037A14">
            <w:pPr>
              <w:ind w:firstLine="34"/>
              <w:jc w:val="center"/>
              <w:cnfStyle w:val="100000000000" w:firstRow="1" w:lastRow="0" w:firstColumn="0" w:lastColumn="0" w:oddVBand="0" w:evenVBand="0" w:oddHBand="0" w:evenHBand="0" w:firstRowFirstColumn="0" w:firstRowLastColumn="0" w:lastRowFirstColumn="0" w:lastRowLastColumn="0"/>
              <w:rPr>
                <w:rFonts w:cs="Times New Roman"/>
                <w:b w:val="0"/>
                <w:bCs w:val="0"/>
                <w:sz w:val="20"/>
                <w:szCs w:val="20"/>
              </w:rPr>
            </w:pPr>
            <w:r w:rsidRPr="005A3422">
              <w:rPr>
                <w:rFonts w:cs="Times New Roman"/>
                <w:bCs w:val="0"/>
                <w:sz w:val="20"/>
                <w:szCs w:val="20"/>
              </w:rPr>
              <w:t>Szacowana wartość (</w:t>
            </w:r>
            <w:r w:rsidRPr="005A3422">
              <w:rPr>
                <w:rFonts w:cs="Times New Roman"/>
                <w:sz w:val="20"/>
                <w:szCs w:val="20"/>
              </w:rPr>
              <w:t>z</w:t>
            </w:r>
            <w:r w:rsidRPr="005A3422">
              <w:rPr>
                <w:rFonts w:cs="Times New Roman"/>
                <w:bCs w:val="0"/>
                <w:sz w:val="20"/>
                <w:szCs w:val="20"/>
              </w:rPr>
              <w:t xml:space="preserve">ł) </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7866C8" w:rsidRDefault="000A1324" w:rsidP="000A1324">
            <w:pPr>
              <w:spacing w:before="0"/>
              <w:ind w:firstLine="0"/>
              <w:rPr>
                <w:rFonts w:asciiTheme="minorHAnsi" w:hAnsiTheme="minorHAnsi" w:cstheme="minorHAnsi"/>
                <w:b w:val="0"/>
                <w:sz w:val="20"/>
                <w:szCs w:val="20"/>
              </w:rPr>
            </w:pPr>
            <w:r w:rsidRPr="007866C8">
              <w:rPr>
                <w:rFonts w:asciiTheme="minorHAnsi" w:hAnsiTheme="minorHAnsi" w:cstheme="minorHAnsi"/>
                <w:b w:val="0"/>
                <w:sz w:val="20"/>
                <w:szCs w:val="20"/>
              </w:rPr>
              <w:t>Przebudowa ze zmianą sposobu uży</w:t>
            </w:r>
            <w:r>
              <w:rPr>
                <w:rFonts w:asciiTheme="minorHAnsi" w:hAnsiTheme="minorHAnsi" w:cstheme="minorHAnsi"/>
                <w:b w:val="0"/>
                <w:sz w:val="20"/>
                <w:szCs w:val="20"/>
              </w:rPr>
              <w:t>tkowania byłej szkoły w Ślipczu</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7866C8">
              <w:rPr>
                <w:sz w:val="20"/>
                <w:szCs w:val="20"/>
              </w:rPr>
              <w:t>Gmina Hrubieszów</w:t>
            </w:r>
          </w:p>
        </w:tc>
        <w:tc>
          <w:tcPr>
            <w:tcW w:w="2979" w:type="dxa"/>
            <w:vAlign w:val="center"/>
          </w:tcPr>
          <w:p w:rsidR="000A1324" w:rsidRPr="007866C8" w:rsidRDefault="000A1324" w:rsidP="000A1324">
            <w:pPr>
              <w:spacing w:before="0"/>
              <w:jc w:val="right"/>
              <w:cnfStyle w:val="000000100000" w:firstRow="0" w:lastRow="0" w:firstColumn="0" w:lastColumn="0" w:oddVBand="0" w:evenVBand="0" w:oddHBand="1" w:evenHBand="0" w:firstRowFirstColumn="0" w:firstRowLastColumn="0" w:lastRowFirstColumn="0" w:lastRowLastColumn="0"/>
              <w:rPr>
                <w:b/>
                <w:sz w:val="20"/>
                <w:szCs w:val="20"/>
              </w:rPr>
            </w:pPr>
            <w:r w:rsidRPr="007866C8">
              <w:rPr>
                <w:rFonts w:cs="Times New Roman"/>
                <w:sz w:val="20"/>
                <w:szCs w:val="20"/>
              </w:rPr>
              <w:t>500 000,00</w:t>
            </w:r>
          </w:p>
        </w:tc>
      </w:tr>
      <w:tr w:rsidR="000A1324" w:rsidTr="00230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930290" w:rsidRDefault="000A1324" w:rsidP="000A1324">
            <w:pPr>
              <w:spacing w:before="0"/>
              <w:ind w:firstLine="0"/>
              <w:rPr>
                <w:rFonts w:asciiTheme="minorHAnsi" w:hAnsiTheme="minorHAnsi" w:cstheme="minorHAnsi"/>
                <w:sz w:val="20"/>
                <w:szCs w:val="20"/>
              </w:rPr>
            </w:pPr>
            <w:r w:rsidRPr="00930290">
              <w:rPr>
                <w:rFonts w:asciiTheme="minorHAnsi" w:hAnsiTheme="minorHAnsi" w:cstheme="minorHAnsi"/>
                <w:b w:val="0"/>
                <w:bCs w:val="0"/>
                <w:sz w:val="20"/>
                <w:szCs w:val="20"/>
              </w:rPr>
              <w:t>Utworzenie Hrubieszowskiej Akademii Biznesu</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930290">
              <w:rPr>
                <w:sz w:val="20"/>
                <w:szCs w:val="20"/>
              </w:rPr>
              <w:t>Gmina Miejska Hrubieszów/</w:t>
            </w:r>
            <w:proofErr w:type="spellStart"/>
            <w:r w:rsidRPr="00930290">
              <w:rPr>
                <w:sz w:val="20"/>
                <w:szCs w:val="20"/>
              </w:rPr>
              <w:t>KCEiWG</w:t>
            </w:r>
            <w:proofErr w:type="spellEnd"/>
          </w:p>
        </w:tc>
        <w:tc>
          <w:tcPr>
            <w:tcW w:w="2979" w:type="dxa"/>
          </w:tcPr>
          <w:p w:rsidR="000A1324" w:rsidRPr="00CC3682"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pPr>
            <w:r w:rsidRPr="00654D37">
              <w:rPr>
                <w:bCs/>
                <w:sz w:val="20"/>
                <w:szCs w:val="20"/>
              </w:rPr>
              <w:t>500</w:t>
            </w:r>
            <w:r>
              <w:rPr>
                <w:bCs/>
                <w:sz w:val="20"/>
                <w:szCs w:val="20"/>
              </w:rPr>
              <w:t xml:space="preserve"> </w:t>
            </w:r>
            <w:r w:rsidRPr="00654D37">
              <w:rPr>
                <w:bCs/>
                <w:sz w:val="20"/>
                <w:szCs w:val="20"/>
              </w:rPr>
              <w:t>000</w:t>
            </w:r>
            <w:r>
              <w:rPr>
                <w:bCs/>
                <w:sz w:val="20"/>
                <w:szCs w:val="20"/>
              </w:rPr>
              <w:t>,00</w:t>
            </w:r>
          </w:p>
        </w:tc>
      </w:tr>
      <w:tr w:rsidR="000A1324" w:rsidTr="00230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930290" w:rsidRDefault="000A1324" w:rsidP="000A1324">
            <w:pPr>
              <w:spacing w:before="0"/>
              <w:ind w:firstLine="0"/>
              <w:rPr>
                <w:rFonts w:asciiTheme="minorHAnsi" w:hAnsiTheme="minorHAnsi" w:cstheme="minorHAnsi"/>
                <w:sz w:val="20"/>
                <w:szCs w:val="20"/>
              </w:rPr>
            </w:pPr>
            <w:r w:rsidRPr="00930290">
              <w:rPr>
                <w:rFonts w:asciiTheme="minorHAnsi" w:hAnsiTheme="minorHAnsi" w:cstheme="minorHAnsi"/>
                <w:b w:val="0"/>
                <w:bCs w:val="0"/>
                <w:sz w:val="20"/>
                <w:szCs w:val="20"/>
              </w:rPr>
              <w:t>Stworzenie Karty Mieszkańca</w:t>
            </w:r>
          </w:p>
        </w:tc>
        <w:tc>
          <w:tcPr>
            <w:tcW w:w="3827" w:type="dxa"/>
            <w:vAlign w:val="center"/>
          </w:tcPr>
          <w:p w:rsidR="000A1324" w:rsidRPr="007866C8"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Gmina Miejska Hrubieszów/</w:t>
            </w:r>
            <w:proofErr w:type="spellStart"/>
            <w:r>
              <w:rPr>
                <w:sz w:val="20"/>
                <w:szCs w:val="20"/>
              </w:rPr>
              <w:t>KCEiWG</w:t>
            </w:r>
            <w:proofErr w:type="spellEnd"/>
          </w:p>
        </w:tc>
        <w:tc>
          <w:tcPr>
            <w:tcW w:w="2979" w:type="dxa"/>
          </w:tcPr>
          <w:p w:rsidR="000A1324" w:rsidRPr="00CC3682" w:rsidRDefault="000A1324" w:rsidP="000A1324">
            <w:pPr>
              <w:spacing w:before="0"/>
              <w:jc w:val="right"/>
              <w:cnfStyle w:val="000000100000" w:firstRow="0" w:lastRow="0" w:firstColumn="0" w:lastColumn="0" w:oddVBand="0" w:evenVBand="0" w:oddHBand="1" w:evenHBand="0" w:firstRowFirstColumn="0" w:firstRowLastColumn="0" w:lastRowFirstColumn="0" w:lastRowLastColumn="0"/>
            </w:pPr>
            <w:r w:rsidRPr="00654D37">
              <w:rPr>
                <w:rFonts w:cs="Times New Roman"/>
                <w:bCs/>
                <w:sz w:val="20"/>
                <w:szCs w:val="20"/>
              </w:rPr>
              <w:t>70</w:t>
            </w:r>
            <w:r>
              <w:rPr>
                <w:rFonts w:cs="Times New Roman"/>
                <w:bCs/>
                <w:sz w:val="20"/>
                <w:szCs w:val="20"/>
              </w:rPr>
              <w:t> </w:t>
            </w:r>
            <w:r w:rsidRPr="00654D37">
              <w:rPr>
                <w:rFonts w:cs="Times New Roman"/>
                <w:bCs/>
                <w:sz w:val="20"/>
                <w:szCs w:val="20"/>
              </w:rPr>
              <w:t>000</w:t>
            </w:r>
            <w:r>
              <w:rPr>
                <w:rFonts w:cs="Times New Roman"/>
                <w:bCs/>
                <w:sz w:val="20"/>
                <w:szCs w:val="20"/>
              </w:rPr>
              <w:t>,00</w:t>
            </w:r>
          </w:p>
        </w:tc>
      </w:tr>
      <w:tr w:rsidR="000A1324" w:rsidTr="00230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930290" w:rsidRDefault="000A1324" w:rsidP="000A1324">
            <w:pPr>
              <w:spacing w:before="0"/>
              <w:ind w:firstLine="0"/>
              <w:rPr>
                <w:rFonts w:asciiTheme="minorHAnsi" w:hAnsiTheme="minorHAnsi" w:cstheme="minorHAnsi"/>
                <w:sz w:val="20"/>
                <w:szCs w:val="20"/>
              </w:rPr>
            </w:pPr>
            <w:r w:rsidRPr="00930290">
              <w:rPr>
                <w:rFonts w:asciiTheme="minorHAnsi" w:hAnsiTheme="minorHAnsi" w:cstheme="minorHAnsi"/>
                <w:b w:val="0"/>
                <w:bCs w:val="0"/>
                <w:sz w:val="20"/>
                <w:szCs w:val="20"/>
              </w:rPr>
              <w:t xml:space="preserve">Działania na rzecz wzrostu efektywności zarządzania w tym zarządzania strategicznego </w:t>
            </w:r>
          </w:p>
        </w:tc>
        <w:tc>
          <w:tcPr>
            <w:tcW w:w="3827" w:type="dxa"/>
          </w:tcPr>
          <w:p w:rsidR="000A1324" w:rsidRPr="00B514A6"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 xml:space="preserve">Gmina Miejska Hrubieszów </w:t>
            </w:r>
          </w:p>
        </w:tc>
        <w:tc>
          <w:tcPr>
            <w:tcW w:w="2979" w:type="dxa"/>
          </w:tcPr>
          <w:p w:rsidR="000A1324" w:rsidRPr="00CC3682"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pPr>
            <w:r w:rsidRPr="005E5D18">
              <w:rPr>
                <w:rFonts w:cs="Times New Roman"/>
                <w:bCs/>
                <w:sz w:val="20"/>
                <w:szCs w:val="20"/>
              </w:rPr>
              <w:t>35</w:t>
            </w:r>
            <w:r>
              <w:rPr>
                <w:rFonts w:cs="Times New Roman"/>
                <w:bCs/>
                <w:sz w:val="20"/>
                <w:szCs w:val="20"/>
              </w:rPr>
              <w:t xml:space="preserve"> </w:t>
            </w:r>
            <w:r w:rsidRPr="005E5D18">
              <w:rPr>
                <w:rFonts w:cs="Times New Roman"/>
                <w:bCs/>
                <w:sz w:val="20"/>
                <w:szCs w:val="20"/>
              </w:rPr>
              <w:t>000,00</w:t>
            </w:r>
          </w:p>
        </w:tc>
      </w:tr>
      <w:tr w:rsidR="000A1324" w:rsidTr="002309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930290" w:rsidRDefault="000A1324" w:rsidP="000A1324">
            <w:pPr>
              <w:spacing w:before="0"/>
              <w:ind w:firstLine="0"/>
              <w:rPr>
                <w:rFonts w:asciiTheme="minorHAnsi" w:hAnsiTheme="minorHAnsi" w:cstheme="minorHAnsi"/>
                <w:sz w:val="20"/>
                <w:szCs w:val="20"/>
              </w:rPr>
            </w:pPr>
            <w:r w:rsidRPr="00930290">
              <w:rPr>
                <w:rFonts w:asciiTheme="minorHAnsi" w:hAnsiTheme="minorHAnsi" w:cstheme="minorHAnsi"/>
                <w:b w:val="0"/>
                <w:bCs w:val="0"/>
                <w:sz w:val="20"/>
                <w:szCs w:val="20"/>
              </w:rPr>
              <w:t xml:space="preserve">Działania na rzecz opracowania Strategii Otwartego Rządzenia </w:t>
            </w:r>
          </w:p>
        </w:tc>
        <w:tc>
          <w:tcPr>
            <w:tcW w:w="3827" w:type="dxa"/>
          </w:tcPr>
          <w:p w:rsidR="000A1324" w:rsidRPr="00B514A6" w:rsidRDefault="000A1324" w:rsidP="000A1324">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Gmina Miejska Hrubieszów</w:t>
            </w:r>
          </w:p>
        </w:tc>
        <w:tc>
          <w:tcPr>
            <w:tcW w:w="2979" w:type="dxa"/>
          </w:tcPr>
          <w:p w:rsidR="000A1324" w:rsidRPr="00CC3682" w:rsidRDefault="000A1324" w:rsidP="000A1324">
            <w:pPr>
              <w:spacing w:before="0"/>
              <w:jc w:val="right"/>
              <w:cnfStyle w:val="000000100000" w:firstRow="0" w:lastRow="0" w:firstColumn="0" w:lastColumn="0" w:oddVBand="0" w:evenVBand="0" w:oddHBand="1" w:evenHBand="0" w:firstRowFirstColumn="0" w:firstRowLastColumn="0" w:lastRowFirstColumn="0" w:lastRowLastColumn="0"/>
            </w:pPr>
            <w:r w:rsidRPr="005E5D18">
              <w:rPr>
                <w:rFonts w:cs="Times New Roman"/>
                <w:bCs/>
                <w:sz w:val="20"/>
                <w:szCs w:val="20"/>
              </w:rPr>
              <w:t>45 000,00</w:t>
            </w:r>
          </w:p>
        </w:tc>
      </w:tr>
      <w:tr w:rsidR="000A1324" w:rsidTr="002309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0A1324" w:rsidRPr="00930290" w:rsidRDefault="000A1324" w:rsidP="000A1324">
            <w:pPr>
              <w:spacing w:before="0"/>
              <w:ind w:firstLine="0"/>
              <w:rPr>
                <w:rFonts w:asciiTheme="minorHAnsi" w:hAnsiTheme="minorHAnsi" w:cstheme="minorHAnsi"/>
                <w:sz w:val="20"/>
                <w:szCs w:val="20"/>
              </w:rPr>
            </w:pPr>
            <w:r w:rsidRPr="00930290">
              <w:rPr>
                <w:rFonts w:asciiTheme="minorHAnsi" w:hAnsiTheme="minorHAnsi" w:cstheme="minorHAnsi"/>
                <w:b w:val="0"/>
                <w:bCs w:val="0"/>
                <w:sz w:val="20"/>
                <w:szCs w:val="20"/>
              </w:rPr>
              <w:t>Działania na rzecz opracowania koncepcji rozwoju sieciowego produktu turystycznego</w:t>
            </w:r>
          </w:p>
        </w:tc>
        <w:tc>
          <w:tcPr>
            <w:tcW w:w="3827" w:type="dxa"/>
            <w:vAlign w:val="center"/>
          </w:tcPr>
          <w:p w:rsidR="000A1324" w:rsidRPr="007866C8" w:rsidRDefault="000A1324" w:rsidP="000A1324">
            <w:pPr>
              <w:spacing w:before="0"/>
              <w:ind w:firstLine="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Gmina Miejska Hrubieszów/</w:t>
            </w:r>
            <w:proofErr w:type="spellStart"/>
            <w:r>
              <w:rPr>
                <w:sz w:val="20"/>
                <w:szCs w:val="20"/>
              </w:rPr>
              <w:t>KCEiWG</w:t>
            </w:r>
            <w:proofErr w:type="spellEnd"/>
          </w:p>
        </w:tc>
        <w:tc>
          <w:tcPr>
            <w:tcW w:w="2979" w:type="dxa"/>
          </w:tcPr>
          <w:p w:rsidR="000A1324" w:rsidRPr="00CC3682" w:rsidRDefault="000A1324" w:rsidP="000A1324">
            <w:pPr>
              <w:spacing w:before="0"/>
              <w:jc w:val="right"/>
              <w:cnfStyle w:val="000000010000" w:firstRow="0" w:lastRow="0" w:firstColumn="0" w:lastColumn="0" w:oddVBand="0" w:evenVBand="0" w:oddHBand="0" w:evenHBand="1" w:firstRowFirstColumn="0" w:firstRowLastColumn="0" w:lastRowFirstColumn="0" w:lastRowLastColumn="0"/>
            </w:pPr>
            <w:r>
              <w:rPr>
                <w:rFonts w:cs="Times New Roman"/>
                <w:bCs/>
                <w:sz w:val="20"/>
                <w:szCs w:val="20"/>
              </w:rPr>
              <w:t>50 000,00</w:t>
            </w:r>
          </w:p>
        </w:tc>
      </w:tr>
      <w:tr w:rsidR="000A1324" w:rsidTr="00574FE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165" w:type="dxa"/>
            <w:gridSpan w:val="2"/>
          </w:tcPr>
          <w:p w:rsidR="000A1324" w:rsidRPr="007866C8" w:rsidRDefault="000A1324" w:rsidP="007866C8">
            <w:pPr>
              <w:spacing w:before="0"/>
              <w:ind w:firstLine="0"/>
              <w:jc w:val="left"/>
              <w:rPr>
                <w:sz w:val="20"/>
                <w:szCs w:val="20"/>
              </w:rPr>
            </w:pPr>
            <w:r w:rsidRPr="007866C8">
              <w:rPr>
                <w:sz w:val="20"/>
                <w:szCs w:val="20"/>
              </w:rPr>
              <w:t>Razem</w:t>
            </w:r>
          </w:p>
        </w:tc>
        <w:tc>
          <w:tcPr>
            <w:tcW w:w="2979" w:type="dxa"/>
          </w:tcPr>
          <w:p w:rsidR="000A1324" w:rsidRPr="004604BB" w:rsidRDefault="000A1324" w:rsidP="004604BB">
            <w:pPr>
              <w:spacing w:before="0"/>
              <w:ind w:firstLine="0"/>
              <w:jc w:val="right"/>
              <w:cnfStyle w:val="000000100000" w:firstRow="0" w:lastRow="0" w:firstColumn="0" w:lastColumn="0" w:oddVBand="0" w:evenVBand="0" w:oddHBand="1" w:evenHBand="0" w:firstRowFirstColumn="0" w:firstRowLastColumn="0" w:lastRowFirstColumn="0" w:lastRowLastColumn="0"/>
              <w:rPr>
                <w:b/>
                <w:sz w:val="20"/>
                <w:szCs w:val="20"/>
              </w:rPr>
            </w:pPr>
            <w:r>
              <w:rPr>
                <w:rFonts w:cs="Times New Roman"/>
                <w:b/>
                <w:sz w:val="20"/>
                <w:szCs w:val="20"/>
              </w:rPr>
              <w:t>1 200 000,00</w:t>
            </w:r>
          </w:p>
        </w:tc>
      </w:tr>
    </w:tbl>
    <w:p w:rsidR="00322AB8" w:rsidRDefault="00322AB8" w:rsidP="00322AB8">
      <w:r w:rsidRPr="00574FE5">
        <w:t xml:space="preserve">Indykatywny wykaz zidentyfikowanych </w:t>
      </w:r>
      <w:r>
        <w:t xml:space="preserve">zintegrowanych </w:t>
      </w:r>
      <w:r w:rsidRPr="00574FE5">
        <w:t xml:space="preserve">projektów i przedsięwzięć inwestycyjnych wpisujący się w zakres celu strategicznego </w:t>
      </w:r>
      <w:r>
        <w:t>4 w celach operacyjnych ZIT:</w:t>
      </w:r>
    </w:p>
    <w:tbl>
      <w:tblPr>
        <w:tblStyle w:val="Jasnasiatkaakcent23"/>
        <w:tblW w:w="0" w:type="auto"/>
        <w:tblLook w:val="04A0" w:firstRow="1" w:lastRow="0" w:firstColumn="1" w:lastColumn="0" w:noHBand="0" w:noVBand="1"/>
      </w:tblPr>
      <w:tblGrid>
        <w:gridCol w:w="7338"/>
        <w:gridCol w:w="3402"/>
        <w:gridCol w:w="1050"/>
        <w:gridCol w:w="2268"/>
      </w:tblGrid>
      <w:tr w:rsidR="00D534F3" w:rsidTr="00947F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vAlign w:val="center"/>
          </w:tcPr>
          <w:p w:rsidR="00D534F3" w:rsidRPr="005A3422" w:rsidRDefault="00D534F3" w:rsidP="00947F55">
            <w:pPr>
              <w:spacing w:before="0"/>
              <w:ind w:firstLine="0"/>
              <w:jc w:val="center"/>
              <w:rPr>
                <w:b w:val="0"/>
                <w:bCs w:val="0"/>
                <w:sz w:val="20"/>
                <w:szCs w:val="20"/>
              </w:rPr>
            </w:pPr>
            <w:r w:rsidRPr="005A3422">
              <w:rPr>
                <w:sz w:val="20"/>
                <w:szCs w:val="20"/>
              </w:rPr>
              <w:t>Projekty</w:t>
            </w:r>
            <w:r w:rsidRPr="005A3422">
              <w:rPr>
                <w:bCs w:val="0"/>
                <w:sz w:val="20"/>
                <w:szCs w:val="20"/>
              </w:rPr>
              <w:t xml:space="preserve"> / przedsięwzięcia</w:t>
            </w:r>
          </w:p>
        </w:tc>
        <w:tc>
          <w:tcPr>
            <w:tcW w:w="3402" w:type="dxa"/>
            <w:vAlign w:val="center"/>
          </w:tcPr>
          <w:p w:rsidR="00D534F3" w:rsidRPr="005B64D4" w:rsidRDefault="00D534F3" w:rsidP="00947F55">
            <w:pPr>
              <w:spacing w:before="0"/>
              <w:ind w:firstLine="33"/>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5B64D4">
              <w:rPr>
                <w:sz w:val="20"/>
                <w:szCs w:val="20"/>
              </w:rPr>
              <w:t>Podmiot odpowiedzialny za realizację</w:t>
            </w:r>
          </w:p>
        </w:tc>
        <w:tc>
          <w:tcPr>
            <w:tcW w:w="1050" w:type="dxa"/>
            <w:tcBorders>
              <w:right w:val="single" w:sz="8" w:space="0" w:color="C00000"/>
            </w:tcBorders>
            <w:vAlign w:val="center"/>
          </w:tcPr>
          <w:p w:rsidR="00D534F3" w:rsidRPr="005B64D4" w:rsidRDefault="00D534F3" w:rsidP="00947F55">
            <w:pPr>
              <w:spacing w:before="0"/>
              <w:ind w:firstLine="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Pr>
                <w:sz w:val="20"/>
                <w:szCs w:val="20"/>
              </w:rPr>
              <w:t>Źródło wsparcia</w:t>
            </w:r>
          </w:p>
        </w:tc>
        <w:tc>
          <w:tcPr>
            <w:tcW w:w="2268" w:type="dxa"/>
            <w:tcBorders>
              <w:left w:val="single" w:sz="8" w:space="0" w:color="C00000"/>
            </w:tcBorders>
            <w:vAlign w:val="center"/>
          </w:tcPr>
          <w:p w:rsidR="00D534F3" w:rsidRPr="005B64D4" w:rsidRDefault="00D534F3" w:rsidP="00947F55">
            <w:pPr>
              <w:spacing w:before="0"/>
              <w:ind w:firstLine="0"/>
              <w:jc w:val="center"/>
              <w:cnfStyle w:val="100000000000" w:firstRow="1" w:lastRow="0" w:firstColumn="0" w:lastColumn="0" w:oddVBand="0" w:evenVBand="0" w:oddHBand="0" w:evenHBand="0" w:firstRowFirstColumn="0" w:firstRowLastColumn="0" w:lastRowFirstColumn="0" w:lastRowLastColumn="0"/>
              <w:rPr>
                <w:b w:val="0"/>
                <w:bCs w:val="0"/>
                <w:sz w:val="20"/>
                <w:szCs w:val="20"/>
              </w:rPr>
            </w:pPr>
            <w:r w:rsidRPr="005B64D4">
              <w:rPr>
                <w:sz w:val="20"/>
                <w:szCs w:val="20"/>
              </w:rPr>
              <w:t>Szacowana wartość (zł)</w:t>
            </w:r>
          </w:p>
        </w:tc>
      </w:tr>
      <w:tr w:rsidR="00D534F3" w:rsidTr="000A13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38" w:type="dxa"/>
          </w:tcPr>
          <w:p w:rsidR="00D534F3" w:rsidRPr="007866C8" w:rsidRDefault="00D534F3" w:rsidP="00947F55">
            <w:pPr>
              <w:spacing w:before="0"/>
              <w:ind w:firstLine="0"/>
              <w:rPr>
                <w:rFonts w:asciiTheme="minorHAnsi" w:hAnsiTheme="minorHAnsi" w:cstheme="minorHAnsi"/>
                <w:b w:val="0"/>
                <w:sz w:val="20"/>
                <w:szCs w:val="20"/>
              </w:rPr>
            </w:pPr>
            <w:r>
              <w:rPr>
                <w:rFonts w:asciiTheme="minorHAnsi" w:hAnsiTheme="minorHAnsi" w:cstheme="minorHAnsi"/>
                <w:b w:val="0"/>
                <w:sz w:val="20"/>
                <w:szCs w:val="20"/>
              </w:rPr>
              <w:t>Rozwój elektronicznych usług publicznych w Hrubieszowskim Obszarze Funkcjonalnym – Cyfrowy HOF</w:t>
            </w:r>
          </w:p>
        </w:tc>
        <w:tc>
          <w:tcPr>
            <w:tcW w:w="3402" w:type="dxa"/>
            <w:vAlign w:val="center"/>
          </w:tcPr>
          <w:p w:rsidR="00D534F3" w:rsidRPr="00B514A6" w:rsidRDefault="00D534F3" w:rsidP="00947F55">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514A6">
              <w:rPr>
                <w:sz w:val="20"/>
                <w:szCs w:val="20"/>
              </w:rPr>
              <w:t>Lider: Gmina Miejska Hrubieszów</w:t>
            </w:r>
          </w:p>
          <w:p w:rsidR="00D534F3" w:rsidRPr="007866C8" w:rsidRDefault="00D534F3" w:rsidP="00947F55">
            <w:pPr>
              <w:spacing w:before="0"/>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514A6">
              <w:rPr>
                <w:sz w:val="20"/>
                <w:szCs w:val="20"/>
              </w:rPr>
              <w:t>Partner: Gmina Hrubieszów</w:t>
            </w:r>
          </w:p>
        </w:tc>
        <w:tc>
          <w:tcPr>
            <w:tcW w:w="1050" w:type="dxa"/>
            <w:tcBorders>
              <w:right w:val="single" w:sz="8" w:space="0" w:color="C00000"/>
            </w:tcBorders>
            <w:vAlign w:val="center"/>
          </w:tcPr>
          <w:p w:rsidR="00D534F3" w:rsidRPr="005B64D4" w:rsidRDefault="00D534F3" w:rsidP="00947F55">
            <w:pPr>
              <w:spacing w:before="0"/>
              <w:ind w:firstLine="0"/>
              <w:jc w:val="center"/>
              <w:cnfStyle w:val="000000100000" w:firstRow="0" w:lastRow="0" w:firstColumn="0" w:lastColumn="0" w:oddVBand="0" w:evenVBand="0" w:oddHBand="1" w:evenHBand="0" w:firstRowFirstColumn="0" w:firstRowLastColumn="0" w:lastRowFirstColumn="0" w:lastRowLastColumn="0"/>
              <w:rPr>
                <w:sz w:val="20"/>
              </w:rPr>
            </w:pPr>
            <w:r w:rsidRPr="005B64D4">
              <w:rPr>
                <w:sz w:val="20"/>
              </w:rPr>
              <w:t>EFRR</w:t>
            </w:r>
          </w:p>
        </w:tc>
        <w:tc>
          <w:tcPr>
            <w:tcW w:w="2268" w:type="dxa"/>
            <w:tcBorders>
              <w:left w:val="single" w:sz="8" w:space="0" w:color="C00000"/>
            </w:tcBorders>
            <w:vAlign w:val="center"/>
          </w:tcPr>
          <w:p w:rsidR="00D534F3" w:rsidRPr="00CC3682" w:rsidRDefault="000A1324" w:rsidP="00651651">
            <w:pPr>
              <w:spacing w:before="0"/>
              <w:ind w:firstLine="0"/>
              <w:jc w:val="right"/>
              <w:cnfStyle w:val="000000100000" w:firstRow="0" w:lastRow="0" w:firstColumn="0" w:lastColumn="0" w:oddVBand="0" w:evenVBand="0" w:oddHBand="1" w:evenHBand="0" w:firstRowFirstColumn="0" w:firstRowLastColumn="0" w:lastRowFirstColumn="0" w:lastRowLastColumn="0"/>
            </w:pPr>
            <w:r w:rsidRPr="00AC0836">
              <w:rPr>
                <w:sz w:val="20"/>
              </w:rPr>
              <w:t>2 006 66</w:t>
            </w:r>
            <w:r w:rsidR="00651651">
              <w:rPr>
                <w:sz w:val="20"/>
              </w:rPr>
              <w:t>4</w:t>
            </w:r>
            <w:r w:rsidRPr="00AC0836">
              <w:rPr>
                <w:sz w:val="20"/>
              </w:rPr>
              <w:t>,</w:t>
            </w:r>
            <w:r w:rsidR="00651651">
              <w:rPr>
                <w:sz w:val="20"/>
              </w:rPr>
              <w:t>02</w:t>
            </w:r>
          </w:p>
        </w:tc>
      </w:tr>
      <w:tr w:rsidR="00947F55" w:rsidTr="00947F5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90" w:type="dxa"/>
            <w:gridSpan w:val="3"/>
            <w:tcBorders>
              <w:right w:val="single" w:sz="8" w:space="0" w:color="C00000"/>
            </w:tcBorders>
          </w:tcPr>
          <w:p w:rsidR="00947F55" w:rsidRPr="00CC3682" w:rsidRDefault="00947F55" w:rsidP="00947F55">
            <w:pPr>
              <w:ind w:firstLine="0"/>
              <w:rPr>
                <w:rFonts w:ascii="Calibri" w:hAnsi="Calibri" w:cs="Calibri"/>
                <w:b w:val="0"/>
                <w:color w:val="000000"/>
              </w:rPr>
            </w:pPr>
            <w:r w:rsidRPr="007866C8">
              <w:rPr>
                <w:sz w:val="20"/>
                <w:szCs w:val="20"/>
              </w:rPr>
              <w:t>Razem</w:t>
            </w:r>
          </w:p>
        </w:tc>
        <w:tc>
          <w:tcPr>
            <w:tcW w:w="2268" w:type="dxa"/>
            <w:tcBorders>
              <w:left w:val="single" w:sz="8" w:space="0" w:color="C00000"/>
            </w:tcBorders>
          </w:tcPr>
          <w:p w:rsidR="00947F55" w:rsidRPr="000A1324" w:rsidRDefault="00651651" w:rsidP="00651651">
            <w:pPr>
              <w:jc w:val="right"/>
              <w:cnfStyle w:val="000000010000" w:firstRow="0" w:lastRow="0" w:firstColumn="0" w:lastColumn="0" w:oddVBand="0" w:evenVBand="0" w:oddHBand="0" w:evenHBand="1" w:firstRowFirstColumn="0" w:firstRowLastColumn="0" w:lastRowFirstColumn="0" w:lastRowLastColumn="0"/>
              <w:rPr>
                <w:rFonts w:ascii="Calibri" w:hAnsi="Calibri" w:cs="Calibri"/>
                <w:b/>
                <w:color w:val="000000"/>
              </w:rPr>
            </w:pPr>
            <w:r>
              <w:rPr>
                <w:b/>
                <w:sz w:val="20"/>
              </w:rPr>
              <w:t>2 006 664</w:t>
            </w:r>
            <w:r w:rsidR="000A1324" w:rsidRPr="000A1324">
              <w:rPr>
                <w:b/>
                <w:sz w:val="20"/>
              </w:rPr>
              <w:t>,</w:t>
            </w:r>
            <w:r>
              <w:rPr>
                <w:b/>
                <w:sz w:val="20"/>
              </w:rPr>
              <w:t>02</w:t>
            </w:r>
          </w:p>
        </w:tc>
      </w:tr>
    </w:tbl>
    <w:p w:rsidR="00D534F3" w:rsidRPr="00D534F3" w:rsidRDefault="000A6336" w:rsidP="00D534F3">
      <w:pPr>
        <w:sectPr w:rsidR="00D534F3" w:rsidRPr="00D534F3" w:rsidSect="004364AE">
          <w:pgSz w:w="16838" w:h="11906" w:orient="landscape"/>
          <w:pgMar w:top="1417" w:right="1417" w:bottom="1417" w:left="1417" w:header="708" w:footer="708" w:gutter="0"/>
          <w:cols w:space="708"/>
          <w:docGrid w:linePitch="360"/>
        </w:sectPr>
      </w:pPr>
      <w:r w:rsidRPr="00061671">
        <w:t>Żaden z projektów i przedsięwzięć inwestycyjnych wpisujący się w cele operacyjne ZIT nie został ujęty w innej strategii terytorialnej.</w:t>
      </w:r>
      <w:r>
        <w:t xml:space="preserve"> </w:t>
      </w:r>
    </w:p>
    <w:p w:rsidR="00BE0522" w:rsidRPr="00E320BC" w:rsidRDefault="00BE0522" w:rsidP="00BE0522">
      <w:pPr>
        <w:pStyle w:val="Nagwek11"/>
      </w:pPr>
      <w:bookmarkStart w:id="53" w:name="_Toc138068782"/>
      <w:r w:rsidRPr="00E320BC">
        <w:lastRenderedPageBreak/>
        <w:t>Wymiar przestrzenny polityki rozwoju Hrubieszowskiego Obszaru Funkcjonalnego</w:t>
      </w:r>
      <w:bookmarkEnd w:id="53"/>
    </w:p>
    <w:p w:rsidR="00E320BC" w:rsidRPr="00E320BC" w:rsidRDefault="00E320BC" w:rsidP="00A13FA7">
      <w:pPr>
        <w:keepNext/>
        <w:keepLines/>
        <w:numPr>
          <w:ilvl w:val="1"/>
          <w:numId w:val="80"/>
        </w:numPr>
        <w:spacing w:before="200" w:after="0"/>
        <w:outlineLvl w:val="1"/>
        <w:rPr>
          <w:rFonts w:ascii="Candara" w:eastAsia="Times New Roman" w:hAnsi="Candara" w:cs="Times New Roman"/>
          <w:b/>
          <w:bCs/>
          <w:color w:val="31B6FD"/>
          <w:sz w:val="26"/>
          <w:szCs w:val="26"/>
        </w:rPr>
      </w:pPr>
      <w:bookmarkStart w:id="54" w:name="_Toc138068783"/>
      <w:r w:rsidRPr="00E320BC">
        <w:rPr>
          <w:rFonts w:ascii="Candara" w:eastAsia="Times New Roman" w:hAnsi="Candara" w:cs="Times New Roman"/>
          <w:b/>
          <w:bCs/>
          <w:color w:val="31B6FD"/>
          <w:sz w:val="26"/>
          <w:szCs w:val="26"/>
        </w:rPr>
        <w:t>Model struktury funkcjonalno-przestrzennej oraz ustalenia i rekomendacje w zakresie kształtowania i prowadzenia polityki przestrzennej w Hrubieszowskim Obszarze Funkcjonalnym</w:t>
      </w:r>
      <w:bookmarkEnd w:id="54"/>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Proponowany model struktury funkcjonalno-przestrzennej HOF wynika w dużej mierze z uwarunkowań przestrzennych rozwoju HOF, a także z wniosków i ustaleń z przeprowadzonej szczegółowej diagnozy rozwoju HOF w wymiarze społecznym, gospodarczym oraz środowiskowym. Bierze on również pod uwagę aktualne potrzeby i aspiracje rozwojowe władz i mieszkańców. Model wpisuje się w politykę przestrzenną gmin HOF, prowadzoną głównie w oparciu o obowiązujące zapisy obu </w:t>
      </w:r>
      <w:r w:rsidR="00FD2955">
        <w:rPr>
          <w:rFonts w:ascii="Calibri" w:eastAsia="Candara" w:hAnsi="Calibri" w:cs="Times New Roman"/>
        </w:rPr>
        <w:t xml:space="preserve">dokumentów </w:t>
      </w:r>
      <w:r w:rsidRPr="00E320BC">
        <w:rPr>
          <w:rFonts w:ascii="Calibri" w:eastAsia="Candara" w:hAnsi="Calibri" w:cs="Times New Roman"/>
        </w:rPr>
        <w:t>Studium Uwarunkowań i Kierunków Zagospodarowania Przestrzennego Gminy (</w:t>
      </w:r>
      <w:proofErr w:type="spellStart"/>
      <w:r w:rsidRPr="00E320BC">
        <w:rPr>
          <w:rFonts w:ascii="Calibri" w:eastAsia="Candara" w:hAnsi="Calibri" w:cs="Times New Roman"/>
        </w:rPr>
        <w:t>SUiKZP</w:t>
      </w:r>
      <w:proofErr w:type="spellEnd"/>
      <w:r w:rsidRPr="00E320BC">
        <w:rPr>
          <w:rFonts w:ascii="Calibri" w:eastAsia="Candara" w:hAnsi="Calibri" w:cs="Times New Roman"/>
        </w:rPr>
        <w:t xml:space="preserve">) oraz Miejscowych Planów Zagospodarowania Przestrzennego Gminy (MPZP). Propozycje zawarte w modelu mogą być dobrą podstawą do dalszych prac nad aktualizacją obowiązujących </w:t>
      </w:r>
      <w:proofErr w:type="spellStart"/>
      <w:r w:rsidRPr="00E320BC">
        <w:rPr>
          <w:rFonts w:ascii="Calibri" w:eastAsia="Candara" w:hAnsi="Calibri" w:cs="Times New Roman"/>
        </w:rPr>
        <w:t>SUiKZP</w:t>
      </w:r>
      <w:proofErr w:type="spellEnd"/>
      <w:r w:rsidRPr="00E320BC">
        <w:rPr>
          <w:rFonts w:ascii="Calibri" w:eastAsia="Candara" w:hAnsi="Calibri" w:cs="Times New Roman"/>
        </w:rPr>
        <w:t xml:space="preserve"> lub opracowania Planu Ogólnego (zgodnie z planowaną reformą zagospodarowania </w:t>
      </w:r>
      <w:r w:rsidR="009814AD" w:rsidRPr="00E320BC">
        <w:rPr>
          <w:rFonts w:ascii="Calibri" w:eastAsia="Candara" w:hAnsi="Calibri" w:cs="Times New Roman"/>
        </w:rPr>
        <w:t>przestrzennego</w:t>
      </w:r>
      <w:r w:rsidRPr="00E320BC">
        <w:rPr>
          <w:rFonts w:ascii="Calibri" w:eastAsia="Candara" w:hAnsi="Calibri" w:cs="Times New Roman"/>
        </w:rPr>
        <w:t>).</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 xml:space="preserve">Główne uwarunkowania rozwoju przestrzennego </w:t>
      </w:r>
      <w:r w:rsidR="009814AD" w:rsidRPr="00E320BC">
        <w:rPr>
          <w:rFonts w:ascii="Calibri" w:eastAsia="Candara" w:hAnsi="Calibri" w:cs="Times New Roman"/>
          <w:b/>
          <w:bCs/>
          <w:i/>
          <w:iCs/>
          <w:color w:val="31B6FD"/>
        </w:rPr>
        <w:t>HOF</w:t>
      </w:r>
    </w:p>
    <w:p w:rsidR="00E320BC" w:rsidRPr="00E320BC" w:rsidRDefault="00D457BA" w:rsidP="00E320BC">
      <w:pPr>
        <w:spacing w:after="0"/>
        <w:ind w:firstLine="357"/>
        <w:rPr>
          <w:rFonts w:ascii="Calibri" w:eastAsia="Candara" w:hAnsi="Calibri" w:cs="Times New Roman"/>
        </w:rPr>
      </w:pPr>
      <w:r>
        <w:rPr>
          <w:rFonts w:ascii="Calibri" w:eastAsia="Candara" w:hAnsi="Calibri" w:cs="Times New Roman"/>
        </w:rPr>
        <w:t xml:space="preserve">Model o charakterze funkcjonalnym oparty został na sześciu podwalinach budujących jego szkielet. </w:t>
      </w:r>
      <w:r w:rsidR="00E320BC" w:rsidRPr="00E320BC">
        <w:rPr>
          <w:rFonts w:ascii="Calibri" w:eastAsia="Candara" w:hAnsi="Calibri" w:cs="Times New Roman"/>
        </w:rPr>
        <w:t>Opracowując model struktury funkcjonalno-przestrzennej HOF wzięto pod uwagę następujące uwarunkowania (czynniki) rozwoju HOF:</w:t>
      </w:r>
    </w:p>
    <w:p w:rsidR="00E320BC" w:rsidRPr="00E320BC" w:rsidRDefault="00E320BC" w:rsidP="00A13FA7">
      <w:pPr>
        <w:numPr>
          <w:ilvl w:val="0"/>
          <w:numId w:val="14"/>
        </w:numPr>
        <w:spacing w:after="0"/>
        <w:ind w:left="709"/>
        <w:contextualSpacing/>
        <w:rPr>
          <w:rFonts w:ascii="Calibri" w:eastAsia="Candara" w:hAnsi="Calibri" w:cs="Times New Roman"/>
        </w:rPr>
      </w:pPr>
      <w:r w:rsidRPr="00E320BC">
        <w:rPr>
          <w:rFonts w:ascii="Calibri" w:eastAsia="Candara" w:hAnsi="Calibri" w:cs="Times New Roman"/>
        </w:rPr>
        <w:t xml:space="preserve">Rola i znaczenie gmin HOF w aktualnie obowiązującej Strategii Rozwoju Województwa Lubelskiego, w tym przynależność do Hrubieszowskiego Obszaru Funkcjonalnego (HOF) oraz Obszaru Strategicznej Interwencji (OSI) </w:t>
      </w:r>
      <w:r w:rsidR="009814AD" w:rsidRPr="00E320BC">
        <w:rPr>
          <w:rFonts w:ascii="Calibri" w:eastAsia="Candara" w:hAnsi="Calibri" w:cs="Times New Roman"/>
        </w:rPr>
        <w:t>z</w:t>
      </w:r>
      <w:r w:rsidR="00604022">
        <w:rPr>
          <w:rFonts w:ascii="Calibri" w:eastAsia="Candara" w:hAnsi="Calibri" w:cs="Times New Roman"/>
        </w:rPr>
        <w:t>wiązanego</w:t>
      </w:r>
      <w:r w:rsidR="009814AD" w:rsidRPr="00E320BC">
        <w:rPr>
          <w:rFonts w:ascii="Calibri" w:eastAsia="Candara" w:hAnsi="Calibri" w:cs="Times New Roman"/>
        </w:rPr>
        <w:t xml:space="preserve"> z rozwojem branży rolno-spożywczej</w:t>
      </w:r>
      <w:r w:rsidR="00604022">
        <w:rPr>
          <w:rFonts w:ascii="Calibri" w:eastAsia="Candara" w:hAnsi="Calibri" w:cs="Times New Roman"/>
        </w:rPr>
        <w:t xml:space="preserve">, koncentracją terenów cennych przyrodniczo, istniejącymi powiązaniami funkcjonalnymi w układzie transgranicznym oraz walorami krajoznawczymi predestynującymi obszar do rozwoju aktywnych form </w:t>
      </w:r>
      <w:proofErr w:type="gramStart"/>
      <w:r w:rsidR="00604022">
        <w:rPr>
          <w:rFonts w:ascii="Calibri" w:eastAsia="Candara" w:hAnsi="Calibri" w:cs="Times New Roman"/>
        </w:rPr>
        <w:t>wypoczynku</w:t>
      </w:r>
      <w:r w:rsidR="009814AD" w:rsidRPr="00E320BC">
        <w:rPr>
          <w:rFonts w:ascii="Calibri" w:eastAsia="Candara" w:hAnsi="Calibri" w:cs="Times New Roman"/>
        </w:rPr>
        <w:t xml:space="preserve">  </w:t>
      </w:r>
      <w:r w:rsidRPr="00E320BC">
        <w:rPr>
          <w:rFonts w:ascii="Calibri" w:eastAsia="Candara" w:hAnsi="Calibri" w:cs="Times New Roman"/>
        </w:rPr>
        <w:t>(OSI</w:t>
      </w:r>
      <w:proofErr w:type="gramEnd"/>
      <w:r w:rsidRPr="00E320BC">
        <w:rPr>
          <w:rFonts w:ascii="Calibri" w:eastAsia="Candara" w:hAnsi="Calibri" w:cs="Times New Roman"/>
        </w:rPr>
        <w:t xml:space="preserve"> Żywicielski). </w:t>
      </w:r>
    </w:p>
    <w:p w:rsidR="00E320BC" w:rsidRPr="00E320BC" w:rsidRDefault="00E320BC" w:rsidP="00A13FA7">
      <w:pPr>
        <w:numPr>
          <w:ilvl w:val="0"/>
          <w:numId w:val="14"/>
        </w:numPr>
        <w:spacing w:after="0"/>
        <w:ind w:left="709"/>
        <w:contextualSpacing/>
        <w:rPr>
          <w:rFonts w:ascii="Calibri" w:eastAsia="Candara" w:hAnsi="Calibri" w:cs="Times New Roman"/>
        </w:rPr>
      </w:pPr>
      <w:r w:rsidRPr="00E320BC">
        <w:rPr>
          <w:rFonts w:ascii="Calibri" w:eastAsia="Candara" w:hAnsi="Calibri" w:cs="Times New Roman"/>
        </w:rPr>
        <w:t xml:space="preserve">Kierunki zagospodarowania przestrzennego HOF wynikające z obowiązujących dokumentów planistycznych obu gmin, w tym aktualnie obowiązujące </w:t>
      </w:r>
      <w:r w:rsidR="00FD2955">
        <w:rPr>
          <w:rFonts w:ascii="Calibri" w:eastAsia="Candara" w:hAnsi="Calibri" w:cs="Times New Roman"/>
        </w:rPr>
        <w:t xml:space="preserve">dokumenty </w:t>
      </w:r>
      <w:r w:rsidRPr="00E320BC">
        <w:rPr>
          <w:rFonts w:ascii="Calibri" w:eastAsia="Candara" w:hAnsi="Calibri" w:cs="Times New Roman"/>
        </w:rPr>
        <w:t>Studium Uwarunkowań i Zagospodarowania Przestrzennego Gminy (</w:t>
      </w:r>
      <w:proofErr w:type="spellStart"/>
      <w:r w:rsidRPr="00E320BC">
        <w:rPr>
          <w:rFonts w:ascii="Calibri" w:eastAsia="Candara" w:hAnsi="Calibri" w:cs="Times New Roman"/>
        </w:rPr>
        <w:t>SUiKZP</w:t>
      </w:r>
      <w:proofErr w:type="spellEnd"/>
      <w:r w:rsidRPr="00E320BC">
        <w:rPr>
          <w:rFonts w:ascii="Calibri" w:eastAsia="Candara" w:hAnsi="Calibri" w:cs="Times New Roman"/>
        </w:rPr>
        <w:t xml:space="preserve">) oraz Miejscowe Plany Zagospodarowania Przestrzennego (MPZP). </w:t>
      </w:r>
    </w:p>
    <w:p w:rsidR="00E320BC" w:rsidRPr="00E320BC" w:rsidRDefault="00E320BC" w:rsidP="00A13FA7">
      <w:pPr>
        <w:numPr>
          <w:ilvl w:val="0"/>
          <w:numId w:val="14"/>
        </w:numPr>
        <w:spacing w:after="0"/>
        <w:ind w:left="709"/>
        <w:contextualSpacing/>
        <w:rPr>
          <w:rFonts w:ascii="Calibri" w:eastAsia="Candara" w:hAnsi="Calibri" w:cs="Times New Roman"/>
        </w:rPr>
      </w:pPr>
      <w:r w:rsidRPr="00E320BC">
        <w:rPr>
          <w:rFonts w:ascii="Calibri" w:eastAsia="Candara" w:hAnsi="Calibri" w:cs="Times New Roman"/>
        </w:rPr>
        <w:t xml:space="preserve">Środowisko przyrodnicze i kulturowe HOF oraz formy jego ochrony. </w:t>
      </w:r>
    </w:p>
    <w:p w:rsidR="00E320BC" w:rsidRPr="00E320BC" w:rsidRDefault="00E320BC" w:rsidP="00A13FA7">
      <w:pPr>
        <w:numPr>
          <w:ilvl w:val="0"/>
          <w:numId w:val="14"/>
        </w:numPr>
        <w:spacing w:after="0"/>
        <w:ind w:left="709"/>
        <w:contextualSpacing/>
        <w:rPr>
          <w:rFonts w:ascii="Calibri" w:eastAsia="Candara" w:hAnsi="Calibri" w:cs="Times New Roman"/>
        </w:rPr>
      </w:pPr>
      <w:r w:rsidRPr="00E320BC">
        <w:rPr>
          <w:rFonts w:ascii="Calibri" w:eastAsia="Candara" w:hAnsi="Calibri" w:cs="Times New Roman"/>
        </w:rPr>
        <w:t xml:space="preserve">Demografia oraz istniejący układ osadniczy w HOF. </w:t>
      </w:r>
    </w:p>
    <w:p w:rsidR="00E320BC" w:rsidRPr="00E320BC" w:rsidRDefault="00E320BC" w:rsidP="00A13FA7">
      <w:pPr>
        <w:numPr>
          <w:ilvl w:val="0"/>
          <w:numId w:val="14"/>
        </w:numPr>
        <w:spacing w:after="0"/>
        <w:ind w:left="709"/>
        <w:contextualSpacing/>
        <w:rPr>
          <w:rFonts w:ascii="Calibri" w:eastAsia="Candara" w:hAnsi="Calibri" w:cs="Times New Roman"/>
        </w:rPr>
      </w:pPr>
      <w:r w:rsidRPr="00E320BC">
        <w:rPr>
          <w:rFonts w:ascii="Calibri" w:eastAsia="Candara" w:hAnsi="Calibri" w:cs="Times New Roman"/>
        </w:rPr>
        <w:t>Stan wyposażenia HOF w podstawową infrastrukturę techniczną (komunikacja, gospodarka wodno-ściekowa, turystyka, gospodarka odpadami, energetyka, telekomunikacja).</w:t>
      </w:r>
    </w:p>
    <w:p w:rsidR="00E95883" w:rsidRDefault="00E320BC" w:rsidP="00A13FA7">
      <w:pPr>
        <w:numPr>
          <w:ilvl w:val="0"/>
          <w:numId w:val="14"/>
        </w:numPr>
        <w:spacing w:after="0"/>
        <w:ind w:left="709"/>
        <w:contextualSpacing/>
        <w:rPr>
          <w:rFonts w:ascii="Calibri" w:eastAsia="Candara" w:hAnsi="Calibri" w:cs="Times New Roman"/>
        </w:rPr>
      </w:pPr>
      <w:r w:rsidRPr="00E320BC">
        <w:rPr>
          <w:rFonts w:ascii="Calibri" w:eastAsia="Candara" w:hAnsi="Calibri" w:cs="Times New Roman"/>
        </w:rPr>
        <w:t>Potrzeby mieszkańców oraz przedsiębiorców w zakresie realizowanej polityki przestrzennego zagospodarowania HOF.</w:t>
      </w:r>
    </w:p>
    <w:p w:rsidR="004A0A38" w:rsidRDefault="004A0A38" w:rsidP="004A0A38">
      <w:pPr>
        <w:spacing w:after="0"/>
        <w:ind w:firstLine="357"/>
        <w:rPr>
          <w:rFonts w:ascii="Calibri" w:eastAsia="Candara" w:hAnsi="Calibri" w:cs="Times New Roman"/>
        </w:rPr>
      </w:pPr>
      <w:r>
        <w:rPr>
          <w:rFonts w:ascii="Calibri" w:eastAsia="Candara" w:hAnsi="Calibri" w:cs="Times New Roman"/>
        </w:rPr>
        <w:t>Wszystkie te element</w:t>
      </w:r>
      <w:r w:rsidR="00BE0522">
        <w:rPr>
          <w:rFonts w:ascii="Calibri" w:eastAsia="Candara" w:hAnsi="Calibri" w:cs="Times New Roman"/>
        </w:rPr>
        <w:t>y</w:t>
      </w:r>
      <w:r>
        <w:rPr>
          <w:rFonts w:ascii="Calibri" w:eastAsia="Candara" w:hAnsi="Calibri" w:cs="Times New Roman"/>
        </w:rPr>
        <w:t xml:space="preserve"> tworzą</w:t>
      </w:r>
      <w:r>
        <w:t xml:space="preserve"> uzupełniający się wzajemnie „organizm”. </w:t>
      </w:r>
    </w:p>
    <w:p w:rsidR="00D2505E" w:rsidRDefault="00D2505E" w:rsidP="00D2505E">
      <w:pPr>
        <w:pStyle w:val="Legenda"/>
        <w:keepNext/>
      </w:pPr>
      <w:bookmarkStart w:id="55" w:name="_Toc138068501"/>
      <w:r>
        <w:lastRenderedPageBreak/>
        <w:t xml:space="preserve">Ryc. </w:t>
      </w:r>
      <w:r w:rsidR="00E20FF4">
        <w:fldChar w:fldCharType="begin"/>
      </w:r>
      <w:r w:rsidR="00E20FF4">
        <w:instrText xml:space="preserve"> SEQ Ryc. \* ARABIC </w:instrText>
      </w:r>
      <w:r w:rsidR="00E20FF4">
        <w:fldChar w:fldCharType="separate"/>
      </w:r>
      <w:r w:rsidR="0022657A">
        <w:rPr>
          <w:noProof/>
        </w:rPr>
        <w:t>5</w:t>
      </w:r>
      <w:r w:rsidR="00E20FF4">
        <w:rPr>
          <w:noProof/>
        </w:rPr>
        <w:fldChar w:fldCharType="end"/>
      </w:r>
      <w:r>
        <w:t>. Uwarunkowania rozwoju wpływające na model funkcjonalno-przestrzenny HOF</w:t>
      </w:r>
      <w:bookmarkEnd w:id="55"/>
    </w:p>
    <w:p w:rsidR="00D457BA" w:rsidRDefault="006205FD" w:rsidP="00D2505E">
      <w:pPr>
        <w:spacing w:after="0"/>
        <w:ind w:firstLine="0"/>
        <w:contextualSpacing/>
        <w:rPr>
          <w:rFonts w:ascii="Calibri" w:eastAsia="Candara" w:hAnsi="Calibri" w:cs="Times New Roman"/>
        </w:rPr>
      </w:pPr>
      <w:r>
        <w:rPr>
          <w:rFonts w:ascii="Calibri" w:eastAsia="Candara" w:hAnsi="Calibri" w:cs="Times New Roman"/>
          <w:noProof/>
          <w:lang w:eastAsia="pl-PL"/>
        </w:rPr>
        <w:drawing>
          <wp:inline distT="0" distB="0" distL="0" distR="0" wp14:anchorId="480C07EC" wp14:editId="1098D53C">
            <wp:extent cx="6203950" cy="3663950"/>
            <wp:effectExtent l="0" t="95250" r="0" b="127000"/>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D2505E" w:rsidRDefault="00D2505E" w:rsidP="00D457BA">
      <w:pPr>
        <w:spacing w:after="0"/>
        <w:ind w:left="709" w:firstLine="0"/>
        <w:contextualSpacing/>
        <w:rPr>
          <w:i/>
          <w:sz w:val="18"/>
          <w:szCs w:val="18"/>
        </w:rPr>
      </w:pPr>
      <w:r w:rsidRPr="00D2505E">
        <w:rPr>
          <w:rFonts w:ascii="Calibri" w:eastAsia="Candara" w:hAnsi="Calibri" w:cs="Times New Roman"/>
          <w:i/>
          <w:noProof/>
          <w:sz w:val="18"/>
          <w:szCs w:val="18"/>
          <w:lang w:eastAsia="pl-PL"/>
        </w:rPr>
        <w:t>Źródło: Opracowanie własne</w:t>
      </w:r>
    </w:p>
    <w:p w:rsidR="00E320BC" w:rsidRPr="00E320BC" w:rsidRDefault="00E320BC" w:rsidP="00E320BC">
      <w:pPr>
        <w:pBdr>
          <w:bottom w:val="single" w:sz="4" w:space="4" w:color="31B6FD"/>
        </w:pBdr>
        <w:spacing w:before="200" w:after="280"/>
        <w:ind w:left="936" w:right="936" w:firstLine="357"/>
        <w:rPr>
          <w:rFonts w:ascii="Calibri" w:eastAsia="Candara" w:hAnsi="Calibri" w:cs="Times New Roman"/>
          <w:b/>
          <w:bCs/>
          <w:i/>
          <w:iCs/>
          <w:color w:val="31B6FD"/>
        </w:rPr>
      </w:pPr>
      <w:r w:rsidRPr="00E320BC">
        <w:rPr>
          <w:rFonts w:ascii="Calibri" w:eastAsia="Candara" w:hAnsi="Calibri" w:cs="Times New Roman"/>
          <w:b/>
          <w:bCs/>
          <w:i/>
          <w:iCs/>
          <w:color w:val="31B6FD"/>
        </w:rPr>
        <w:t>Model struktury funkcjonalno-przestrzennej HOF</w:t>
      </w:r>
    </w:p>
    <w:p w:rsidR="00E320BC" w:rsidRDefault="003A43AA" w:rsidP="00E320BC">
      <w:pPr>
        <w:spacing w:after="0"/>
        <w:ind w:firstLine="357"/>
        <w:rPr>
          <w:rFonts w:ascii="Calibri" w:eastAsia="Candara" w:hAnsi="Calibri" w:cs="Times New Roman"/>
        </w:rPr>
      </w:pPr>
      <w:r>
        <w:rPr>
          <w:rFonts w:ascii="Calibri" w:eastAsia="Candara" w:hAnsi="Calibri" w:cs="Times New Roman"/>
        </w:rPr>
        <w:t>Proponowany w niniejszym dokumencie model struktury funkcjonalno-przestrzennej HOF skupia się na dalszym, zrównoważonym rozwoju obszaru, jako:</w:t>
      </w:r>
    </w:p>
    <w:p w:rsidR="003A43AA" w:rsidRDefault="003A43AA" w:rsidP="00A13FA7">
      <w:pPr>
        <w:pStyle w:val="Akapitzlist"/>
        <w:numPr>
          <w:ilvl w:val="0"/>
          <w:numId w:val="24"/>
        </w:numPr>
        <w:ind w:left="709"/>
        <w:rPr>
          <w:rFonts w:eastAsia="Candara" w:cs="Times New Roman"/>
        </w:rPr>
      </w:pPr>
      <w:proofErr w:type="gramStart"/>
      <w:r>
        <w:rPr>
          <w:rFonts w:eastAsia="Candara" w:cs="Times New Roman"/>
        </w:rPr>
        <w:t>spójnej</w:t>
      </w:r>
      <w:proofErr w:type="gramEnd"/>
      <w:r>
        <w:rPr>
          <w:rFonts w:eastAsia="Candara" w:cs="Times New Roman"/>
        </w:rPr>
        <w:t xml:space="preserve"> przestrzeni</w:t>
      </w:r>
      <w:r w:rsidRPr="003A43AA">
        <w:rPr>
          <w:rFonts w:eastAsia="Candara" w:cs="Times New Roman"/>
        </w:rPr>
        <w:t xml:space="preserve"> o zintegrowanym zarządzaniu,</w:t>
      </w:r>
      <w:r>
        <w:rPr>
          <w:rFonts w:eastAsia="Candara" w:cs="Times New Roman"/>
        </w:rPr>
        <w:t xml:space="preserve"> gdzie Gmina Hrubieszów stanowi strefę zewnętrzną, pierścieniową, natomiast Gmina Miejska Hrubieszów – strefę centralną Hrubieszowskiego Obszaru Funkcjonalnego</w:t>
      </w:r>
      <w:r w:rsidR="002B2ECA">
        <w:rPr>
          <w:rFonts w:eastAsia="Candara" w:cs="Times New Roman"/>
        </w:rPr>
        <w:t>, a standardy usług publicznych wciąż wzrastają</w:t>
      </w:r>
      <w:r>
        <w:rPr>
          <w:rFonts w:eastAsia="Candara" w:cs="Times New Roman"/>
        </w:rPr>
        <w:t>;</w:t>
      </w:r>
    </w:p>
    <w:p w:rsidR="002B2ECA" w:rsidRDefault="002B2ECA" w:rsidP="00A13FA7">
      <w:pPr>
        <w:pStyle w:val="Akapitzlist"/>
        <w:numPr>
          <w:ilvl w:val="0"/>
          <w:numId w:val="24"/>
        </w:numPr>
        <w:ind w:left="709"/>
        <w:rPr>
          <w:rFonts w:eastAsia="Candara" w:cs="Times New Roman"/>
        </w:rPr>
      </w:pPr>
      <w:proofErr w:type="gramStart"/>
      <w:r>
        <w:rPr>
          <w:rFonts w:eastAsia="Candara" w:cs="Times New Roman"/>
        </w:rPr>
        <w:t>miejsca</w:t>
      </w:r>
      <w:proofErr w:type="gramEnd"/>
      <w:r>
        <w:rPr>
          <w:rFonts w:eastAsia="Candara" w:cs="Times New Roman"/>
        </w:rPr>
        <w:t xml:space="preserve"> atrakcyjnego i konkurencyjnego pod kątem</w:t>
      </w:r>
      <w:r w:rsidRPr="002B2ECA">
        <w:rPr>
          <w:rFonts w:eastAsia="Candara" w:cs="Times New Roman"/>
        </w:rPr>
        <w:t xml:space="preserve"> </w:t>
      </w:r>
      <w:r>
        <w:rPr>
          <w:rFonts w:eastAsia="Candara" w:cs="Times New Roman"/>
        </w:rPr>
        <w:t>przestrzeni</w:t>
      </w:r>
      <w:r w:rsidRPr="002B2ECA">
        <w:rPr>
          <w:rFonts w:eastAsia="Candara" w:cs="Times New Roman"/>
        </w:rPr>
        <w:t xml:space="preserve"> do pracy i zamieszkania</w:t>
      </w:r>
      <w:r>
        <w:rPr>
          <w:rFonts w:eastAsia="Candara" w:cs="Times New Roman"/>
        </w:rPr>
        <w:t>;</w:t>
      </w:r>
    </w:p>
    <w:p w:rsidR="00F9769A" w:rsidRDefault="00F9769A" w:rsidP="00A13FA7">
      <w:pPr>
        <w:pStyle w:val="Akapitzlist"/>
        <w:numPr>
          <w:ilvl w:val="0"/>
          <w:numId w:val="24"/>
        </w:numPr>
        <w:ind w:left="709"/>
        <w:rPr>
          <w:rFonts w:eastAsia="Candara" w:cs="Times New Roman"/>
        </w:rPr>
      </w:pPr>
      <w:proofErr w:type="gramStart"/>
      <w:r>
        <w:rPr>
          <w:rFonts w:eastAsia="Candara" w:cs="Times New Roman"/>
        </w:rPr>
        <w:t>angażującego</w:t>
      </w:r>
      <w:proofErr w:type="gramEnd"/>
      <w:r>
        <w:rPr>
          <w:rFonts w:eastAsia="Candara" w:cs="Times New Roman"/>
        </w:rPr>
        <w:t xml:space="preserve"> społeczność lokalną w budowanie Obszaru Funkcjonalnego (rozwój</w:t>
      </w:r>
      <w:r w:rsidR="00977206">
        <w:rPr>
          <w:rFonts w:eastAsia="Candara" w:cs="Times New Roman"/>
        </w:rPr>
        <w:t xml:space="preserve"> Centrum Aktywności Lokalnej, </w:t>
      </w:r>
      <w:r>
        <w:rPr>
          <w:rFonts w:eastAsia="Candara" w:cs="Times New Roman"/>
        </w:rPr>
        <w:t xml:space="preserve">Smart </w:t>
      </w:r>
      <w:proofErr w:type="spellStart"/>
      <w:r>
        <w:rPr>
          <w:rFonts w:eastAsia="Candara" w:cs="Times New Roman"/>
        </w:rPr>
        <w:t>Village</w:t>
      </w:r>
      <w:proofErr w:type="spellEnd"/>
      <w:r>
        <w:rPr>
          <w:rFonts w:eastAsia="Candara" w:cs="Times New Roman"/>
        </w:rPr>
        <w:t>, Smart City);</w:t>
      </w:r>
    </w:p>
    <w:p w:rsidR="003A43AA" w:rsidRDefault="003A43AA" w:rsidP="00A13FA7">
      <w:pPr>
        <w:pStyle w:val="Akapitzlist"/>
        <w:numPr>
          <w:ilvl w:val="0"/>
          <w:numId w:val="24"/>
        </w:numPr>
        <w:ind w:left="709"/>
        <w:rPr>
          <w:rFonts w:eastAsia="Candara" w:cs="Times New Roman"/>
        </w:rPr>
      </w:pPr>
      <w:proofErr w:type="gramStart"/>
      <w:r>
        <w:rPr>
          <w:rFonts w:eastAsia="Candara" w:cs="Times New Roman"/>
        </w:rPr>
        <w:t>gminy</w:t>
      </w:r>
      <w:proofErr w:type="gramEnd"/>
      <w:r>
        <w:rPr>
          <w:rFonts w:eastAsia="Candara" w:cs="Times New Roman"/>
        </w:rPr>
        <w:t xml:space="preserve"> wiejskiej o intensywnej funkcji rolniczej i miasta </w:t>
      </w:r>
      <w:r w:rsidR="00F9769A">
        <w:rPr>
          <w:rFonts w:eastAsia="Candara" w:cs="Times New Roman"/>
        </w:rPr>
        <w:t>stanowiącego ośrodek wielofunkcyjny</w:t>
      </w:r>
      <w:r w:rsidR="00F9769A">
        <w:rPr>
          <w:rStyle w:val="Odwoanieprzypisudolnego"/>
          <w:rFonts w:eastAsia="Candara" w:cs="Times New Roman"/>
        </w:rPr>
        <w:footnoteReference w:id="27"/>
      </w:r>
      <w:r w:rsidR="00F9769A">
        <w:rPr>
          <w:rFonts w:eastAsia="Candara" w:cs="Times New Roman"/>
        </w:rPr>
        <w:t xml:space="preserve"> z rozbudową zaplecza rolno-spożywczego;</w:t>
      </w:r>
    </w:p>
    <w:p w:rsidR="00F9769A" w:rsidRDefault="00F9769A" w:rsidP="00A13FA7">
      <w:pPr>
        <w:pStyle w:val="Akapitzlist"/>
        <w:numPr>
          <w:ilvl w:val="0"/>
          <w:numId w:val="24"/>
        </w:numPr>
        <w:ind w:left="709"/>
        <w:rPr>
          <w:rFonts w:eastAsia="Candara" w:cs="Times New Roman"/>
        </w:rPr>
      </w:pPr>
      <w:r>
        <w:rPr>
          <w:rFonts w:eastAsia="Candara" w:cs="Times New Roman"/>
        </w:rPr>
        <w:t>Obszaru Funkcjonalnego rozwijającego usługi wolnego czasu oraz funkcje turystyczne oparte na bogatym zasobie walorów przyrodniczych i kulturowych;</w:t>
      </w:r>
    </w:p>
    <w:p w:rsidR="00F9769A" w:rsidRPr="00716E17" w:rsidRDefault="002B2ECA" w:rsidP="00A13FA7">
      <w:pPr>
        <w:pStyle w:val="Akapitzlist"/>
        <w:numPr>
          <w:ilvl w:val="0"/>
          <w:numId w:val="24"/>
        </w:numPr>
        <w:ind w:left="709"/>
        <w:rPr>
          <w:rFonts w:cs="Times New Roman"/>
        </w:rPr>
      </w:pPr>
      <w:proofErr w:type="gramStart"/>
      <w:r w:rsidRPr="00716E17">
        <w:rPr>
          <w:rFonts w:eastAsia="Candara" w:cs="Times New Roman"/>
        </w:rPr>
        <w:t>r</w:t>
      </w:r>
      <w:r w:rsidR="00F9769A" w:rsidRPr="00716E17">
        <w:rPr>
          <w:rFonts w:eastAsia="Candara" w:cs="Times New Roman"/>
        </w:rPr>
        <w:t>ejonu</w:t>
      </w:r>
      <w:proofErr w:type="gramEnd"/>
      <w:r w:rsidR="00F9769A" w:rsidRPr="00716E17">
        <w:rPr>
          <w:rFonts w:eastAsia="Candara" w:cs="Times New Roman"/>
        </w:rPr>
        <w:t xml:space="preserve"> przygranicznego wykorzystującego </w:t>
      </w:r>
      <w:r w:rsidR="00F9769A" w:rsidRPr="00716E17">
        <w:rPr>
          <w:rFonts w:cs="Times New Roman"/>
        </w:rPr>
        <w:t xml:space="preserve">swoje położenie </w:t>
      </w:r>
      <w:r w:rsidR="00513C28" w:rsidRPr="00716E17">
        <w:rPr>
          <w:rFonts w:cs="Times New Roman"/>
        </w:rPr>
        <w:t xml:space="preserve">oraz zasób rozwiniętej infrastruktury przeładunkowej (przejście kolejowe LHS) </w:t>
      </w:r>
      <w:r w:rsidRPr="00716E17">
        <w:rPr>
          <w:rFonts w:cs="Times New Roman"/>
        </w:rPr>
        <w:t>do rozwoju funkcji związanych z </w:t>
      </w:r>
      <w:r w:rsidR="00F9769A" w:rsidRPr="00716E17">
        <w:rPr>
          <w:rFonts w:cs="Times New Roman"/>
        </w:rPr>
        <w:t>obsługą ruchu granicznego i przygranicznego;</w:t>
      </w:r>
    </w:p>
    <w:p w:rsidR="00513C28" w:rsidRPr="00716E17" w:rsidRDefault="00513C28" w:rsidP="00A13FA7">
      <w:pPr>
        <w:pStyle w:val="Akapitzlist"/>
        <w:numPr>
          <w:ilvl w:val="0"/>
          <w:numId w:val="24"/>
        </w:numPr>
        <w:ind w:left="709"/>
        <w:rPr>
          <w:rFonts w:cs="Times New Roman"/>
        </w:rPr>
      </w:pPr>
      <w:proofErr w:type="gramStart"/>
      <w:r w:rsidRPr="00716E17">
        <w:rPr>
          <w:rFonts w:eastAsia="Candara" w:cs="Times New Roman"/>
        </w:rPr>
        <w:lastRenderedPageBreak/>
        <w:t>jednostki</w:t>
      </w:r>
      <w:proofErr w:type="gramEnd"/>
      <w:r w:rsidRPr="00716E17">
        <w:rPr>
          <w:rFonts w:eastAsia="Candara" w:cs="Times New Roman"/>
        </w:rPr>
        <w:t>, która prowadzi działania w zakresie zapobiegania zmianom klimatu, w tym praktyk zmierzających do wzrostu dyspozycyjnych zasobów wodnych z przeznaczeniem dla retencji oraz pośredniej ochrony powodziowej.</w:t>
      </w:r>
    </w:p>
    <w:p w:rsidR="003C2FBB" w:rsidRDefault="002B2ECA" w:rsidP="003C2FBB">
      <w:pPr>
        <w:spacing w:after="0"/>
        <w:ind w:firstLine="357"/>
      </w:pPr>
      <w:r>
        <w:t xml:space="preserve">Model docelowy </w:t>
      </w:r>
      <w:r w:rsidRPr="00F53DA5">
        <w:rPr>
          <w:rFonts w:cs="Times New Roman"/>
        </w:rPr>
        <w:t>struktury funkcjonalno-przestrzennej</w:t>
      </w:r>
      <w:r>
        <w:t xml:space="preserve"> ma na celu przedstawienie pożądanego obrazu wynikowego zawierającego oczekiwane i zaplanowane procesy rozwojowe oraz </w:t>
      </w:r>
      <w:r w:rsidR="004A248B">
        <w:t xml:space="preserve">ich wpływ na kształtowanie struktur przestrzennych w Hrubieszowskim Obszarze Funkcjonalnym. </w:t>
      </w:r>
      <w:r w:rsidR="005B3290">
        <w:rPr>
          <w:rFonts w:cs="Times New Roman"/>
        </w:rPr>
        <w:t>Struktury te </w:t>
      </w:r>
      <w:r w:rsidR="004A248B">
        <w:rPr>
          <w:rFonts w:cs="Times New Roman"/>
        </w:rPr>
        <w:t>z </w:t>
      </w:r>
      <w:r w:rsidR="004A248B" w:rsidRPr="00F53DA5">
        <w:rPr>
          <w:rFonts w:cs="Times New Roman"/>
        </w:rPr>
        <w:t>jednej strony wynikają z istniejących uwarunkowań w zakre</w:t>
      </w:r>
      <w:r w:rsidR="004A248B">
        <w:rPr>
          <w:rFonts w:cs="Times New Roman"/>
        </w:rPr>
        <w:t>sie środowiska przyrodniczego i </w:t>
      </w:r>
      <w:r w:rsidR="004A248B" w:rsidRPr="00F53DA5">
        <w:rPr>
          <w:rFonts w:cs="Times New Roman"/>
        </w:rPr>
        <w:t xml:space="preserve">kulturowego, zaś z drugiej są rezultatem prowadzonej przez </w:t>
      </w:r>
      <w:r w:rsidR="004A248B">
        <w:rPr>
          <w:rFonts w:cs="Times New Roman"/>
        </w:rPr>
        <w:t>JST Hrubieszowskiego Obszaru Funkcjonalnego</w:t>
      </w:r>
      <w:r w:rsidR="004A248B" w:rsidRPr="00F53DA5">
        <w:rPr>
          <w:rFonts w:cs="Times New Roman"/>
        </w:rPr>
        <w:t xml:space="preserve"> polityki zagospodarowania przestrzennego w zakresie osadnictwa, rolnictwa, wyznaczania terenów pod działalność gospodarczą, zachowania obszarów otwartych czy też lokalizacji i budowy głównych elementów infrastruktury technicznej.</w:t>
      </w:r>
      <w:r w:rsidR="003C2FBB">
        <w:rPr>
          <w:rFonts w:cs="Times New Roman"/>
        </w:rPr>
        <w:t xml:space="preserve"> W modelu istotne jest branie pod uwagę relacji zachodzących w przestrzeni, ale również pomiędzy poszczególnymi obszarami społecznymi i gospodarczymi</w:t>
      </w:r>
      <w:r w:rsidR="001004E7">
        <w:rPr>
          <w:rFonts w:cs="Times New Roman"/>
        </w:rPr>
        <w:t xml:space="preserve">, ponieważ stanowią one źródło synergii generujące wartość dodaną rozwoju HOF. Dużym znaczeniem w całym procesie odznaczają się również powiązania międzyinstytucjonalne oraz współpraca instytucji administracji publicznej, organizacji pozarządowych oraz relacji z mieszkańcami HOF. Przekłada się to na efektywniejsze wykorzystanie zasobów materialnych i niematerialnych na rzecz rozwoju i sprostania potrzebom mieszkańców, </w:t>
      </w:r>
      <w:r w:rsidR="005B3290">
        <w:rPr>
          <w:rFonts w:cs="Times New Roman"/>
        </w:rPr>
        <w:t>a </w:t>
      </w:r>
      <w:r w:rsidR="001004E7">
        <w:rPr>
          <w:rFonts w:cs="Times New Roman"/>
        </w:rPr>
        <w:t>jednocześnie</w:t>
      </w:r>
      <w:r w:rsidR="002E7F97">
        <w:rPr>
          <w:rFonts w:cs="Times New Roman"/>
        </w:rPr>
        <w:t xml:space="preserve"> wpłynie na ograniczenie liczby</w:t>
      </w:r>
      <w:r w:rsidR="001004E7">
        <w:rPr>
          <w:rFonts w:cs="Times New Roman"/>
        </w:rPr>
        <w:t xml:space="preserve"> konfliktów przestrzennych</w:t>
      </w:r>
      <w:r w:rsidR="005B3290">
        <w:rPr>
          <w:rFonts w:cs="Times New Roman"/>
        </w:rPr>
        <w:t xml:space="preserve">, </w:t>
      </w:r>
      <w:r w:rsidR="005B3290">
        <w:t>a zintegrowane działania pozwolą na szybsze rozwiązanie zdiagnozowanych problemów oraz stworzą warunki do lepszego i trafniejszego adresowania działań prorozwojowych, umożliwiających zrównoważony rozwój.</w:t>
      </w:r>
    </w:p>
    <w:p w:rsidR="005B3290" w:rsidRDefault="00A93C73" w:rsidP="003C2FBB">
      <w:pPr>
        <w:spacing w:after="0"/>
        <w:ind w:firstLine="357"/>
        <w:rPr>
          <w:rFonts w:cs="Times New Roman"/>
        </w:rPr>
      </w:pPr>
      <w:r>
        <w:rPr>
          <w:rFonts w:cs="Times New Roman"/>
        </w:rPr>
        <w:t>W planowaniu układu przestrzennego HOF istotne jest podejmowanie racjonalnych działań w organizacji przestrzeni oraz</w:t>
      </w:r>
      <w:r w:rsidR="00104E15">
        <w:rPr>
          <w:rFonts w:cs="Times New Roman"/>
        </w:rPr>
        <w:t xml:space="preserve"> zachowanie ładu przestrzennego</w:t>
      </w:r>
      <w:r>
        <w:rPr>
          <w:rFonts w:cs="Times New Roman"/>
        </w:rPr>
        <w:t xml:space="preserve">, jak również eliminowanie lub ograniczanie konfliktów przestrzennych. </w:t>
      </w:r>
      <w:r w:rsidR="004A0A38">
        <w:rPr>
          <w:rFonts w:cs="Times New Roman"/>
        </w:rPr>
        <w:t>Głównymi celami modelu funkcjonalno-przestrzennego Hrubieszowskiego Obs</w:t>
      </w:r>
      <w:r w:rsidR="001632C8">
        <w:rPr>
          <w:rFonts w:cs="Times New Roman"/>
        </w:rPr>
        <w:t>z</w:t>
      </w:r>
      <w:r w:rsidR="004A0A38">
        <w:rPr>
          <w:rFonts w:cs="Times New Roman"/>
        </w:rPr>
        <w:t>aru Funkcjonalnego są:</w:t>
      </w:r>
    </w:p>
    <w:p w:rsidR="004A0A38" w:rsidRDefault="004A0A38" w:rsidP="00A13FA7">
      <w:pPr>
        <w:pStyle w:val="Akapitzlist"/>
        <w:numPr>
          <w:ilvl w:val="0"/>
          <w:numId w:val="26"/>
        </w:numPr>
        <w:ind w:left="567"/>
      </w:pPr>
      <w:proofErr w:type="gramStart"/>
      <w:r>
        <w:t>zapewnienie</w:t>
      </w:r>
      <w:proofErr w:type="gramEnd"/>
      <w:r>
        <w:t xml:space="preserve"> warunków do efektywnego działania podmiotów gospodarczych, głównie przez rozbudowę systemów infrastruktury technicznej i społecznej,</w:t>
      </w:r>
    </w:p>
    <w:p w:rsidR="001632C8" w:rsidRDefault="001632C8" w:rsidP="00A13FA7">
      <w:pPr>
        <w:pStyle w:val="Akapitzlist"/>
        <w:numPr>
          <w:ilvl w:val="0"/>
          <w:numId w:val="26"/>
        </w:numPr>
        <w:ind w:left="567"/>
      </w:pPr>
      <w:proofErr w:type="gramStart"/>
      <w:r>
        <w:t>utrzymanie</w:t>
      </w:r>
      <w:proofErr w:type="gramEnd"/>
      <w:r>
        <w:t xml:space="preserve"> prawidłowej struktury użytkowania terenów, kontrola wykorzystania przestrzeni pod kątem jej efektywności, przy zachowaniu racjonalnej eks</w:t>
      </w:r>
      <w:r w:rsidR="00A93C73">
        <w:t>ploatacji zasobów naturalnych i </w:t>
      </w:r>
      <w:r>
        <w:t>antropogenicznych oraz poszanowaniu walorów środowiska przyrodniczego i kulturowego,</w:t>
      </w:r>
    </w:p>
    <w:p w:rsidR="001632C8" w:rsidRDefault="001632C8" w:rsidP="00A13FA7">
      <w:pPr>
        <w:pStyle w:val="Akapitzlist"/>
        <w:numPr>
          <w:ilvl w:val="0"/>
          <w:numId w:val="26"/>
        </w:numPr>
        <w:ind w:left="567"/>
      </w:pPr>
      <w:proofErr w:type="gramStart"/>
      <w:r>
        <w:t>alokacja</w:t>
      </w:r>
      <w:proofErr w:type="gramEnd"/>
      <w:r>
        <w:t xml:space="preserve"> funkcji społeczno-gospodarczych i poszczególnyc</w:t>
      </w:r>
      <w:r w:rsidR="00A93C73">
        <w:t>h inwestycji z uwzględnieniem z </w:t>
      </w:r>
      <w:r>
        <w:t>jednej strony interesów podmiotów gospodarczych, a z drugiej – nadrzędnych interesów społecznych</w:t>
      </w:r>
      <w:r w:rsidR="00A93C73">
        <w:t>.</w:t>
      </w:r>
    </w:p>
    <w:p w:rsidR="00A93C73" w:rsidRDefault="00A93C73" w:rsidP="00A93C73">
      <w:pPr>
        <w:rPr>
          <w:rFonts w:cs="Times New Roman"/>
        </w:rPr>
      </w:pPr>
      <w:r>
        <w:t>Poniżej przedstawiono krótkie charakterystyki kluczowych elementów funkcjonalno-przestrzennych HOF</w:t>
      </w:r>
      <w:r w:rsidR="00FD2955">
        <w:t>,</w:t>
      </w:r>
      <w:r w:rsidRPr="00A93C73">
        <w:rPr>
          <w:rFonts w:cs="Times New Roman"/>
        </w:rPr>
        <w:t xml:space="preserve"> </w:t>
      </w:r>
      <w:r w:rsidRPr="00F53DA5">
        <w:rPr>
          <w:rFonts w:cs="Times New Roman"/>
        </w:rPr>
        <w:t>do jakich należy dążyć realizując cele i działania strategii.</w:t>
      </w:r>
      <w:r>
        <w:rPr>
          <w:rFonts w:cs="Times New Roman"/>
        </w:rPr>
        <w:t xml:space="preserve"> </w:t>
      </w:r>
      <w:r w:rsidRPr="00F53DA5">
        <w:rPr>
          <w:rFonts w:cs="Times New Roman"/>
        </w:rPr>
        <w:t xml:space="preserve">Pod uwagę wzięto uwarunkowania środowiskowe (przyroda, kultura); społeczne (osadnictwo </w:t>
      </w:r>
      <w:r>
        <w:rPr>
          <w:rFonts w:cs="Times New Roman"/>
        </w:rPr>
        <w:br/>
      </w:r>
      <w:r w:rsidRPr="00F53DA5">
        <w:rPr>
          <w:rFonts w:cs="Times New Roman"/>
        </w:rPr>
        <w:t>i demografia)</w:t>
      </w:r>
      <w:r>
        <w:rPr>
          <w:rFonts w:cs="Times New Roman"/>
        </w:rPr>
        <w:t>, infrastrukturalne (infrastruktura techniczna),</w:t>
      </w:r>
      <w:r w:rsidRPr="00F53DA5">
        <w:rPr>
          <w:rFonts w:cs="Times New Roman"/>
        </w:rPr>
        <w:t xml:space="preserve"> oraz gospodarcze (rolnictwo i tereny otwarte, turystyka, tereny pod działalność gospodarczą) oraz funkcjonalne (miejski obszar funkcjonalny).</w:t>
      </w:r>
    </w:p>
    <w:p w:rsidR="00A34C14" w:rsidRDefault="00A34C14" w:rsidP="00A93C73">
      <w:pPr>
        <w:rPr>
          <w:rFonts w:cs="Times New Roman"/>
        </w:rPr>
      </w:pPr>
    </w:p>
    <w:p w:rsidR="007F2303" w:rsidRDefault="007F2303" w:rsidP="00A93C73">
      <w:pPr>
        <w:rPr>
          <w:rFonts w:cs="Times New Roman"/>
        </w:rPr>
      </w:pPr>
    </w:p>
    <w:p w:rsidR="007F2303" w:rsidRDefault="007F2303" w:rsidP="00A93C73">
      <w:pPr>
        <w:rPr>
          <w:rFonts w:cs="Times New Roman"/>
        </w:rPr>
      </w:pPr>
    </w:p>
    <w:p w:rsidR="00A93C73" w:rsidRDefault="00A93C73" w:rsidP="00A93C73">
      <w:pPr>
        <w:rPr>
          <w:rFonts w:cs="Times New Roman"/>
          <w:b/>
          <w:color w:val="984806"/>
        </w:rPr>
      </w:pPr>
      <w:r w:rsidRPr="00163727">
        <w:rPr>
          <w:rFonts w:cs="Times New Roman"/>
          <w:b/>
          <w:color w:val="0292DF" w:themeColor="accent1" w:themeShade="BF"/>
        </w:rPr>
        <w:lastRenderedPageBreak/>
        <w:t xml:space="preserve">Środowisko </w:t>
      </w:r>
      <w:r w:rsidR="00604022" w:rsidRPr="00163727">
        <w:rPr>
          <w:rFonts w:cs="Times New Roman"/>
          <w:b/>
          <w:color w:val="0292DF" w:themeColor="accent1" w:themeShade="BF"/>
        </w:rPr>
        <w:t>przyrodnicze:</w:t>
      </w:r>
    </w:p>
    <w:p w:rsidR="00CC49BE" w:rsidRDefault="00CC49BE" w:rsidP="00CC49BE">
      <w:pPr>
        <w:pStyle w:val="Legenda"/>
        <w:keepNext/>
        <w:spacing w:after="0"/>
      </w:pPr>
      <w:bookmarkStart w:id="56" w:name="_Toc138068502"/>
      <w:r>
        <w:t xml:space="preserve">Ryc. </w:t>
      </w:r>
      <w:r w:rsidR="00E20FF4">
        <w:fldChar w:fldCharType="begin"/>
      </w:r>
      <w:r w:rsidR="00E20FF4">
        <w:instrText xml:space="preserve"> SEQ Ryc. \* ARABIC </w:instrText>
      </w:r>
      <w:r w:rsidR="00E20FF4">
        <w:fldChar w:fldCharType="separate"/>
      </w:r>
      <w:r w:rsidR="0022657A">
        <w:rPr>
          <w:noProof/>
        </w:rPr>
        <w:t>6</w:t>
      </w:r>
      <w:r w:rsidR="00E20FF4">
        <w:rPr>
          <w:noProof/>
        </w:rPr>
        <w:fldChar w:fldCharType="end"/>
      </w:r>
      <w:r>
        <w:t>. Uwarunkowania środowiska przyrodniczego w modelu funkcjonalno-przestrzennym Hrubieszowskiego Obszaru Funkcjonalnego</w:t>
      </w:r>
      <w:bookmarkEnd w:id="56"/>
    </w:p>
    <w:p w:rsidR="00A93C73" w:rsidRDefault="00A93C73" w:rsidP="00CC49BE">
      <w:pPr>
        <w:ind w:firstLine="0"/>
        <w:jc w:val="center"/>
        <w:rPr>
          <w:b/>
          <w:color w:val="984806"/>
        </w:rPr>
      </w:pPr>
      <w:r>
        <w:rPr>
          <w:b/>
          <w:noProof/>
          <w:color w:val="984806"/>
          <w:lang w:eastAsia="pl-PL"/>
        </w:rPr>
        <w:drawing>
          <wp:inline distT="0" distB="0" distL="0" distR="0" wp14:anchorId="523912DF" wp14:editId="7295D810">
            <wp:extent cx="5759450" cy="7619474"/>
            <wp:effectExtent l="0" t="0" r="0" b="635"/>
            <wp:docPr id="288" name="Obraz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2_HOF_przyroda_a4.jpg"/>
                    <pic:cNvPicPr/>
                  </pic:nvPicPr>
                  <pic:blipFill rotWithShape="1">
                    <a:blip r:embed="rId78" cstate="print">
                      <a:extLst>
                        <a:ext uri="{28A0092B-C50C-407E-A947-70E740481C1C}">
                          <a14:useLocalDpi xmlns:a14="http://schemas.microsoft.com/office/drawing/2010/main" val="0"/>
                        </a:ext>
                      </a:extLst>
                    </a:blip>
                    <a:srcRect t="6470"/>
                    <a:stretch/>
                  </pic:blipFill>
                  <pic:spPr bwMode="auto">
                    <a:xfrm>
                      <a:off x="0" y="0"/>
                      <a:ext cx="5760720" cy="7621154"/>
                    </a:xfrm>
                    <a:prstGeom prst="rect">
                      <a:avLst/>
                    </a:prstGeom>
                    <a:ln>
                      <a:noFill/>
                    </a:ln>
                    <a:extLst>
                      <a:ext uri="{53640926-AAD7-44D8-BBD7-CCE9431645EC}">
                        <a14:shadowObscured xmlns:a14="http://schemas.microsoft.com/office/drawing/2010/main"/>
                      </a:ext>
                    </a:extLst>
                  </pic:spPr>
                </pic:pic>
              </a:graphicData>
            </a:graphic>
          </wp:inline>
        </w:drawing>
      </w:r>
    </w:p>
    <w:p w:rsidR="00CC49BE" w:rsidRDefault="00CC49BE" w:rsidP="00CC49BE">
      <w:pPr>
        <w:rPr>
          <w:i/>
          <w:sz w:val="18"/>
          <w:szCs w:val="18"/>
        </w:rPr>
      </w:pPr>
      <w:r w:rsidRPr="00CC49BE">
        <w:rPr>
          <w:i/>
          <w:sz w:val="18"/>
          <w:szCs w:val="18"/>
        </w:rPr>
        <w:t>Źródło: Opracowanie własne</w:t>
      </w:r>
    </w:p>
    <w:p w:rsidR="00A34C14" w:rsidRDefault="00A34C14" w:rsidP="00A13FA7">
      <w:pPr>
        <w:pStyle w:val="Akapitzlist"/>
        <w:numPr>
          <w:ilvl w:val="0"/>
          <w:numId w:val="27"/>
        </w:numPr>
        <w:spacing w:before="0" w:after="200"/>
        <w:ind w:left="426"/>
        <w:rPr>
          <w:rFonts w:cs="Times New Roman"/>
        </w:rPr>
      </w:pPr>
      <w:r w:rsidRPr="00F53DA5">
        <w:rPr>
          <w:rFonts w:cs="Times New Roman"/>
        </w:rPr>
        <w:lastRenderedPageBreak/>
        <w:t>Obszary i obiekty podlegające ochronie prawnej o wysokich walorach</w:t>
      </w:r>
      <w:r w:rsidRPr="00F53DA5">
        <w:rPr>
          <w:rFonts w:cs="Times New Roman"/>
          <w:b/>
        </w:rPr>
        <w:t xml:space="preserve"> </w:t>
      </w:r>
      <w:r w:rsidRPr="00F53DA5">
        <w:rPr>
          <w:rFonts w:cs="Times New Roman"/>
        </w:rPr>
        <w:t xml:space="preserve">przyrodniczych. </w:t>
      </w:r>
      <w:r>
        <w:rPr>
          <w:rFonts w:cs="Times New Roman"/>
        </w:rPr>
        <w:t>W szczególności dotyczy to:</w:t>
      </w:r>
    </w:p>
    <w:p w:rsidR="00A34C14" w:rsidRDefault="00A34C14" w:rsidP="00A13FA7">
      <w:pPr>
        <w:pStyle w:val="Akapitzlist"/>
        <w:numPr>
          <w:ilvl w:val="1"/>
          <w:numId w:val="27"/>
        </w:numPr>
        <w:spacing w:before="0" w:after="200"/>
        <w:ind w:left="1134"/>
        <w:rPr>
          <w:rFonts w:cs="Times New Roman"/>
        </w:rPr>
      </w:pPr>
      <w:r w:rsidRPr="00F53DA5">
        <w:rPr>
          <w:rFonts w:cs="Times New Roman"/>
        </w:rPr>
        <w:t>Strzeleckiego Parku Krajobrazowy wraz z otuliną - położoneg</w:t>
      </w:r>
      <w:r>
        <w:rPr>
          <w:rFonts w:cs="Times New Roman"/>
        </w:rPr>
        <w:t>o w północnej części gminy;</w:t>
      </w:r>
    </w:p>
    <w:p w:rsidR="00A34C14" w:rsidRDefault="00A34C14" w:rsidP="00A13FA7">
      <w:pPr>
        <w:pStyle w:val="Akapitzlist"/>
        <w:numPr>
          <w:ilvl w:val="1"/>
          <w:numId w:val="27"/>
        </w:numPr>
        <w:spacing w:before="0" w:after="200"/>
        <w:ind w:left="1134"/>
        <w:rPr>
          <w:rFonts w:cs="Times New Roman"/>
        </w:rPr>
      </w:pPr>
      <w:r w:rsidRPr="00F53DA5">
        <w:rPr>
          <w:rFonts w:cs="Times New Roman"/>
        </w:rPr>
        <w:t xml:space="preserve">Nadbużańskiego Obszaru Chronionego Krajobrazu we wschodniej części gminy, obejmującego tereny bezpośrednio związane z Bugiem (jego doliną i terenami </w:t>
      </w:r>
      <w:r>
        <w:rPr>
          <w:rFonts w:cs="Times New Roman"/>
        </w:rPr>
        <w:br/>
        <w:t>przyległymi);</w:t>
      </w:r>
    </w:p>
    <w:p w:rsidR="00A34C14" w:rsidRPr="00601995" w:rsidRDefault="00A34C14" w:rsidP="00A13FA7">
      <w:pPr>
        <w:pStyle w:val="Akapitzlist"/>
        <w:numPr>
          <w:ilvl w:val="1"/>
          <w:numId w:val="27"/>
        </w:numPr>
        <w:spacing w:before="0" w:after="200"/>
        <w:ind w:left="1134"/>
      </w:pPr>
      <w:proofErr w:type="gramStart"/>
      <w:r w:rsidRPr="00CC49BE">
        <w:rPr>
          <w:rFonts w:cs="Times New Roman"/>
        </w:rPr>
        <w:t>istniejących</w:t>
      </w:r>
      <w:proofErr w:type="gramEnd"/>
      <w:r w:rsidRPr="00CC49BE">
        <w:rPr>
          <w:rFonts w:cs="Times New Roman"/>
        </w:rPr>
        <w:t xml:space="preserve"> i projektowanych węzłów i korytarzy ekologicznych (w tym korytarz ekologiczny Doli</w:t>
      </w:r>
      <w:r>
        <w:rPr>
          <w:rFonts w:cs="Times New Roman"/>
        </w:rPr>
        <w:t xml:space="preserve">na Środkowego Bugu GKW-4A, </w:t>
      </w:r>
      <w:r>
        <w:t>regionalny korytarz ekologiczny doliny Huczwy o szczególnych walorach przyrodniczych w krajobrazie miasta</w:t>
      </w:r>
      <w:r>
        <w:rPr>
          <w:rFonts w:cs="Times New Roman"/>
        </w:rPr>
        <w:t>);</w:t>
      </w:r>
    </w:p>
    <w:p w:rsidR="00A34C14" w:rsidRPr="00CC49BE" w:rsidRDefault="00A34C14" w:rsidP="00A13FA7">
      <w:pPr>
        <w:pStyle w:val="Akapitzlist"/>
        <w:numPr>
          <w:ilvl w:val="1"/>
          <w:numId w:val="27"/>
        </w:numPr>
        <w:spacing w:before="0" w:after="200"/>
        <w:ind w:left="1134"/>
      </w:pPr>
      <w:proofErr w:type="gramStart"/>
      <w:r w:rsidRPr="00CC49BE">
        <w:rPr>
          <w:rFonts w:cs="Times New Roman"/>
        </w:rPr>
        <w:t>obszarów</w:t>
      </w:r>
      <w:proofErr w:type="gramEnd"/>
      <w:r w:rsidRPr="00CC49BE">
        <w:rPr>
          <w:rFonts w:cs="Times New Roman"/>
        </w:rPr>
        <w:t xml:space="preserve"> podlegających ochronie (Natura 200</w:t>
      </w:r>
      <w:r>
        <w:rPr>
          <w:rFonts w:cs="Times New Roman"/>
        </w:rPr>
        <w:t>0</w:t>
      </w:r>
      <w:r w:rsidRPr="00CC49BE">
        <w:rPr>
          <w:rFonts w:cs="Times New Roman"/>
        </w:rPr>
        <w:t>, pomniki przyrody, użytki ekologiczne).</w:t>
      </w:r>
    </w:p>
    <w:p w:rsidR="00A34C14" w:rsidRDefault="00A34C14" w:rsidP="00A13FA7">
      <w:pPr>
        <w:pStyle w:val="Akapitzlist"/>
        <w:numPr>
          <w:ilvl w:val="0"/>
          <w:numId w:val="27"/>
        </w:numPr>
        <w:spacing w:before="0" w:after="200"/>
        <w:rPr>
          <w:rFonts w:cs="Times New Roman"/>
        </w:rPr>
      </w:pPr>
      <w:r w:rsidRPr="00F53DA5">
        <w:rPr>
          <w:rFonts w:cs="Times New Roman"/>
        </w:rPr>
        <w:t>Obszary i obiekty ochro</w:t>
      </w:r>
      <w:r>
        <w:rPr>
          <w:rFonts w:cs="Times New Roman"/>
        </w:rPr>
        <w:t>ny wód, w tym przede wszystkim:</w:t>
      </w:r>
    </w:p>
    <w:p w:rsidR="00A34C14" w:rsidRDefault="00A34C14" w:rsidP="00A13FA7">
      <w:pPr>
        <w:pStyle w:val="Akapitzlist"/>
        <w:numPr>
          <w:ilvl w:val="0"/>
          <w:numId w:val="28"/>
        </w:numPr>
        <w:spacing w:before="0" w:after="200"/>
        <w:ind w:left="1134"/>
        <w:rPr>
          <w:rFonts w:cs="Times New Roman"/>
        </w:rPr>
      </w:pPr>
      <w:proofErr w:type="gramStart"/>
      <w:r w:rsidRPr="00F53DA5">
        <w:rPr>
          <w:rFonts w:cs="Times New Roman"/>
        </w:rPr>
        <w:t>obszar</w:t>
      </w:r>
      <w:proofErr w:type="gramEnd"/>
      <w:r w:rsidRPr="00F53DA5">
        <w:rPr>
          <w:rFonts w:cs="Times New Roman"/>
        </w:rPr>
        <w:t xml:space="preserve"> wysokiej ochrony Głównego Zbiornika Wód Podziemnych (GZWP) nr 407, obejmujący </w:t>
      </w:r>
      <w:r>
        <w:rPr>
          <w:rFonts w:cs="Times New Roman"/>
        </w:rPr>
        <w:t>teren całego HOF</w:t>
      </w:r>
      <w:r w:rsidRPr="00F53DA5">
        <w:rPr>
          <w:rFonts w:cs="Times New Roman"/>
        </w:rPr>
        <w:t>;</w:t>
      </w:r>
    </w:p>
    <w:p w:rsidR="00A34C14" w:rsidRDefault="00A34C14" w:rsidP="00A13FA7">
      <w:pPr>
        <w:pStyle w:val="Akapitzlist"/>
        <w:numPr>
          <w:ilvl w:val="0"/>
          <w:numId w:val="28"/>
        </w:numPr>
        <w:spacing w:before="0" w:after="200"/>
        <w:ind w:left="1134"/>
        <w:rPr>
          <w:rFonts w:cs="Times New Roman"/>
        </w:rPr>
      </w:pPr>
      <w:proofErr w:type="gramStart"/>
      <w:r w:rsidRPr="00F53DA5">
        <w:rPr>
          <w:rFonts w:cs="Times New Roman"/>
        </w:rPr>
        <w:t>zbiorniki</w:t>
      </w:r>
      <w:proofErr w:type="gramEnd"/>
      <w:r w:rsidRPr="00F53DA5">
        <w:rPr>
          <w:rFonts w:cs="Times New Roman"/>
        </w:rPr>
        <w:t xml:space="preserve"> małej retencji o funkcjach rekreacyjnych, przeciwpowodziowych i retencyjnych – zaplanowane głównie wzdłuż cieków wodnych w pobliżu miejscowości: Stefankowice, Moniatycze, </w:t>
      </w:r>
      <w:r>
        <w:rPr>
          <w:rFonts w:cs="Times New Roman"/>
        </w:rPr>
        <w:t>Dziekanów, Brodzica, Cichobórz.</w:t>
      </w:r>
    </w:p>
    <w:p w:rsidR="00A34C14" w:rsidRDefault="00A34C14" w:rsidP="00A13FA7">
      <w:pPr>
        <w:pStyle w:val="Akapitzlist"/>
        <w:numPr>
          <w:ilvl w:val="0"/>
          <w:numId w:val="28"/>
        </w:numPr>
        <w:spacing w:before="0" w:after="200"/>
        <w:ind w:left="1134"/>
        <w:rPr>
          <w:rFonts w:cs="Times New Roman"/>
        </w:rPr>
      </w:pPr>
      <w:r>
        <w:rPr>
          <w:rFonts w:cs="Times New Roman"/>
        </w:rPr>
        <w:t>Z uwagi na rozwój funkcji ochrony środowiska (również zgodnie z wytycznymi dla OSI Żywicielski) oraz rozwoju funkcji rekreacyjno-turystycznych na terenie Miasta Hrubieszów utworzony zostanie zbiornik wodny w dolinie rzeki Huczwy.</w:t>
      </w:r>
    </w:p>
    <w:p w:rsidR="00770852" w:rsidRPr="001D46F9" w:rsidRDefault="00770852" w:rsidP="00770852">
      <w:pPr>
        <w:pStyle w:val="Akapitzlist"/>
        <w:numPr>
          <w:ilvl w:val="0"/>
          <w:numId w:val="28"/>
        </w:numPr>
        <w:ind w:left="1134"/>
      </w:pPr>
      <w:r>
        <w:t>Obszar HOF położony</w:t>
      </w:r>
      <w:r w:rsidRPr="001D46F9">
        <w:t xml:space="preserve"> jest w rejonie wodnym Środkowej Wisły, na obszarze szczególnego zagrożenia powodzią (prawdopodobieństwo wystąpienia powodzi – raz na 10 lat). Obszarami zagrożonymi powodzią są </w:t>
      </w:r>
      <w:r>
        <w:t>obszary położone</w:t>
      </w:r>
      <w:r w:rsidRPr="001D46F9">
        <w:t xml:space="preserve"> </w:t>
      </w:r>
      <w:r>
        <w:t>w</w:t>
      </w:r>
      <w:r w:rsidRPr="001D46F9">
        <w:t>zdłuż doliny rzeki</w:t>
      </w:r>
      <w:r w:rsidR="00FC1336">
        <w:t xml:space="preserve"> Huczwa, Białka i Bu</w:t>
      </w:r>
      <w:r>
        <w:t>g</w:t>
      </w:r>
      <w:r w:rsidRPr="001D46F9">
        <w:t>.</w:t>
      </w:r>
    </w:p>
    <w:p w:rsidR="00770852" w:rsidRPr="00770852" w:rsidRDefault="00770852" w:rsidP="00770852">
      <w:pPr>
        <w:pStyle w:val="Akapitzlist"/>
        <w:numPr>
          <w:ilvl w:val="0"/>
          <w:numId w:val="28"/>
        </w:numPr>
        <w:ind w:left="1134"/>
      </w:pPr>
      <w:r w:rsidRPr="001D46F9">
        <w:t xml:space="preserve">W regionie wodnym Środkowej Wisły dominują powodzie rzeczne związane z topnieniem śniegu (wezbrania roztopowe, często </w:t>
      </w:r>
      <w:proofErr w:type="spellStart"/>
      <w:r w:rsidRPr="001D46F9">
        <w:t>podpiętrzane</w:t>
      </w:r>
      <w:proofErr w:type="spellEnd"/>
      <w:r w:rsidRPr="001D46F9">
        <w:t xml:space="preserve"> zatorami </w:t>
      </w:r>
      <w:proofErr w:type="gramStart"/>
      <w:r w:rsidRPr="001D46F9">
        <w:t>lodowymi</w:t>
      </w:r>
      <w:proofErr w:type="gramEnd"/>
      <w:r w:rsidRPr="001D46F9">
        <w:t>). Topnieniu pokrywy śnieżnej często towarzyszą opady deszczu, co powoduje zwiększenie wysokości wezbrania. Wielkość i przebieg tego typu powodzi zależy od ilości wody zgromadzonej w pokrywie śnieżnej, intensywności procesu topnienia (temperatura powietrza) i stopnia przemarznięcia gruntu</w:t>
      </w:r>
      <w:r w:rsidRPr="001D46F9">
        <w:rPr>
          <w:rStyle w:val="Odwoanieprzypisudolnego"/>
        </w:rPr>
        <w:footnoteReference w:id="28"/>
      </w:r>
      <w:r w:rsidRPr="001D46F9">
        <w:t>.</w:t>
      </w:r>
      <w:r>
        <w:t xml:space="preserve">  </w:t>
      </w:r>
    </w:p>
    <w:p w:rsidR="00A34C14" w:rsidRDefault="00A34C14" w:rsidP="00A13FA7">
      <w:pPr>
        <w:pStyle w:val="Akapitzlist"/>
        <w:numPr>
          <w:ilvl w:val="0"/>
          <w:numId w:val="27"/>
        </w:numPr>
      </w:pPr>
      <w:r>
        <w:t>Surowce mineralne, głównie udokumentowane i perspektywiczne złoża surowców pospolitych (kruszywa naturalnego i piasku oraz torfu w dolinie Huczwy), które mogą być eksploatowane z zachowaniem warunków ochrony gleb i przyrody w obszarach chronionych.</w:t>
      </w:r>
    </w:p>
    <w:p w:rsidR="00A34C14" w:rsidRDefault="00A34C14" w:rsidP="00A13FA7">
      <w:pPr>
        <w:pStyle w:val="Akapitzlist"/>
        <w:numPr>
          <w:ilvl w:val="0"/>
          <w:numId w:val="27"/>
        </w:numPr>
      </w:pPr>
      <w:r>
        <w:t>Miasto objęte jest programem kształtowania zielonego pierścienia wokół terenów zurbanizowanych, a system przyrodniczy miasta podlega ochronie planistycznej;</w:t>
      </w:r>
    </w:p>
    <w:p w:rsidR="00A34C14" w:rsidRDefault="00A34C14" w:rsidP="00A13FA7">
      <w:pPr>
        <w:pStyle w:val="Akapitzlist"/>
        <w:numPr>
          <w:ilvl w:val="0"/>
          <w:numId w:val="27"/>
        </w:numPr>
      </w:pPr>
      <w:r>
        <w:t>Wskazane jest kształtowanie ciągłości systemu ekologicznego miasta w nawiązaniu do systemu ekologicznego Gminy Hrubieszów, jak również wzmocnienie struktury ekologicznej i kształtowanie wysokich walorów estetycznych i krajobrazowych HOF.</w:t>
      </w:r>
    </w:p>
    <w:p w:rsidR="00A34C14" w:rsidRDefault="00A34C14" w:rsidP="00A13FA7">
      <w:pPr>
        <w:pStyle w:val="Akapitzlist"/>
        <w:numPr>
          <w:ilvl w:val="0"/>
          <w:numId w:val="27"/>
        </w:numPr>
      </w:pPr>
      <w:r>
        <w:t xml:space="preserve">Lasy na terenie HOF pełnią istotną rolę </w:t>
      </w:r>
      <w:proofErr w:type="gramStart"/>
      <w:r>
        <w:t>ekologiczną jako</w:t>
      </w:r>
      <w:proofErr w:type="gramEnd"/>
      <w:r>
        <w:t xml:space="preserve"> obszary węzłowe zasilające fitocenozy i zoocenozy terenów sąsiednich, stabilizują stosunki wodne i klimatyczne oraz kształtują krajobraz. Są również ostoją flory i fauny leśnej. Lasy nie stanowią potencjału produkcyjnego HOF.</w:t>
      </w:r>
    </w:p>
    <w:p w:rsidR="00770852" w:rsidRDefault="00770852" w:rsidP="00770852">
      <w:pPr>
        <w:pStyle w:val="Akapitzlist"/>
        <w:ind w:firstLine="0"/>
      </w:pPr>
    </w:p>
    <w:p w:rsidR="00273D3F" w:rsidRPr="00163727" w:rsidRDefault="00273D3F" w:rsidP="00273D3F">
      <w:pPr>
        <w:rPr>
          <w:rFonts w:cs="Times New Roman"/>
          <w:b/>
          <w:color w:val="0292DF" w:themeColor="accent1" w:themeShade="BF"/>
        </w:rPr>
      </w:pPr>
      <w:r w:rsidRPr="00163727">
        <w:rPr>
          <w:rFonts w:cs="Times New Roman"/>
          <w:b/>
          <w:color w:val="0292DF" w:themeColor="accent1" w:themeShade="BF"/>
        </w:rPr>
        <w:lastRenderedPageBreak/>
        <w:t>Środowisko kulturowe:</w:t>
      </w:r>
    </w:p>
    <w:p w:rsidR="007F467B" w:rsidRDefault="007F467B" w:rsidP="00A13FA7">
      <w:pPr>
        <w:pStyle w:val="Akapitzlist"/>
        <w:numPr>
          <w:ilvl w:val="0"/>
          <w:numId w:val="29"/>
        </w:numPr>
        <w:spacing w:before="0" w:after="200"/>
        <w:rPr>
          <w:rFonts w:cs="Times New Roman"/>
        </w:rPr>
      </w:pPr>
      <w:r w:rsidRPr="00F53DA5">
        <w:rPr>
          <w:rFonts w:cs="Times New Roman"/>
        </w:rPr>
        <w:t>Obszary i obiekty ścisłej ochrony konserwatorskiej, wymienione w wykazie zabytków wpisanych do rejestru zabytków nieruc</w:t>
      </w:r>
      <w:r w:rsidR="00FD49B6">
        <w:rPr>
          <w:rFonts w:cs="Times New Roman"/>
        </w:rPr>
        <w:t>homych województwa lubelskiego.</w:t>
      </w:r>
    </w:p>
    <w:p w:rsidR="00FD49B6" w:rsidRPr="00F53DA5" w:rsidRDefault="00FD49B6" w:rsidP="00A13FA7">
      <w:pPr>
        <w:pStyle w:val="Akapitzlist"/>
        <w:numPr>
          <w:ilvl w:val="0"/>
          <w:numId w:val="29"/>
        </w:numPr>
        <w:spacing w:before="0" w:after="200"/>
        <w:rPr>
          <w:rFonts w:cs="Times New Roman"/>
        </w:rPr>
      </w:pPr>
      <w:r w:rsidRPr="00F53DA5">
        <w:rPr>
          <w:rFonts w:cs="Times New Roman"/>
        </w:rPr>
        <w:t xml:space="preserve">Obszary i obiekty pośredniej ochrony konserwatorskiej, figurujące </w:t>
      </w:r>
      <w:r>
        <w:rPr>
          <w:rFonts w:cs="Times New Roman"/>
        </w:rPr>
        <w:br/>
        <w:t>w gminnych ewidencjach</w:t>
      </w:r>
      <w:r w:rsidRPr="00F53DA5">
        <w:rPr>
          <w:rFonts w:cs="Times New Roman"/>
        </w:rPr>
        <w:t xml:space="preserve"> zabytków</w:t>
      </w:r>
      <w:r>
        <w:rPr>
          <w:rFonts w:cs="Times New Roman"/>
        </w:rPr>
        <w:t>.</w:t>
      </w:r>
    </w:p>
    <w:p w:rsidR="00FD49B6" w:rsidRPr="00F53DA5" w:rsidRDefault="00FD49B6" w:rsidP="00A13FA7">
      <w:pPr>
        <w:pStyle w:val="Akapitzlist"/>
        <w:numPr>
          <w:ilvl w:val="0"/>
          <w:numId w:val="29"/>
        </w:numPr>
        <w:spacing w:before="0" w:after="200"/>
        <w:rPr>
          <w:rFonts w:cs="Times New Roman"/>
        </w:rPr>
      </w:pPr>
      <w:r w:rsidRPr="00F53DA5">
        <w:rPr>
          <w:rFonts w:cs="Times New Roman"/>
        </w:rPr>
        <w:t>Stanowiska archeologiczne i obszary obserwacji archeol</w:t>
      </w:r>
      <w:r>
        <w:rPr>
          <w:rFonts w:cs="Times New Roman"/>
        </w:rPr>
        <w:t>ogicznej, w tym te wymienione w </w:t>
      </w:r>
      <w:r w:rsidRPr="00F53DA5">
        <w:rPr>
          <w:rFonts w:cs="Times New Roman"/>
        </w:rPr>
        <w:t>rejestrze zabytków archeologicznych województwa lubelskiego.</w:t>
      </w:r>
      <w:r w:rsidR="00601995">
        <w:rPr>
          <w:rFonts w:cs="Times New Roman"/>
        </w:rPr>
        <w:t xml:space="preserve"> </w:t>
      </w:r>
      <w:r w:rsidR="00601995">
        <w:t>Istnieje obowiązek ochrony odkrytych przypadkowo znalezisk, zabezpieczenia ich i powiadomienia wojewódzkiego konserwatora zabytków o dokonanych odkryciach.</w:t>
      </w:r>
    </w:p>
    <w:p w:rsidR="00FD49B6" w:rsidRDefault="00FD49B6" w:rsidP="00FD49B6">
      <w:pPr>
        <w:pStyle w:val="Legenda"/>
        <w:keepNext/>
        <w:spacing w:before="0" w:after="0"/>
      </w:pPr>
      <w:bookmarkStart w:id="57" w:name="_Toc138068503"/>
      <w:r>
        <w:t xml:space="preserve">Ryc. </w:t>
      </w:r>
      <w:r w:rsidR="00E20FF4">
        <w:fldChar w:fldCharType="begin"/>
      </w:r>
      <w:r w:rsidR="00E20FF4">
        <w:instrText xml:space="preserve"> SEQ Ryc. \* ARABIC </w:instrText>
      </w:r>
      <w:r w:rsidR="00E20FF4">
        <w:fldChar w:fldCharType="separate"/>
      </w:r>
      <w:r w:rsidR="0022657A">
        <w:rPr>
          <w:noProof/>
        </w:rPr>
        <w:t>7</w:t>
      </w:r>
      <w:r w:rsidR="00E20FF4">
        <w:rPr>
          <w:noProof/>
        </w:rPr>
        <w:fldChar w:fldCharType="end"/>
      </w:r>
      <w:r>
        <w:t xml:space="preserve">. </w:t>
      </w:r>
      <w:r w:rsidRPr="00904E61">
        <w:t>Uwarunk</w:t>
      </w:r>
      <w:r>
        <w:t>owania środowiska kulturowego oraz turystyki</w:t>
      </w:r>
      <w:r w:rsidRPr="00904E61">
        <w:t xml:space="preserve"> w modelu funkcjonalno-przestrzennym Hrubieszowskiego Obszaru Funkcjonalnego</w:t>
      </w:r>
      <w:bookmarkEnd w:id="57"/>
    </w:p>
    <w:p w:rsidR="00FD49B6" w:rsidRPr="00F53DA5" w:rsidRDefault="00FD49B6" w:rsidP="00770852">
      <w:pPr>
        <w:pStyle w:val="Akapitzlist"/>
        <w:spacing w:before="0"/>
        <w:ind w:left="0" w:firstLine="0"/>
        <w:jc w:val="center"/>
        <w:rPr>
          <w:rFonts w:cs="Times New Roman"/>
        </w:rPr>
      </w:pPr>
      <w:r>
        <w:rPr>
          <w:rFonts w:cs="Times New Roman"/>
          <w:noProof/>
          <w:lang w:eastAsia="pl-PL"/>
        </w:rPr>
        <w:drawing>
          <wp:inline distT="0" distB="0" distL="0" distR="0" wp14:anchorId="798EE2F5" wp14:editId="79A5C8A9">
            <wp:extent cx="4692650" cy="6280583"/>
            <wp:effectExtent l="0" t="0" r="0" b="6350"/>
            <wp:docPr id="289" name="Obraz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9_HOF_kultura_turystyka_a4.jpg"/>
                    <pic:cNvPicPr/>
                  </pic:nvPicPr>
                  <pic:blipFill rotWithShape="1">
                    <a:blip r:embed="rId79" cstate="print">
                      <a:extLst>
                        <a:ext uri="{28A0092B-C50C-407E-A947-70E740481C1C}">
                          <a14:useLocalDpi xmlns:a14="http://schemas.microsoft.com/office/drawing/2010/main" val="0"/>
                        </a:ext>
                      </a:extLst>
                    </a:blip>
                    <a:srcRect t="5378"/>
                    <a:stretch/>
                  </pic:blipFill>
                  <pic:spPr bwMode="auto">
                    <a:xfrm>
                      <a:off x="0" y="0"/>
                      <a:ext cx="4696665" cy="6285957"/>
                    </a:xfrm>
                    <a:prstGeom prst="rect">
                      <a:avLst/>
                    </a:prstGeom>
                    <a:ln>
                      <a:noFill/>
                    </a:ln>
                    <a:extLst>
                      <a:ext uri="{53640926-AAD7-44D8-BBD7-CCE9431645EC}">
                        <a14:shadowObscured xmlns:a14="http://schemas.microsoft.com/office/drawing/2010/main"/>
                      </a:ext>
                    </a:extLst>
                  </pic:spPr>
                </pic:pic>
              </a:graphicData>
            </a:graphic>
          </wp:inline>
        </w:drawing>
      </w:r>
    </w:p>
    <w:p w:rsidR="00FD49B6" w:rsidRDefault="00FD49B6" w:rsidP="00FD49B6">
      <w:pPr>
        <w:rPr>
          <w:i/>
          <w:sz w:val="18"/>
          <w:szCs w:val="18"/>
        </w:rPr>
      </w:pPr>
      <w:r w:rsidRPr="00CC49BE">
        <w:rPr>
          <w:i/>
          <w:sz w:val="18"/>
          <w:szCs w:val="18"/>
        </w:rPr>
        <w:t>Źródło: Opracowanie własne</w:t>
      </w:r>
    </w:p>
    <w:p w:rsidR="008D02FB" w:rsidRDefault="008D02FB" w:rsidP="00FD49B6">
      <w:pPr>
        <w:rPr>
          <w:i/>
          <w:sz w:val="18"/>
          <w:szCs w:val="18"/>
        </w:rPr>
      </w:pPr>
    </w:p>
    <w:p w:rsidR="008D02FB" w:rsidRDefault="008D02FB" w:rsidP="00A13FA7">
      <w:pPr>
        <w:pStyle w:val="Akapitzlist"/>
        <w:numPr>
          <w:ilvl w:val="0"/>
          <w:numId w:val="29"/>
        </w:numPr>
        <w:spacing w:before="0" w:after="200"/>
        <w:rPr>
          <w:rFonts w:cs="Times New Roman"/>
        </w:rPr>
      </w:pPr>
      <w:r w:rsidRPr="00F53DA5">
        <w:rPr>
          <w:rFonts w:cs="Times New Roman"/>
        </w:rPr>
        <w:t>Strefy chronionego krajobrazu</w:t>
      </w:r>
      <w:r>
        <w:rPr>
          <w:rFonts w:cs="Times New Roman"/>
        </w:rPr>
        <w:t xml:space="preserve"> kulturowego, wyznaczone w:</w:t>
      </w:r>
    </w:p>
    <w:p w:rsidR="008D02FB" w:rsidRDefault="008D02FB" w:rsidP="00A13FA7">
      <w:pPr>
        <w:pStyle w:val="Akapitzlist"/>
        <w:numPr>
          <w:ilvl w:val="1"/>
          <w:numId w:val="29"/>
        </w:numPr>
        <w:spacing w:before="0" w:after="200"/>
        <w:ind w:left="1134"/>
        <w:rPr>
          <w:rFonts w:cs="Times New Roman"/>
        </w:rPr>
      </w:pPr>
      <w:proofErr w:type="gramStart"/>
      <w:r w:rsidRPr="00F53DA5">
        <w:rPr>
          <w:rFonts w:cs="Times New Roman"/>
        </w:rPr>
        <w:t>rejonie</w:t>
      </w:r>
      <w:proofErr w:type="gramEnd"/>
      <w:r w:rsidRPr="00F53DA5">
        <w:rPr>
          <w:rFonts w:cs="Times New Roman"/>
        </w:rPr>
        <w:t xml:space="preserve"> ujścia Huczwy do Bugu z archeologicznymi </w:t>
      </w:r>
      <w:r>
        <w:rPr>
          <w:rFonts w:cs="Times New Roman"/>
        </w:rPr>
        <w:t>formami grodzisk ("Zamczysko" i </w:t>
      </w:r>
      <w:r w:rsidRPr="00F53DA5">
        <w:rPr>
          <w:rFonts w:cs="Times New Roman"/>
        </w:rPr>
        <w:t xml:space="preserve">Horodyszcze" w Gródku) oraz kurhanem "Księżycowa Mogiła" </w:t>
      </w:r>
      <w:r>
        <w:rPr>
          <w:rFonts w:cs="Times New Roman"/>
        </w:rPr>
        <w:br/>
        <w:t xml:space="preserve">w </w:t>
      </w:r>
      <w:proofErr w:type="spellStart"/>
      <w:r>
        <w:rPr>
          <w:rFonts w:cs="Times New Roman"/>
        </w:rPr>
        <w:t>Husynnem</w:t>
      </w:r>
      <w:proofErr w:type="spellEnd"/>
      <w:r>
        <w:rPr>
          <w:rFonts w:cs="Times New Roman"/>
        </w:rPr>
        <w:t>;</w:t>
      </w:r>
    </w:p>
    <w:p w:rsidR="008D02FB" w:rsidRDefault="008D02FB" w:rsidP="00A13FA7">
      <w:pPr>
        <w:pStyle w:val="Akapitzlist"/>
        <w:numPr>
          <w:ilvl w:val="1"/>
          <w:numId w:val="29"/>
        </w:numPr>
        <w:spacing w:before="0" w:after="200"/>
        <w:ind w:left="1134"/>
        <w:rPr>
          <w:rFonts w:cs="Times New Roman"/>
        </w:rPr>
      </w:pPr>
      <w:proofErr w:type="gramStart"/>
      <w:r w:rsidRPr="00F53DA5">
        <w:rPr>
          <w:rFonts w:cs="Times New Roman"/>
        </w:rPr>
        <w:t>wzdłuż</w:t>
      </w:r>
      <w:proofErr w:type="gramEnd"/>
      <w:r w:rsidRPr="00F53DA5">
        <w:rPr>
          <w:rFonts w:cs="Times New Roman"/>
        </w:rPr>
        <w:t xml:space="preserve"> doliny cieku spod </w:t>
      </w:r>
      <w:proofErr w:type="spellStart"/>
      <w:r w:rsidRPr="00F53DA5">
        <w:rPr>
          <w:rFonts w:cs="Times New Roman"/>
        </w:rPr>
        <w:t>Moniatycz</w:t>
      </w:r>
      <w:proofErr w:type="spellEnd"/>
      <w:r w:rsidRPr="00F53DA5">
        <w:rPr>
          <w:rFonts w:cs="Times New Roman"/>
        </w:rPr>
        <w:t xml:space="preserve"> z zespołami zabytkowymi w Moroczynie, </w:t>
      </w:r>
      <w:proofErr w:type="spellStart"/>
      <w:r w:rsidRPr="00F53DA5">
        <w:rPr>
          <w:rFonts w:cs="Times New Roman"/>
        </w:rPr>
        <w:t>Dziekanowie</w:t>
      </w:r>
      <w:proofErr w:type="spellEnd"/>
      <w:r w:rsidRPr="00F53DA5">
        <w:rPr>
          <w:rFonts w:cs="Times New Roman"/>
        </w:rPr>
        <w:t xml:space="preserve"> (siedziba dawnego Towarzystwa Rolniczego Hrubieszowskiego) </w:t>
      </w:r>
      <w:r>
        <w:rPr>
          <w:rFonts w:cs="Times New Roman"/>
        </w:rPr>
        <w:t>oraz w </w:t>
      </w:r>
      <w:proofErr w:type="spellStart"/>
      <w:r>
        <w:rPr>
          <w:rFonts w:cs="Times New Roman"/>
        </w:rPr>
        <w:t>Moniatyczach</w:t>
      </w:r>
      <w:proofErr w:type="spellEnd"/>
      <w:r>
        <w:rPr>
          <w:rFonts w:cs="Times New Roman"/>
        </w:rPr>
        <w:t>;</w:t>
      </w:r>
    </w:p>
    <w:p w:rsidR="008D02FB" w:rsidRDefault="008D02FB" w:rsidP="00A13FA7">
      <w:pPr>
        <w:pStyle w:val="Akapitzlist"/>
        <w:numPr>
          <w:ilvl w:val="1"/>
          <w:numId w:val="29"/>
        </w:numPr>
        <w:spacing w:before="0" w:after="200"/>
        <w:ind w:left="1134"/>
        <w:rPr>
          <w:rFonts w:cs="Times New Roman"/>
        </w:rPr>
      </w:pPr>
      <w:proofErr w:type="gramStart"/>
      <w:r w:rsidRPr="00F53DA5">
        <w:rPr>
          <w:rFonts w:cs="Times New Roman"/>
        </w:rPr>
        <w:t>okolicach</w:t>
      </w:r>
      <w:proofErr w:type="gramEnd"/>
      <w:r w:rsidRPr="00F53DA5">
        <w:rPr>
          <w:rFonts w:cs="Times New Roman"/>
        </w:rPr>
        <w:t xml:space="preserve"> doliny Bugu wokół zesp</w:t>
      </w:r>
      <w:r>
        <w:rPr>
          <w:rFonts w:cs="Times New Roman"/>
        </w:rPr>
        <w:t>ołu pałacowego w Czumowie;</w:t>
      </w:r>
    </w:p>
    <w:p w:rsidR="008D02FB" w:rsidRPr="00F53DA5" w:rsidRDefault="008D02FB" w:rsidP="00A13FA7">
      <w:pPr>
        <w:pStyle w:val="Akapitzlist"/>
        <w:numPr>
          <w:ilvl w:val="1"/>
          <w:numId w:val="29"/>
        </w:numPr>
        <w:spacing w:before="0" w:after="200"/>
        <w:ind w:left="1134"/>
        <w:rPr>
          <w:rFonts w:cs="Times New Roman"/>
        </w:rPr>
      </w:pPr>
      <w:proofErr w:type="gramStart"/>
      <w:r w:rsidRPr="00F53DA5">
        <w:rPr>
          <w:rFonts w:cs="Times New Roman"/>
        </w:rPr>
        <w:t>pobliżu</w:t>
      </w:r>
      <w:proofErr w:type="gramEnd"/>
      <w:r w:rsidRPr="00F53DA5">
        <w:rPr>
          <w:rFonts w:cs="Times New Roman"/>
        </w:rPr>
        <w:t xml:space="preserve"> miejscowości Szpikołosy, z malowniczym zespołem drewnianym dawnej cerkwi oraz cmentarzem wojennym z I wojny światowej.</w:t>
      </w:r>
    </w:p>
    <w:p w:rsidR="00273D3F" w:rsidRPr="00163727" w:rsidRDefault="00DA5A46" w:rsidP="00192FCA">
      <w:pPr>
        <w:rPr>
          <w:b/>
          <w:color w:val="0292DF" w:themeColor="accent1" w:themeShade="BF"/>
        </w:rPr>
      </w:pPr>
      <w:r w:rsidRPr="00163727">
        <w:rPr>
          <w:b/>
          <w:color w:val="0292DF" w:themeColor="accent1" w:themeShade="BF"/>
        </w:rPr>
        <w:t>Układ osadniczy:</w:t>
      </w:r>
    </w:p>
    <w:p w:rsidR="008D02FB" w:rsidRDefault="008D02FB" w:rsidP="00192FCA">
      <w:pPr>
        <w:rPr>
          <w:b/>
          <w:color w:val="984806"/>
        </w:rPr>
      </w:pPr>
      <w:r>
        <w:t xml:space="preserve">O przydatności terenów dla rozwoju funkcji mieszkaniowej decyduje zespół warunków przyrodniczych, takich jak: ukształtowanie terenu, głębokość zalegania wód gruntowych, nośność gruntu, </w:t>
      </w:r>
      <w:proofErr w:type="spellStart"/>
      <w:r>
        <w:t>topoklimat</w:t>
      </w:r>
      <w:proofErr w:type="spellEnd"/>
      <w:r>
        <w:t>.</w:t>
      </w:r>
    </w:p>
    <w:p w:rsidR="006C20AC" w:rsidRDefault="002C2EDC" w:rsidP="00A13FA7">
      <w:pPr>
        <w:pStyle w:val="Akapitzlist"/>
        <w:numPr>
          <w:ilvl w:val="0"/>
          <w:numId w:val="31"/>
        </w:numPr>
        <w:ind w:left="709"/>
        <w:rPr>
          <w:lang w:eastAsia="ar-SA"/>
        </w:rPr>
      </w:pPr>
      <w:r>
        <w:rPr>
          <w:lang w:eastAsia="ar-SA"/>
        </w:rPr>
        <w:t xml:space="preserve">Poza Miastem Hrubieszów </w:t>
      </w:r>
      <w:r w:rsidR="002B543D">
        <w:rPr>
          <w:lang w:eastAsia="ar-SA"/>
        </w:rPr>
        <w:t>O</w:t>
      </w:r>
      <w:r w:rsidR="006C20AC">
        <w:rPr>
          <w:lang w:eastAsia="ar-SA"/>
        </w:rPr>
        <w:t>bszar Funkcjonalny tworzy Gmina Hrubieszów, która składa się z 37 miejscowości, zorganizowanych w 36 sołectwach. Miejscowości Gminy Hrubieszów:</w:t>
      </w:r>
      <w:r w:rsidR="006C20AC">
        <w:t xml:space="preserve"> </w:t>
      </w:r>
      <w:r w:rsidR="006C20AC" w:rsidRPr="009A55E5">
        <w:rPr>
          <w:lang w:eastAsia="ar-SA"/>
        </w:rPr>
        <w:t>Annopol,</w:t>
      </w:r>
      <w:r w:rsidR="006C20AC">
        <w:rPr>
          <w:lang w:eastAsia="ar-SA"/>
        </w:rPr>
        <w:t xml:space="preserve"> Białoskóry, </w:t>
      </w:r>
      <w:r w:rsidR="006C20AC" w:rsidRPr="009A55E5">
        <w:rPr>
          <w:lang w:eastAsia="ar-SA"/>
        </w:rPr>
        <w:t>Brodzica,</w:t>
      </w:r>
      <w:r w:rsidR="006C20AC">
        <w:rPr>
          <w:lang w:eastAsia="ar-SA"/>
        </w:rPr>
        <w:t xml:space="preserve"> </w:t>
      </w:r>
      <w:r w:rsidR="006C20AC" w:rsidRPr="009A55E5">
        <w:rPr>
          <w:lang w:eastAsia="ar-SA"/>
        </w:rPr>
        <w:t>Cichobórz,</w:t>
      </w:r>
      <w:r w:rsidR="006C20AC">
        <w:rPr>
          <w:lang w:eastAsia="ar-SA"/>
        </w:rPr>
        <w:t xml:space="preserve"> </w:t>
      </w:r>
      <w:r w:rsidR="006C20AC" w:rsidRPr="009A55E5">
        <w:rPr>
          <w:lang w:eastAsia="ar-SA"/>
        </w:rPr>
        <w:t>Czerniczyn,</w:t>
      </w:r>
      <w:r w:rsidR="006C20AC">
        <w:rPr>
          <w:lang w:eastAsia="ar-SA"/>
        </w:rPr>
        <w:t xml:space="preserve"> </w:t>
      </w:r>
      <w:r w:rsidR="006C20AC" w:rsidRPr="009A55E5">
        <w:rPr>
          <w:lang w:eastAsia="ar-SA"/>
        </w:rPr>
        <w:t>Czortowice,</w:t>
      </w:r>
      <w:r w:rsidR="006C20AC">
        <w:rPr>
          <w:lang w:eastAsia="ar-SA"/>
        </w:rPr>
        <w:t xml:space="preserve"> </w:t>
      </w:r>
      <w:r w:rsidR="006C20AC" w:rsidRPr="009A55E5">
        <w:rPr>
          <w:lang w:eastAsia="ar-SA"/>
        </w:rPr>
        <w:t>Czumów,</w:t>
      </w:r>
      <w:r w:rsidR="006C20AC">
        <w:rPr>
          <w:lang w:eastAsia="ar-SA"/>
        </w:rPr>
        <w:t xml:space="preserve"> </w:t>
      </w:r>
      <w:r w:rsidR="006C20AC" w:rsidRPr="009A55E5">
        <w:rPr>
          <w:lang w:eastAsia="ar-SA"/>
        </w:rPr>
        <w:t>Dąbrowa,</w:t>
      </w:r>
      <w:r w:rsidR="006C20AC">
        <w:rPr>
          <w:lang w:eastAsia="ar-SA"/>
        </w:rPr>
        <w:t xml:space="preserve"> </w:t>
      </w:r>
      <w:r w:rsidR="006C20AC" w:rsidRPr="009A55E5">
        <w:rPr>
          <w:lang w:eastAsia="ar-SA"/>
        </w:rPr>
        <w:t>Dziekanów,</w:t>
      </w:r>
      <w:r w:rsidR="006C20AC">
        <w:rPr>
          <w:lang w:eastAsia="ar-SA"/>
        </w:rPr>
        <w:t xml:space="preserve"> </w:t>
      </w:r>
      <w:r w:rsidR="006C20AC" w:rsidRPr="009A55E5">
        <w:rPr>
          <w:lang w:eastAsia="ar-SA"/>
        </w:rPr>
        <w:t>Gródek,</w:t>
      </w:r>
      <w:r w:rsidR="006C20AC">
        <w:rPr>
          <w:lang w:eastAsia="ar-SA"/>
        </w:rPr>
        <w:t xml:space="preserve"> </w:t>
      </w:r>
      <w:r w:rsidR="006C20AC" w:rsidRPr="009A55E5">
        <w:rPr>
          <w:lang w:eastAsia="ar-SA"/>
        </w:rPr>
        <w:t>Husynne,</w:t>
      </w:r>
      <w:r w:rsidR="006C20AC">
        <w:rPr>
          <w:lang w:eastAsia="ar-SA"/>
        </w:rPr>
        <w:t xml:space="preserve"> </w:t>
      </w:r>
      <w:r w:rsidR="006C20AC" w:rsidRPr="009A55E5">
        <w:rPr>
          <w:lang w:eastAsia="ar-SA"/>
        </w:rPr>
        <w:t>Janki,</w:t>
      </w:r>
      <w:r w:rsidR="006C20AC">
        <w:rPr>
          <w:lang w:eastAsia="ar-SA"/>
        </w:rPr>
        <w:t xml:space="preserve"> </w:t>
      </w:r>
      <w:r w:rsidR="006C20AC" w:rsidRPr="009A55E5">
        <w:rPr>
          <w:lang w:eastAsia="ar-SA"/>
        </w:rPr>
        <w:t>Kobło,</w:t>
      </w:r>
      <w:r w:rsidR="006C20AC">
        <w:rPr>
          <w:lang w:eastAsia="ar-SA"/>
        </w:rPr>
        <w:t xml:space="preserve"> </w:t>
      </w:r>
      <w:r w:rsidR="006C20AC" w:rsidRPr="009A55E5">
        <w:rPr>
          <w:lang w:eastAsia="ar-SA"/>
        </w:rPr>
        <w:t>Kosmów,</w:t>
      </w:r>
      <w:r w:rsidR="006C20AC">
        <w:rPr>
          <w:lang w:eastAsia="ar-SA"/>
        </w:rPr>
        <w:t xml:space="preserve"> </w:t>
      </w:r>
      <w:r w:rsidR="006C20AC" w:rsidRPr="009A55E5">
        <w:rPr>
          <w:lang w:eastAsia="ar-SA"/>
        </w:rPr>
        <w:t>Kozodawy,</w:t>
      </w:r>
      <w:r w:rsidR="006C20AC">
        <w:rPr>
          <w:lang w:eastAsia="ar-SA"/>
        </w:rPr>
        <w:t xml:space="preserve"> </w:t>
      </w:r>
      <w:r w:rsidR="006C20AC" w:rsidRPr="009A55E5">
        <w:rPr>
          <w:lang w:eastAsia="ar-SA"/>
        </w:rPr>
        <w:t>Kułakowice</w:t>
      </w:r>
      <w:r w:rsidR="006C20AC">
        <w:rPr>
          <w:lang w:eastAsia="ar-SA"/>
        </w:rPr>
        <w:t xml:space="preserve"> </w:t>
      </w:r>
      <w:r w:rsidR="006C20AC" w:rsidRPr="009A55E5">
        <w:rPr>
          <w:lang w:eastAsia="ar-SA"/>
        </w:rPr>
        <w:t>Pierwsze,</w:t>
      </w:r>
      <w:r w:rsidR="006C20AC">
        <w:rPr>
          <w:lang w:eastAsia="ar-SA"/>
        </w:rPr>
        <w:t xml:space="preserve"> </w:t>
      </w:r>
      <w:r w:rsidR="006C20AC" w:rsidRPr="009A55E5">
        <w:rPr>
          <w:lang w:eastAsia="ar-SA"/>
        </w:rPr>
        <w:t>Kułakowice</w:t>
      </w:r>
      <w:r w:rsidR="006C20AC">
        <w:rPr>
          <w:lang w:eastAsia="ar-SA"/>
        </w:rPr>
        <w:t xml:space="preserve"> </w:t>
      </w:r>
      <w:r w:rsidR="006C20AC" w:rsidRPr="009A55E5">
        <w:rPr>
          <w:lang w:eastAsia="ar-SA"/>
        </w:rPr>
        <w:t>Drugie,</w:t>
      </w:r>
      <w:r w:rsidR="006C20AC">
        <w:rPr>
          <w:lang w:eastAsia="ar-SA"/>
        </w:rPr>
        <w:t xml:space="preserve"> </w:t>
      </w:r>
      <w:r w:rsidR="006C20AC" w:rsidRPr="009A55E5">
        <w:rPr>
          <w:lang w:eastAsia="ar-SA"/>
        </w:rPr>
        <w:t>Kułakowice</w:t>
      </w:r>
      <w:r w:rsidR="006C20AC">
        <w:rPr>
          <w:lang w:eastAsia="ar-SA"/>
        </w:rPr>
        <w:t xml:space="preserve"> </w:t>
      </w:r>
      <w:r w:rsidR="006C20AC" w:rsidRPr="009A55E5">
        <w:rPr>
          <w:lang w:eastAsia="ar-SA"/>
        </w:rPr>
        <w:t>Trzecie,</w:t>
      </w:r>
      <w:r w:rsidR="006C20AC">
        <w:rPr>
          <w:lang w:eastAsia="ar-SA"/>
        </w:rPr>
        <w:t xml:space="preserve"> </w:t>
      </w:r>
      <w:proofErr w:type="spellStart"/>
      <w:r w:rsidR="006C20AC" w:rsidRPr="009A55E5">
        <w:rPr>
          <w:lang w:eastAsia="ar-SA"/>
        </w:rPr>
        <w:t>Łotoszyny</w:t>
      </w:r>
      <w:proofErr w:type="spellEnd"/>
      <w:r w:rsidR="006C20AC" w:rsidRPr="009A55E5">
        <w:rPr>
          <w:lang w:eastAsia="ar-SA"/>
        </w:rPr>
        <w:t>,</w:t>
      </w:r>
      <w:r w:rsidR="006C20AC">
        <w:rPr>
          <w:lang w:eastAsia="ar-SA"/>
        </w:rPr>
        <w:t xml:space="preserve"> </w:t>
      </w:r>
      <w:proofErr w:type="spellStart"/>
      <w:r w:rsidR="006C20AC" w:rsidRPr="009A55E5">
        <w:rPr>
          <w:lang w:eastAsia="ar-SA"/>
        </w:rPr>
        <w:t>Masłomęcz</w:t>
      </w:r>
      <w:proofErr w:type="spellEnd"/>
      <w:r w:rsidR="006C20AC" w:rsidRPr="009A55E5">
        <w:rPr>
          <w:lang w:eastAsia="ar-SA"/>
        </w:rPr>
        <w:t>,</w:t>
      </w:r>
      <w:r w:rsidR="006C20AC">
        <w:rPr>
          <w:lang w:eastAsia="ar-SA"/>
        </w:rPr>
        <w:t xml:space="preserve"> </w:t>
      </w:r>
      <w:r w:rsidR="006C20AC" w:rsidRPr="009A55E5">
        <w:rPr>
          <w:lang w:eastAsia="ar-SA"/>
        </w:rPr>
        <w:t>Metelin,</w:t>
      </w:r>
      <w:r w:rsidR="006C20AC">
        <w:rPr>
          <w:lang w:eastAsia="ar-SA"/>
        </w:rPr>
        <w:t xml:space="preserve"> </w:t>
      </w:r>
      <w:r w:rsidR="006C20AC" w:rsidRPr="009A55E5">
        <w:rPr>
          <w:lang w:eastAsia="ar-SA"/>
        </w:rPr>
        <w:t>Mieniany,</w:t>
      </w:r>
      <w:r w:rsidR="006C20AC">
        <w:rPr>
          <w:lang w:eastAsia="ar-SA"/>
        </w:rPr>
        <w:t xml:space="preserve"> </w:t>
      </w:r>
      <w:r w:rsidR="006C20AC" w:rsidRPr="009A55E5">
        <w:rPr>
          <w:lang w:eastAsia="ar-SA"/>
        </w:rPr>
        <w:t>Moniatycze,</w:t>
      </w:r>
      <w:r w:rsidR="006C20AC">
        <w:rPr>
          <w:lang w:eastAsia="ar-SA"/>
        </w:rPr>
        <w:t xml:space="preserve"> </w:t>
      </w:r>
      <w:r w:rsidR="006C20AC" w:rsidRPr="009A55E5">
        <w:rPr>
          <w:lang w:eastAsia="ar-SA"/>
        </w:rPr>
        <w:t>Moniatycze-Kolonia,</w:t>
      </w:r>
      <w:r w:rsidR="006C20AC">
        <w:rPr>
          <w:lang w:eastAsia="ar-SA"/>
        </w:rPr>
        <w:t xml:space="preserve"> </w:t>
      </w:r>
      <w:r w:rsidR="006C20AC" w:rsidRPr="009A55E5">
        <w:rPr>
          <w:lang w:eastAsia="ar-SA"/>
        </w:rPr>
        <w:t>Moroczyn,</w:t>
      </w:r>
      <w:r w:rsidR="006C20AC">
        <w:rPr>
          <w:lang w:eastAsia="ar-SA"/>
        </w:rPr>
        <w:t xml:space="preserve"> </w:t>
      </w:r>
      <w:r w:rsidR="006C20AC" w:rsidRPr="009A55E5">
        <w:rPr>
          <w:lang w:eastAsia="ar-SA"/>
        </w:rPr>
        <w:t>Nowosiółki,</w:t>
      </w:r>
      <w:r w:rsidR="006C20AC">
        <w:rPr>
          <w:lang w:eastAsia="ar-SA"/>
        </w:rPr>
        <w:t xml:space="preserve"> </w:t>
      </w:r>
      <w:r w:rsidR="006C20AC" w:rsidRPr="009A55E5">
        <w:rPr>
          <w:lang w:eastAsia="ar-SA"/>
        </w:rPr>
        <w:t>Obrowiec,</w:t>
      </w:r>
      <w:r w:rsidR="006C20AC">
        <w:rPr>
          <w:lang w:eastAsia="ar-SA"/>
        </w:rPr>
        <w:t xml:space="preserve"> </w:t>
      </w:r>
      <w:r w:rsidR="006C20AC" w:rsidRPr="009A55E5">
        <w:rPr>
          <w:lang w:eastAsia="ar-SA"/>
        </w:rPr>
        <w:t>Stefankowice,</w:t>
      </w:r>
      <w:r w:rsidR="006C20AC">
        <w:rPr>
          <w:lang w:eastAsia="ar-SA"/>
        </w:rPr>
        <w:t xml:space="preserve"> Stefankowice - </w:t>
      </w:r>
      <w:r w:rsidR="006C20AC" w:rsidRPr="009A55E5">
        <w:rPr>
          <w:lang w:eastAsia="ar-SA"/>
        </w:rPr>
        <w:t>Kolonia,</w:t>
      </w:r>
      <w:r w:rsidR="006C20AC">
        <w:rPr>
          <w:lang w:eastAsia="ar-SA"/>
        </w:rPr>
        <w:t xml:space="preserve"> </w:t>
      </w:r>
      <w:r w:rsidR="006C20AC" w:rsidRPr="009A55E5">
        <w:rPr>
          <w:lang w:eastAsia="ar-SA"/>
        </w:rPr>
        <w:t>Szpikołosy,</w:t>
      </w:r>
      <w:r w:rsidR="006C20AC">
        <w:rPr>
          <w:lang w:eastAsia="ar-SA"/>
        </w:rPr>
        <w:t xml:space="preserve"> </w:t>
      </w:r>
      <w:r w:rsidR="006C20AC" w:rsidRPr="009A55E5">
        <w:rPr>
          <w:lang w:eastAsia="ar-SA"/>
        </w:rPr>
        <w:t>Ślipcze,</w:t>
      </w:r>
      <w:r w:rsidR="006C20AC">
        <w:rPr>
          <w:lang w:eastAsia="ar-SA"/>
        </w:rPr>
        <w:t xml:space="preserve"> </w:t>
      </w:r>
      <w:r w:rsidR="006C20AC" w:rsidRPr="009A55E5">
        <w:rPr>
          <w:lang w:eastAsia="ar-SA"/>
        </w:rPr>
        <w:t>Świerszczów,</w:t>
      </w:r>
      <w:r w:rsidR="006C20AC">
        <w:rPr>
          <w:lang w:eastAsia="ar-SA"/>
        </w:rPr>
        <w:t xml:space="preserve"> </w:t>
      </w:r>
      <w:r w:rsidR="006C20AC" w:rsidRPr="009A55E5">
        <w:rPr>
          <w:lang w:eastAsia="ar-SA"/>
        </w:rPr>
        <w:t>Teptiuków,</w:t>
      </w:r>
      <w:r w:rsidR="006C20AC">
        <w:rPr>
          <w:lang w:eastAsia="ar-SA"/>
        </w:rPr>
        <w:t xml:space="preserve"> </w:t>
      </w:r>
      <w:proofErr w:type="spellStart"/>
      <w:r w:rsidR="006C20AC" w:rsidRPr="009A55E5">
        <w:rPr>
          <w:lang w:eastAsia="ar-SA"/>
        </w:rPr>
        <w:t>Turkołówka</w:t>
      </w:r>
      <w:proofErr w:type="spellEnd"/>
      <w:r w:rsidR="006C20AC" w:rsidRPr="009A55E5">
        <w:rPr>
          <w:lang w:eastAsia="ar-SA"/>
        </w:rPr>
        <w:t>,</w:t>
      </w:r>
      <w:r w:rsidR="006C20AC">
        <w:rPr>
          <w:lang w:eastAsia="ar-SA"/>
        </w:rPr>
        <w:t xml:space="preserve"> </w:t>
      </w:r>
      <w:r w:rsidR="006C20AC" w:rsidRPr="009A55E5">
        <w:rPr>
          <w:lang w:eastAsia="ar-SA"/>
        </w:rPr>
        <w:t>Ubrodowice,</w:t>
      </w:r>
      <w:r w:rsidR="006C20AC">
        <w:rPr>
          <w:lang w:eastAsia="ar-SA"/>
        </w:rPr>
        <w:t xml:space="preserve"> </w:t>
      </w:r>
      <w:r w:rsidR="006C20AC" w:rsidRPr="009A55E5">
        <w:rPr>
          <w:lang w:eastAsia="ar-SA"/>
        </w:rPr>
        <w:t>Wolica,</w:t>
      </w:r>
      <w:r w:rsidR="006C20AC">
        <w:rPr>
          <w:lang w:eastAsia="ar-SA"/>
        </w:rPr>
        <w:t xml:space="preserve"> </w:t>
      </w:r>
      <w:r w:rsidR="006C20AC" w:rsidRPr="009A55E5">
        <w:rPr>
          <w:lang w:eastAsia="ar-SA"/>
        </w:rPr>
        <w:t>Wołajowice.</w:t>
      </w:r>
      <w:r w:rsidR="006C20AC">
        <w:rPr>
          <w:lang w:eastAsia="ar-SA"/>
        </w:rPr>
        <w:t xml:space="preserve"> </w:t>
      </w:r>
    </w:p>
    <w:p w:rsidR="006C20AC" w:rsidRPr="00832249" w:rsidRDefault="006C20AC" w:rsidP="00A13FA7">
      <w:pPr>
        <w:pStyle w:val="Akapitzlist"/>
        <w:numPr>
          <w:ilvl w:val="0"/>
          <w:numId w:val="31"/>
        </w:numPr>
        <w:ind w:left="709"/>
      </w:pPr>
      <w:r w:rsidRPr="00832249">
        <w:rPr>
          <w:lang w:eastAsia="ar-SA"/>
        </w:rPr>
        <w:t xml:space="preserve">Miasto podzielone jest </w:t>
      </w:r>
      <w:r w:rsidRPr="00832249">
        <w:t>na trzy obręby ewidencyjne: Ś</w:t>
      </w:r>
      <w:r w:rsidR="00D81AA3" w:rsidRPr="00832249">
        <w:t>ródmieście, Podgórze i Sławęcin. Jest również podzielone na 11 jednostek pomocniczych: 10 osiedli i jedno sołectwo.</w:t>
      </w:r>
    </w:p>
    <w:p w:rsidR="00E87AE5" w:rsidRPr="00832249" w:rsidRDefault="00391ECB" w:rsidP="00A13FA7">
      <w:pPr>
        <w:pStyle w:val="Akapitzlist"/>
        <w:numPr>
          <w:ilvl w:val="0"/>
          <w:numId w:val="30"/>
        </w:numPr>
        <w:ind w:left="709"/>
      </w:pPr>
      <w:r w:rsidRPr="00E445CA">
        <w:t>Miasto położone w środku HOF pełni funkcję c</w:t>
      </w:r>
      <w:r>
        <w:t>entrum usługowego i koncentracji</w:t>
      </w:r>
      <w:r w:rsidR="008E7D9F">
        <w:t xml:space="preserve"> miejsc</w:t>
      </w:r>
      <w:r w:rsidRPr="00E445CA">
        <w:t xml:space="preserve"> pracy pozarolniczej. Należy pamiętać, iż miastu przypisano funkcję ośrodka ponadlokalnego, skupiającego usługi publiczne i komercyjne o znaczeniu ponadlokalnym</w:t>
      </w:r>
      <w:r>
        <w:t xml:space="preserve"> – jest to centrum powiatu</w:t>
      </w:r>
      <w:r w:rsidRPr="00E445CA">
        <w:t>.</w:t>
      </w:r>
      <w:r>
        <w:t xml:space="preserve"> T</w:t>
      </w:r>
      <w:r w:rsidRPr="00E445CA">
        <w:t xml:space="preserve">ylko około 25% powierzchni </w:t>
      </w:r>
      <w:r>
        <w:t xml:space="preserve">miasta </w:t>
      </w:r>
      <w:r w:rsidRPr="00E445CA">
        <w:t>to obsz</w:t>
      </w:r>
      <w:r>
        <w:t>ar zainwestowania miejskiego. W </w:t>
      </w:r>
      <w:r w:rsidRPr="00E445CA">
        <w:t xml:space="preserve">granicach miasta znajdują się również enklawy łąk i działek – ogrody wewnątrz terenów zainwestowania oraz tereny zabudowy </w:t>
      </w:r>
      <w:r w:rsidRPr="00832249">
        <w:t>zagrodowej</w:t>
      </w:r>
      <w:r w:rsidR="00D81AA3" w:rsidRPr="00832249">
        <w:t xml:space="preserve"> i grunty orne</w:t>
      </w:r>
      <w:r w:rsidRPr="00832249">
        <w:t>.</w:t>
      </w:r>
      <w:r>
        <w:t xml:space="preserve"> </w:t>
      </w:r>
      <w:r w:rsidRPr="00E445CA">
        <w:t xml:space="preserve">Centrum charakteryzuje się </w:t>
      </w:r>
      <w:r w:rsidRPr="00832249">
        <w:t xml:space="preserve">zwartą zabudową i skupia mieszkalnictwo oraz usługi. </w:t>
      </w:r>
    </w:p>
    <w:p w:rsidR="00BF69E3" w:rsidRPr="00832249" w:rsidRDefault="00BF69E3" w:rsidP="00A13FA7">
      <w:pPr>
        <w:pStyle w:val="Akapitzlist"/>
        <w:numPr>
          <w:ilvl w:val="0"/>
          <w:numId w:val="30"/>
        </w:numPr>
        <w:ind w:left="709"/>
      </w:pPr>
      <w:r w:rsidRPr="00832249">
        <w:t xml:space="preserve">Strefę podmiejską położoną w najbliższym otoczeniu miasta budują miejscowości: Moniatycze </w:t>
      </w:r>
      <w:r w:rsidR="00D81AA3" w:rsidRPr="00832249">
        <w:t xml:space="preserve">i Nowosiółki </w:t>
      </w:r>
      <w:r w:rsidRPr="00832249">
        <w:t>od strony północnej, Dziekanów, Moroczyn, Teptiuków</w:t>
      </w:r>
      <w:r w:rsidR="00D81AA3" w:rsidRPr="00832249">
        <w:t>, Świerszczów</w:t>
      </w:r>
      <w:r w:rsidRPr="00832249">
        <w:t xml:space="preserve"> i Gródek na wschodzie, Brodzica i Wolica na południowym zachodzie ora</w:t>
      </w:r>
      <w:r w:rsidR="00D81AA3" w:rsidRPr="00832249">
        <w:t xml:space="preserve">z Obrowiec od strony zachodniej oraz Czerniczyn i </w:t>
      </w:r>
      <w:proofErr w:type="spellStart"/>
      <w:r w:rsidR="00D81AA3" w:rsidRPr="00832249">
        <w:t>Łotoszyny</w:t>
      </w:r>
      <w:proofErr w:type="spellEnd"/>
      <w:r w:rsidR="00D81AA3" w:rsidRPr="00832249">
        <w:t xml:space="preserve"> na południu.</w:t>
      </w:r>
    </w:p>
    <w:p w:rsidR="00192FCA" w:rsidRDefault="00192FCA" w:rsidP="00192FCA">
      <w:pPr>
        <w:pStyle w:val="Legenda"/>
        <w:keepNext/>
        <w:spacing w:after="0"/>
      </w:pPr>
      <w:bookmarkStart w:id="58" w:name="_Toc138068504"/>
      <w:r>
        <w:lastRenderedPageBreak/>
        <w:t xml:space="preserve">Ryc. </w:t>
      </w:r>
      <w:r w:rsidR="00E20FF4">
        <w:fldChar w:fldCharType="begin"/>
      </w:r>
      <w:r w:rsidR="00E20FF4">
        <w:instrText xml:space="preserve"> SEQ Ryc. \* ARABIC </w:instrText>
      </w:r>
      <w:r w:rsidR="00E20FF4">
        <w:fldChar w:fldCharType="separate"/>
      </w:r>
      <w:r w:rsidR="0022657A">
        <w:rPr>
          <w:noProof/>
        </w:rPr>
        <w:t>8</w:t>
      </w:r>
      <w:r w:rsidR="00E20FF4">
        <w:rPr>
          <w:noProof/>
        </w:rPr>
        <w:fldChar w:fldCharType="end"/>
      </w:r>
      <w:r>
        <w:t xml:space="preserve"> Podział administracyjny </w:t>
      </w:r>
      <w:r w:rsidR="00884604">
        <w:t>Hrubieszowskiego Obszaru Funkcjonalnego</w:t>
      </w:r>
      <w:bookmarkEnd w:id="58"/>
    </w:p>
    <w:p w:rsidR="00192FCA" w:rsidRDefault="00192FCA" w:rsidP="00080187">
      <w:pPr>
        <w:ind w:firstLine="0"/>
        <w:rPr>
          <w:b/>
          <w:color w:val="984806"/>
        </w:rPr>
      </w:pPr>
      <w:r>
        <w:rPr>
          <w:b/>
          <w:noProof/>
          <w:color w:val="984806"/>
          <w:lang w:eastAsia="pl-PL"/>
        </w:rPr>
        <w:drawing>
          <wp:inline distT="0" distB="0" distL="0" distR="0" wp14:anchorId="680FFEBE" wp14:editId="48ACA8E6">
            <wp:extent cx="5753915" cy="7779327"/>
            <wp:effectExtent l="0" t="0" r="0" b="0"/>
            <wp:docPr id="291" name="Obraz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8_HOF_podział_administracyjny_a4.jpg"/>
                    <pic:cNvPicPr/>
                  </pic:nvPicPr>
                  <pic:blipFill rotWithShape="1">
                    <a:blip r:embed="rId80" cstate="print">
                      <a:extLst>
                        <a:ext uri="{28A0092B-C50C-407E-A947-70E740481C1C}">
                          <a14:useLocalDpi xmlns:a14="http://schemas.microsoft.com/office/drawing/2010/main" val="0"/>
                        </a:ext>
                      </a:extLst>
                    </a:blip>
                    <a:srcRect t="4416"/>
                    <a:stretch/>
                  </pic:blipFill>
                  <pic:spPr bwMode="auto">
                    <a:xfrm>
                      <a:off x="0" y="0"/>
                      <a:ext cx="5760720" cy="7788527"/>
                    </a:xfrm>
                    <a:prstGeom prst="rect">
                      <a:avLst/>
                    </a:prstGeom>
                    <a:ln>
                      <a:noFill/>
                    </a:ln>
                    <a:extLst>
                      <a:ext uri="{53640926-AAD7-44D8-BBD7-CCE9431645EC}">
                        <a14:shadowObscured xmlns:a14="http://schemas.microsoft.com/office/drawing/2010/main"/>
                      </a:ext>
                    </a:extLst>
                  </pic:spPr>
                </pic:pic>
              </a:graphicData>
            </a:graphic>
          </wp:inline>
        </w:drawing>
      </w:r>
    </w:p>
    <w:p w:rsidR="00192FCA" w:rsidRDefault="00192FCA" w:rsidP="00192FCA">
      <w:pPr>
        <w:rPr>
          <w:i/>
          <w:sz w:val="18"/>
          <w:szCs w:val="18"/>
        </w:rPr>
      </w:pPr>
      <w:r w:rsidRPr="00CC49BE">
        <w:rPr>
          <w:i/>
          <w:sz w:val="18"/>
          <w:szCs w:val="18"/>
        </w:rPr>
        <w:t>Źródło: Opracowanie własne</w:t>
      </w:r>
    </w:p>
    <w:p w:rsidR="002C2EDC" w:rsidRDefault="002C2EDC" w:rsidP="00192FCA">
      <w:pPr>
        <w:rPr>
          <w:i/>
          <w:sz w:val="18"/>
          <w:szCs w:val="18"/>
        </w:rPr>
      </w:pPr>
    </w:p>
    <w:p w:rsidR="00444C28" w:rsidRDefault="00444C28" w:rsidP="00004756">
      <w:r w:rsidRPr="00F53DA5">
        <w:lastRenderedPageBreak/>
        <w:t>Tabela poniżej zawiera nazwy poszczególnych miejscowości</w:t>
      </w:r>
      <w:r w:rsidRPr="00391ECB">
        <w:t xml:space="preserve"> </w:t>
      </w:r>
      <w:r>
        <w:t xml:space="preserve">Gminy Hrubieszów </w:t>
      </w:r>
      <w:r w:rsidRPr="00391ECB">
        <w:t xml:space="preserve">wraz ze wskazaniem zaplanowanych funkcji. </w:t>
      </w:r>
    </w:p>
    <w:p w:rsidR="00444C28" w:rsidRDefault="00444C28" w:rsidP="00444C28">
      <w:pPr>
        <w:pStyle w:val="Legenda"/>
        <w:keepNext/>
        <w:spacing w:after="0"/>
      </w:pPr>
      <w:bookmarkStart w:id="59" w:name="_Toc138068538"/>
      <w:r>
        <w:t xml:space="preserve">Tabela </w:t>
      </w:r>
      <w:r w:rsidR="00E20FF4">
        <w:fldChar w:fldCharType="begin"/>
      </w:r>
      <w:r w:rsidR="00E20FF4">
        <w:instrText xml:space="preserve"> SEQ Tabela \* ARABIC </w:instrText>
      </w:r>
      <w:r w:rsidR="00E20FF4">
        <w:fldChar w:fldCharType="separate"/>
      </w:r>
      <w:r w:rsidR="0022657A">
        <w:rPr>
          <w:noProof/>
        </w:rPr>
        <w:t>8</w:t>
      </w:r>
      <w:r w:rsidR="00E20FF4">
        <w:rPr>
          <w:noProof/>
        </w:rPr>
        <w:fldChar w:fldCharType="end"/>
      </w:r>
      <w:r>
        <w:t>. Struktura osadnicza Gminy Hrubieszów</w:t>
      </w:r>
      <w:bookmarkEnd w:id="59"/>
    </w:p>
    <w:tbl>
      <w:tblPr>
        <w:tblStyle w:val="Jasnasiatkaakcent2"/>
        <w:tblW w:w="0" w:type="auto"/>
        <w:tblLook w:val="04A0" w:firstRow="1" w:lastRow="0" w:firstColumn="1" w:lastColumn="0" w:noHBand="0" w:noVBand="1"/>
      </w:tblPr>
      <w:tblGrid>
        <w:gridCol w:w="4605"/>
        <w:gridCol w:w="4605"/>
      </w:tblGrid>
      <w:tr w:rsidR="00444C28" w:rsidRPr="0008520A" w:rsidTr="007F2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tcPr>
          <w:p w:rsidR="00444C28" w:rsidRPr="0008520A" w:rsidRDefault="00444C28" w:rsidP="001D4037">
            <w:pPr>
              <w:ind w:firstLine="0"/>
              <w:jc w:val="center"/>
              <w:rPr>
                <w:rFonts w:asciiTheme="minorHAnsi" w:hAnsiTheme="minorHAnsi" w:cstheme="minorHAnsi"/>
                <w:sz w:val="20"/>
                <w:szCs w:val="20"/>
              </w:rPr>
            </w:pPr>
            <w:proofErr w:type="gramStart"/>
            <w:r>
              <w:rPr>
                <w:rFonts w:asciiTheme="minorHAnsi" w:hAnsiTheme="minorHAnsi" w:cstheme="minorHAnsi"/>
                <w:sz w:val="20"/>
                <w:szCs w:val="20"/>
              </w:rPr>
              <w:t>c</w:t>
            </w:r>
            <w:r w:rsidRPr="0008520A">
              <w:rPr>
                <w:rFonts w:asciiTheme="minorHAnsi" w:hAnsiTheme="minorHAnsi" w:cstheme="minorHAnsi"/>
                <w:sz w:val="20"/>
                <w:szCs w:val="20"/>
              </w:rPr>
              <w:t>echy</w:t>
            </w:r>
            <w:proofErr w:type="gramEnd"/>
            <w:r w:rsidRPr="0008520A">
              <w:rPr>
                <w:rFonts w:asciiTheme="minorHAnsi" w:hAnsiTheme="minorHAnsi" w:cstheme="minorHAnsi"/>
                <w:sz w:val="20"/>
                <w:szCs w:val="20"/>
              </w:rPr>
              <w:t xml:space="preserve"> charakterystyczne</w:t>
            </w:r>
          </w:p>
        </w:tc>
        <w:tc>
          <w:tcPr>
            <w:tcW w:w="4605" w:type="dxa"/>
          </w:tcPr>
          <w:p w:rsidR="00444C28" w:rsidRPr="0008520A" w:rsidRDefault="00444C28" w:rsidP="001D4037">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proofErr w:type="gramStart"/>
            <w:r>
              <w:rPr>
                <w:rFonts w:asciiTheme="minorHAnsi" w:hAnsiTheme="minorHAnsi" w:cstheme="minorHAnsi"/>
                <w:sz w:val="20"/>
                <w:szCs w:val="20"/>
              </w:rPr>
              <w:t>m</w:t>
            </w:r>
            <w:r w:rsidRPr="0008520A">
              <w:rPr>
                <w:rFonts w:asciiTheme="minorHAnsi" w:hAnsiTheme="minorHAnsi" w:cstheme="minorHAnsi"/>
                <w:sz w:val="20"/>
                <w:szCs w:val="20"/>
              </w:rPr>
              <w:t>iejscowości</w:t>
            </w:r>
            <w:proofErr w:type="gramEnd"/>
          </w:p>
        </w:tc>
      </w:tr>
      <w:tr w:rsidR="00444C28" w:rsidRPr="0008520A"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vAlign w:val="center"/>
          </w:tcPr>
          <w:p w:rsidR="00444C28" w:rsidRPr="00205ADC" w:rsidRDefault="00444C28" w:rsidP="007F2303">
            <w:pPr>
              <w:spacing w:before="0"/>
              <w:ind w:firstLine="0"/>
              <w:jc w:val="left"/>
              <w:rPr>
                <w:rFonts w:asciiTheme="minorHAnsi" w:hAnsiTheme="minorHAnsi" w:cstheme="minorHAnsi"/>
                <w:b w:val="0"/>
                <w:sz w:val="20"/>
                <w:szCs w:val="20"/>
              </w:rPr>
            </w:pPr>
            <w:r w:rsidRPr="00205ADC">
              <w:rPr>
                <w:rFonts w:asciiTheme="minorHAnsi" w:hAnsiTheme="minorHAnsi" w:cstheme="minorHAnsi"/>
                <w:b w:val="0"/>
                <w:sz w:val="20"/>
                <w:szCs w:val="20"/>
              </w:rPr>
              <w:t>Jednostka osadnicza o funkcjach produkcji żywności, obsługi ludności i rolnictwa</w:t>
            </w:r>
          </w:p>
        </w:tc>
        <w:tc>
          <w:tcPr>
            <w:tcW w:w="4605" w:type="dxa"/>
          </w:tcPr>
          <w:p w:rsidR="00444C28" w:rsidRPr="0008520A" w:rsidRDefault="00444C28" w:rsidP="008E7D9F">
            <w:pPr>
              <w:spacing w:before="0"/>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 xml:space="preserve">Annopol, Brodzica, Cichobórz, </w:t>
            </w:r>
            <w:r w:rsidR="00FD2955">
              <w:rPr>
                <w:rFonts w:cstheme="minorHAnsi"/>
                <w:sz w:val="20"/>
                <w:szCs w:val="20"/>
              </w:rPr>
              <w:t>Czerniczyn, Czortowice</w:t>
            </w:r>
            <w:r>
              <w:rPr>
                <w:rFonts w:cstheme="minorHAnsi"/>
                <w:sz w:val="20"/>
                <w:szCs w:val="20"/>
              </w:rPr>
              <w:t xml:space="preserve">, Czumów, Dąbrowa, Dziekanów, Gródek, Husynne, Janki, Kobło, Kolonia Moniatycze, Kolonia Stefankowice, Kosmów, Kozodawy </w:t>
            </w:r>
            <w:proofErr w:type="spellStart"/>
            <w:r>
              <w:rPr>
                <w:rFonts w:cstheme="minorHAnsi"/>
                <w:sz w:val="20"/>
                <w:szCs w:val="20"/>
              </w:rPr>
              <w:t>Łotoszyny</w:t>
            </w:r>
            <w:proofErr w:type="spellEnd"/>
            <w:r>
              <w:rPr>
                <w:rFonts w:cstheme="minorHAnsi"/>
                <w:sz w:val="20"/>
                <w:szCs w:val="20"/>
              </w:rPr>
              <w:t xml:space="preserve">, Kułakowice Pierwsze, Kułakowice Drugie, Kułakowice Trzecie, </w:t>
            </w:r>
            <w:proofErr w:type="spellStart"/>
            <w:r>
              <w:rPr>
                <w:rFonts w:cstheme="minorHAnsi"/>
                <w:sz w:val="20"/>
                <w:szCs w:val="20"/>
              </w:rPr>
              <w:t>Masłomęcz</w:t>
            </w:r>
            <w:proofErr w:type="spellEnd"/>
            <w:r>
              <w:rPr>
                <w:rFonts w:cstheme="minorHAnsi"/>
                <w:sz w:val="20"/>
                <w:szCs w:val="20"/>
              </w:rPr>
              <w:t xml:space="preserve">, Metelin, </w:t>
            </w:r>
            <w:r w:rsidR="00FD2955">
              <w:rPr>
                <w:rFonts w:cstheme="minorHAnsi"/>
                <w:sz w:val="20"/>
                <w:szCs w:val="20"/>
              </w:rPr>
              <w:t>Mieniany, Moniatycze</w:t>
            </w:r>
            <w:r>
              <w:rPr>
                <w:rFonts w:cstheme="minorHAnsi"/>
                <w:sz w:val="20"/>
                <w:szCs w:val="20"/>
              </w:rPr>
              <w:t xml:space="preserve">, Moroczyn, Nowosiółki, Obrowiec, Stefankowice, Szpikołosy, Ślipcze, Świerszczów, Teptiuków, </w:t>
            </w:r>
            <w:proofErr w:type="spellStart"/>
            <w:r>
              <w:rPr>
                <w:rFonts w:cstheme="minorHAnsi"/>
                <w:sz w:val="20"/>
                <w:szCs w:val="20"/>
              </w:rPr>
              <w:t>Turkołówka</w:t>
            </w:r>
            <w:proofErr w:type="spellEnd"/>
            <w:r>
              <w:rPr>
                <w:rFonts w:cstheme="minorHAnsi"/>
                <w:sz w:val="20"/>
                <w:szCs w:val="20"/>
              </w:rPr>
              <w:t>, Ubrodowice, Wolica, Wołajowice</w:t>
            </w:r>
          </w:p>
        </w:tc>
      </w:tr>
      <w:tr w:rsidR="00444C28" w:rsidRPr="0008520A"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vAlign w:val="center"/>
          </w:tcPr>
          <w:p w:rsidR="00444C28" w:rsidRPr="00205ADC" w:rsidRDefault="00444C28" w:rsidP="007F2303">
            <w:pPr>
              <w:spacing w:before="0"/>
              <w:ind w:firstLine="0"/>
              <w:jc w:val="left"/>
              <w:rPr>
                <w:rFonts w:asciiTheme="minorHAnsi" w:hAnsiTheme="minorHAnsi" w:cstheme="minorHAnsi"/>
                <w:b w:val="0"/>
                <w:sz w:val="20"/>
                <w:szCs w:val="20"/>
              </w:rPr>
            </w:pPr>
            <w:r w:rsidRPr="00205ADC">
              <w:rPr>
                <w:rFonts w:asciiTheme="minorHAnsi" w:hAnsiTheme="minorHAnsi" w:cstheme="minorHAnsi"/>
                <w:b w:val="0"/>
                <w:sz w:val="20"/>
                <w:szCs w:val="20"/>
              </w:rPr>
              <w:t>Jednostka osadnicza położona na obszarze chronionym lub w strefie ochronnej</w:t>
            </w:r>
          </w:p>
        </w:tc>
        <w:tc>
          <w:tcPr>
            <w:tcW w:w="4605" w:type="dxa"/>
          </w:tcPr>
          <w:p w:rsidR="00444C28" w:rsidRPr="0008520A" w:rsidRDefault="00444C28" w:rsidP="008E7D9F">
            <w:pPr>
              <w:spacing w:before="0"/>
              <w:ind w:firstLine="0"/>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08520A">
              <w:rPr>
                <w:rFonts w:cstheme="minorHAnsi"/>
                <w:sz w:val="20"/>
                <w:szCs w:val="20"/>
              </w:rPr>
              <w:t>Annopol, Cichobórz, Czumów, Dziekanów, Gródek, Husynne, Kobło, Kolonia Moniatycze, Kolonia Stefankowice, Kosmów, Kułakowice Pierwsze, Kułakowice Trzecie, Moroczyn, Stef</w:t>
            </w:r>
            <w:r>
              <w:rPr>
                <w:rFonts w:cstheme="minorHAnsi"/>
                <w:sz w:val="20"/>
                <w:szCs w:val="20"/>
              </w:rPr>
              <w:t xml:space="preserve">ankowice, Szpikołosy, Ślipcze, </w:t>
            </w:r>
            <w:r w:rsidRPr="0008520A">
              <w:rPr>
                <w:rFonts w:cstheme="minorHAnsi"/>
                <w:sz w:val="20"/>
                <w:szCs w:val="20"/>
              </w:rPr>
              <w:t xml:space="preserve">Teptiuków, </w:t>
            </w:r>
            <w:proofErr w:type="spellStart"/>
            <w:r w:rsidRPr="0008520A">
              <w:rPr>
                <w:rFonts w:cstheme="minorHAnsi"/>
                <w:sz w:val="20"/>
                <w:szCs w:val="20"/>
              </w:rPr>
              <w:t>Turkołówka</w:t>
            </w:r>
            <w:proofErr w:type="spellEnd"/>
            <w:r w:rsidRPr="0008520A">
              <w:rPr>
                <w:rFonts w:cstheme="minorHAnsi"/>
                <w:sz w:val="20"/>
                <w:szCs w:val="20"/>
              </w:rPr>
              <w:t xml:space="preserve">, Ubrodowice, </w:t>
            </w:r>
            <w:r>
              <w:rPr>
                <w:rFonts w:cstheme="minorHAnsi"/>
                <w:sz w:val="20"/>
                <w:szCs w:val="20"/>
              </w:rPr>
              <w:t>Wołajowice</w:t>
            </w:r>
          </w:p>
        </w:tc>
      </w:tr>
      <w:tr w:rsidR="00444C28" w:rsidRPr="0008520A"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vAlign w:val="center"/>
          </w:tcPr>
          <w:p w:rsidR="00444C28" w:rsidRPr="00205ADC" w:rsidRDefault="00444C28" w:rsidP="007F2303">
            <w:pPr>
              <w:spacing w:before="0"/>
              <w:ind w:firstLine="0"/>
              <w:jc w:val="left"/>
              <w:rPr>
                <w:rFonts w:asciiTheme="minorHAnsi" w:hAnsiTheme="minorHAnsi" w:cstheme="minorHAnsi"/>
                <w:b w:val="0"/>
                <w:sz w:val="20"/>
                <w:szCs w:val="20"/>
              </w:rPr>
            </w:pPr>
            <w:r w:rsidRPr="00205ADC">
              <w:rPr>
                <w:rFonts w:asciiTheme="minorHAnsi" w:hAnsiTheme="minorHAnsi" w:cstheme="minorHAnsi"/>
                <w:b w:val="0"/>
                <w:sz w:val="20"/>
                <w:szCs w:val="20"/>
              </w:rPr>
              <w:t>Jednostka osadnicza o funkcjach obsługi usług turystyki</w:t>
            </w:r>
          </w:p>
        </w:tc>
        <w:tc>
          <w:tcPr>
            <w:tcW w:w="4605" w:type="dxa"/>
          </w:tcPr>
          <w:p w:rsidR="00444C28" w:rsidRPr="0008520A" w:rsidRDefault="00444C28" w:rsidP="004F2F2F">
            <w:pPr>
              <w:spacing w:before="0"/>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8520A">
              <w:rPr>
                <w:rFonts w:cstheme="minorHAnsi"/>
                <w:sz w:val="20"/>
                <w:szCs w:val="20"/>
              </w:rPr>
              <w:t>Cichob</w:t>
            </w:r>
            <w:r w:rsidR="004F2F2F">
              <w:rPr>
                <w:rFonts w:cstheme="minorHAnsi"/>
                <w:sz w:val="20"/>
                <w:szCs w:val="20"/>
              </w:rPr>
              <w:t xml:space="preserve">órz, Czumów, Dziekanów, </w:t>
            </w:r>
            <w:r w:rsidRPr="0008520A">
              <w:rPr>
                <w:rFonts w:cstheme="minorHAnsi"/>
                <w:sz w:val="20"/>
                <w:szCs w:val="20"/>
              </w:rPr>
              <w:t>Moniatycze</w:t>
            </w:r>
            <w:r w:rsidR="004F2F2F">
              <w:rPr>
                <w:rFonts w:cstheme="minorHAnsi"/>
                <w:sz w:val="20"/>
                <w:szCs w:val="20"/>
              </w:rPr>
              <w:t xml:space="preserve"> Kolonia</w:t>
            </w:r>
            <w:r w:rsidRPr="0008520A">
              <w:rPr>
                <w:rFonts w:cstheme="minorHAnsi"/>
                <w:sz w:val="20"/>
                <w:szCs w:val="20"/>
              </w:rPr>
              <w:t>, Stefankowice</w:t>
            </w:r>
            <w:r w:rsidR="004F2F2F" w:rsidRPr="0008520A">
              <w:rPr>
                <w:rFonts w:cstheme="minorHAnsi"/>
                <w:sz w:val="20"/>
                <w:szCs w:val="20"/>
              </w:rPr>
              <w:t xml:space="preserve"> Kolonia</w:t>
            </w:r>
            <w:r w:rsidRPr="0008520A">
              <w:rPr>
                <w:rFonts w:cstheme="minorHAnsi"/>
                <w:sz w:val="20"/>
                <w:szCs w:val="20"/>
              </w:rPr>
              <w:t>, Kosmów, Moniatycze, Stefankowice, Ślipcze, Świerszczów, Teptiuków, Wolica, Wołajowice</w:t>
            </w:r>
            <w:r w:rsidR="004F2F2F">
              <w:rPr>
                <w:rFonts w:cstheme="minorHAnsi"/>
                <w:sz w:val="20"/>
                <w:szCs w:val="20"/>
              </w:rPr>
              <w:t xml:space="preserve">, </w:t>
            </w:r>
            <w:proofErr w:type="spellStart"/>
            <w:r w:rsidR="004F2F2F">
              <w:t>Masłomęcz</w:t>
            </w:r>
            <w:proofErr w:type="spellEnd"/>
            <w:r w:rsidR="004F2F2F">
              <w:t>, Gródek, Stefankowice, Husynne</w:t>
            </w:r>
          </w:p>
        </w:tc>
      </w:tr>
      <w:tr w:rsidR="00444C28" w:rsidRPr="0008520A"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vAlign w:val="center"/>
          </w:tcPr>
          <w:p w:rsidR="00444C28" w:rsidRPr="00205ADC" w:rsidRDefault="00444C28" w:rsidP="007F2303">
            <w:pPr>
              <w:spacing w:before="0"/>
              <w:ind w:firstLine="0"/>
              <w:jc w:val="left"/>
              <w:rPr>
                <w:rFonts w:asciiTheme="minorHAnsi" w:hAnsiTheme="minorHAnsi" w:cstheme="minorHAnsi"/>
                <w:b w:val="0"/>
                <w:sz w:val="20"/>
                <w:szCs w:val="20"/>
              </w:rPr>
            </w:pPr>
            <w:r w:rsidRPr="00205ADC">
              <w:rPr>
                <w:rFonts w:asciiTheme="minorHAnsi" w:hAnsiTheme="minorHAnsi" w:cstheme="minorHAnsi"/>
                <w:b w:val="0"/>
                <w:sz w:val="20"/>
                <w:szCs w:val="20"/>
              </w:rPr>
              <w:t>Jednostka osadnicza o funkcjach obsługi działalności produkcyjnej</w:t>
            </w:r>
          </w:p>
        </w:tc>
        <w:tc>
          <w:tcPr>
            <w:tcW w:w="4605" w:type="dxa"/>
          </w:tcPr>
          <w:p w:rsidR="00444C28" w:rsidRPr="0008520A" w:rsidRDefault="00444C28" w:rsidP="004F2F2F">
            <w:pPr>
              <w:spacing w:before="0"/>
              <w:ind w:firstLine="0"/>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08520A">
              <w:rPr>
                <w:rFonts w:cstheme="minorHAnsi"/>
                <w:sz w:val="20"/>
                <w:szCs w:val="20"/>
              </w:rPr>
              <w:t xml:space="preserve">Cichobórz, Moroczyn, Świerszczów, </w:t>
            </w:r>
            <w:r w:rsidR="00872CBC">
              <w:rPr>
                <w:rFonts w:cstheme="minorHAnsi"/>
                <w:sz w:val="20"/>
                <w:szCs w:val="20"/>
              </w:rPr>
              <w:t>Metelin</w:t>
            </w:r>
          </w:p>
        </w:tc>
      </w:tr>
      <w:tr w:rsidR="00444C28" w:rsidRPr="0008520A"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vAlign w:val="center"/>
          </w:tcPr>
          <w:p w:rsidR="00444C28" w:rsidRPr="00205ADC" w:rsidRDefault="00444C28" w:rsidP="007F2303">
            <w:pPr>
              <w:spacing w:before="0"/>
              <w:ind w:firstLine="0"/>
              <w:jc w:val="left"/>
              <w:rPr>
                <w:rFonts w:asciiTheme="minorHAnsi" w:hAnsiTheme="minorHAnsi" w:cstheme="minorHAnsi"/>
                <w:b w:val="0"/>
                <w:sz w:val="20"/>
                <w:szCs w:val="20"/>
              </w:rPr>
            </w:pPr>
            <w:r w:rsidRPr="00205ADC">
              <w:rPr>
                <w:rFonts w:asciiTheme="minorHAnsi" w:hAnsiTheme="minorHAnsi" w:cstheme="minorHAnsi"/>
                <w:b w:val="0"/>
                <w:sz w:val="20"/>
                <w:szCs w:val="20"/>
              </w:rPr>
              <w:t>Jednostka osadnicza o rozproszonej zabudowie</w:t>
            </w:r>
          </w:p>
        </w:tc>
        <w:tc>
          <w:tcPr>
            <w:tcW w:w="4605" w:type="dxa"/>
          </w:tcPr>
          <w:p w:rsidR="00444C28" w:rsidRPr="0008520A" w:rsidRDefault="00444C28" w:rsidP="008E7D9F">
            <w:pPr>
              <w:spacing w:before="0"/>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8520A">
              <w:rPr>
                <w:rFonts w:cstheme="minorHAnsi"/>
                <w:sz w:val="20"/>
                <w:szCs w:val="20"/>
              </w:rPr>
              <w:t xml:space="preserve">Czortowice, Kułakowice Drugie, </w:t>
            </w:r>
            <w:r>
              <w:rPr>
                <w:rFonts w:cstheme="minorHAnsi"/>
                <w:sz w:val="20"/>
                <w:szCs w:val="20"/>
              </w:rPr>
              <w:t>Metelin</w:t>
            </w:r>
            <w:r w:rsidR="004F2F2F">
              <w:rPr>
                <w:rFonts w:cstheme="minorHAnsi"/>
                <w:sz w:val="20"/>
                <w:szCs w:val="20"/>
              </w:rPr>
              <w:t>,</w:t>
            </w:r>
            <w:r w:rsidR="004F2F2F" w:rsidRPr="0008520A">
              <w:rPr>
                <w:rFonts w:cstheme="minorHAnsi"/>
                <w:sz w:val="20"/>
                <w:szCs w:val="20"/>
              </w:rPr>
              <w:t xml:space="preserve"> </w:t>
            </w:r>
            <w:proofErr w:type="spellStart"/>
            <w:r w:rsidR="004F2F2F" w:rsidRPr="0008520A">
              <w:rPr>
                <w:rFonts w:cstheme="minorHAnsi"/>
                <w:sz w:val="20"/>
                <w:szCs w:val="20"/>
              </w:rPr>
              <w:t>Turkołówka</w:t>
            </w:r>
            <w:proofErr w:type="spellEnd"/>
          </w:p>
        </w:tc>
      </w:tr>
      <w:tr w:rsidR="00444C28" w:rsidRPr="0008520A"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vAlign w:val="center"/>
          </w:tcPr>
          <w:p w:rsidR="00444C28" w:rsidRPr="00205ADC" w:rsidRDefault="00444C28" w:rsidP="007F2303">
            <w:pPr>
              <w:spacing w:before="0"/>
              <w:ind w:firstLine="0"/>
              <w:jc w:val="left"/>
              <w:rPr>
                <w:rFonts w:asciiTheme="minorHAnsi" w:hAnsiTheme="minorHAnsi" w:cstheme="minorHAnsi"/>
                <w:b w:val="0"/>
                <w:sz w:val="20"/>
                <w:szCs w:val="20"/>
              </w:rPr>
            </w:pPr>
            <w:r w:rsidRPr="00205ADC">
              <w:rPr>
                <w:rFonts w:asciiTheme="minorHAnsi" w:hAnsiTheme="minorHAnsi" w:cstheme="minorHAnsi"/>
                <w:b w:val="0"/>
                <w:sz w:val="20"/>
                <w:szCs w:val="20"/>
              </w:rPr>
              <w:t>Jednostka osadnicza o funkcjach rzemiosła produkcyjnego</w:t>
            </w:r>
          </w:p>
        </w:tc>
        <w:tc>
          <w:tcPr>
            <w:tcW w:w="4605" w:type="dxa"/>
          </w:tcPr>
          <w:p w:rsidR="00444C28" w:rsidRPr="0008520A" w:rsidRDefault="00444C28" w:rsidP="008E7D9F">
            <w:pPr>
              <w:spacing w:before="0"/>
              <w:ind w:firstLine="0"/>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08520A">
              <w:rPr>
                <w:rFonts w:cstheme="minorHAnsi"/>
                <w:sz w:val="20"/>
                <w:szCs w:val="20"/>
              </w:rPr>
              <w:t>Dziekanów, Nowosiółki, Obrowiec, Stefankowice, Szpikołosy, Teptiuków</w:t>
            </w:r>
            <w:r w:rsidR="00872CBC">
              <w:rPr>
                <w:rFonts w:cstheme="minorHAnsi"/>
                <w:sz w:val="20"/>
                <w:szCs w:val="20"/>
              </w:rPr>
              <w:t xml:space="preserve"> i </w:t>
            </w:r>
            <w:r w:rsidR="004F2F2F">
              <w:rPr>
                <w:rFonts w:cstheme="minorHAnsi"/>
                <w:sz w:val="20"/>
                <w:szCs w:val="20"/>
              </w:rPr>
              <w:t>Metelin</w:t>
            </w:r>
          </w:p>
        </w:tc>
      </w:tr>
      <w:tr w:rsidR="00444C28" w:rsidRPr="0008520A"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5" w:type="dxa"/>
            <w:vAlign w:val="center"/>
          </w:tcPr>
          <w:p w:rsidR="00444C28" w:rsidRPr="00205ADC" w:rsidRDefault="00444C28" w:rsidP="007F2303">
            <w:pPr>
              <w:spacing w:before="0"/>
              <w:ind w:firstLine="0"/>
              <w:jc w:val="left"/>
              <w:rPr>
                <w:rFonts w:asciiTheme="minorHAnsi" w:hAnsiTheme="minorHAnsi" w:cstheme="minorHAnsi"/>
                <w:b w:val="0"/>
                <w:sz w:val="20"/>
                <w:szCs w:val="20"/>
              </w:rPr>
            </w:pPr>
            <w:r w:rsidRPr="00205ADC">
              <w:rPr>
                <w:rFonts w:asciiTheme="minorHAnsi" w:hAnsiTheme="minorHAnsi" w:cstheme="minorHAnsi"/>
                <w:b w:val="0"/>
                <w:sz w:val="20"/>
                <w:szCs w:val="20"/>
              </w:rPr>
              <w:t>Jednostka osadnicza o działalności przetwórczej</w:t>
            </w:r>
          </w:p>
        </w:tc>
        <w:tc>
          <w:tcPr>
            <w:tcW w:w="4605" w:type="dxa"/>
          </w:tcPr>
          <w:p w:rsidR="00444C28" w:rsidRPr="0008520A" w:rsidRDefault="00444C28" w:rsidP="008E7D9F">
            <w:pPr>
              <w:spacing w:before="0"/>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8520A">
              <w:rPr>
                <w:rFonts w:cstheme="minorHAnsi"/>
                <w:sz w:val="20"/>
                <w:szCs w:val="20"/>
              </w:rPr>
              <w:t>Moroczyn, Obrowiec, Teptiuków</w:t>
            </w:r>
            <w:r>
              <w:rPr>
                <w:rFonts w:cstheme="minorHAnsi"/>
                <w:sz w:val="20"/>
                <w:szCs w:val="20"/>
              </w:rPr>
              <w:t>, Nowosiółki</w:t>
            </w:r>
            <w:r w:rsidR="00872CBC">
              <w:rPr>
                <w:rFonts w:cstheme="minorHAnsi"/>
                <w:sz w:val="20"/>
                <w:szCs w:val="20"/>
              </w:rPr>
              <w:t>, Moniatycze</w:t>
            </w:r>
          </w:p>
        </w:tc>
      </w:tr>
    </w:tbl>
    <w:p w:rsidR="00444C28" w:rsidRPr="0008520A" w:rsidRDefault="00444C28" w:rsidP="00444C28">
      <w:pPr>
        <w:spacing w:before="0" w:after="120"/>
        <w:jc w:val="left"/>
        <w:rPr>
          <w:i/>
          <w:sz w:val="18"/>
          <w:szCs w:val="18"/>
        </w:rPr>
      </w:pPr>
      <w:r w:rsidRPr="0008520A">
        <w:rPr>
          <w:i/>
          <w:sz w:val="18"/>
          <w:szCs w:val="18"/>
        </w:rPr>
        <w:t>Źródło: Uchwała Nr XII/84/2004 Rady Gminy Hrubieszów z dnia 29 maja 2004 roku w sprawie uchwalenia miejscowego planu zagospodarowania przestrzennego gminy Hrubieszów</w:t>
      </w:r>
    </w:p>
    <w:p w:rsidR="0027465A" w:rsidRPr="0027465A" w:rsidRDefault="0027465A" w:rsidP="00A13FA7">
      <w:pPr>
        <w:numPr>
          <w:ilvl w:val="0"/>
          <w:numId w:val="33"/>
        </w:numPr>
        <w:spacing w:before="0"/>
        <w:ind w:left="709"/>
        <w:rPr>
          <w:rFonts w:cs="Times New Roman"/>
        </w:rPr>
      </w:pPr>
      <w:r>
        <w:t>Układ obecnej sieci osadniczej HOF rozwiną się w oparciu o główne doliny rzeczne oraz wzdłuż głównych ciągów komunikacyjnych stanowiących połączenie terenu z centralnie położonym miastem. Wszystkie miejscowości gminne połączone są siecią dróg z miastem umożliwiających tworzenie wzajemnych więzi gospodarczych. Istniejący układ przestrzenny HOF charakteryzuje występowanie zarówno zwartych jak i rozproszonych form osadnictwa.</w:t>
      </w:r>
      <w:r w:rsidR="00832249">
        <w:t xml:space="preserve"> Tereny osiedleńcze w granicach miasta rozwijały się </w:t>
      </w:r>
      <w:r w:rsidR="00832249" w:rsidRPr="00E75201">
        <w:t>przy głównych szlakach komunikacyjnych prowadzących koncentrycznie do centrum</w:t>
      </w:r>
      <w:r w:rsidR="00832249">
        <w:t>.</w:t>
      </w:r>
    </w:p>
    <w:p w:rsidR="00444C28" w:rsidRPr="00444C28" w:rsidRDefault="00444C28" w:rsidP="00A13FA7">
      <w:pPr>
        <w:numPr>
          <w:ilvl w:val="0"/>
          <w:numId w:val="33"/>
        </w:numPr>
        <w:spacing w:before="0"/>
        <w:ind w:left="709"/>
        <w:rPr>
          <w:rFonts w:cs="Times New Roman"/>
        </w:rPr>
      </w:pPr>
      <w:r>
        <w:rPr>
          <w:rFonts w:cs="Times New Roman"/>
        </w:rPr>
        <w:t>Poza dominującym pod tym kontem udziałem Miasta Hrubieszów u</w:t>
      </w:r>
      <w:r w:rsidRPr="00F53DA5">
        <w:rPr>
          <w:rFonts w:cs="Times New Roman"/>
        </w:rPr>
        <w:t xml:space="preserve">kład osadniczy cechuje się dość równomiernym rozmieszczeniem liczby ludności w </w:t>
      </w:r>
      <w:r>
        <w:rPr>
          <w:rFonts w:cs="Times New Roman"/>
        </w:rPr>
        <w:t>HOF</w:t>
      </w:r>
      <w:r w:rsidRPr="00F53DA5">
        <w:rPr>
          <w:rFonts w:cs="Times New Roman"/>
        </w:rPr>
        <w:t>, przy czym największą rolę</w:t>
      </w:r>
      <w:r>
        <w:rPr>
          <w:rFonts w:cs="Times New Roman"/>
        </w:rPr>
        <w:t xml:space="preserve"> w </w:t>
      </w:r>
      <w:r w:rsidRPr="00444C28">
        <w:rPr>
          <w:rFonts w:cs="Times New Roman"/>
        </w:rPr>
        <w:t xml:space="preserve">tym zakresie odgrywają takie jednostki jak: Czerniczyn (6,48% ludności gminny), Dziekanów (4,97%), Mieniany (4,82%); Husynne (4,46%) oraz Szpikołosy (4,06%). </w:t>
      </w:r>
      <w:r w:rsidRPr="00444C28">
        <w:rPr>
          <w:rFonts w:cs="Times New Roman"/>
        </w:rPr>
        <w:br/>
        <w:t xml:space="preserve">Z kolei najmniej ludności zamieszkuje w takich sołectwach jak: </w:t>
      </w:r>
      <w:proofErr w:type="spellStart"/>
      <w:r w:rsidRPr="00444C28">
        <w:rPr>
          <w:rFonts w:cs="Times New Roman"/>
        </w:rPr>
        <w:t>Turkołówka</w:t>
      </w:r>
      <w:proofErr w:type="spellEnd"/>
      <w:r w:rsidRPr="00444C28">
        <w:rPr>
          <w:rFonts w:cs="Times New Roman"/>
        </w:rPr>
        <w:t xml:space="preserve"> (0,24% ludności gminy), Kułakowice (0,69%), Czortowice (0,94%), Annopol (1,05%) oraz </w:t>
      </w:r>
      <w:proofErr w:type="spellStart"/>
      <w:r w:rsidRPr="00444C28">
        <w:rPr>
          <w:rFonts w:cs="Times New Roman"/>
        </w:rPr>
        <w:t>Łotoszany</w:t>
      </w:r>
      <w:proofErr w:type="spellEnd"/>
      <w:r w:rsidRPr="00444C28">
        <w:rPr>
          <w:rFonts w:cs="Times New Roman"/>
        </w:rPr>
        <w:t xml:space="preserve"> (1,05%). W</w:t>
      </w:r>
      <w:r>
        <w:rPr>
          <w:rFonts w:cs="Times New Roman"/>
        </w:rPr>
        <w:t> tych</w:t>
      </w:r>
      <w:r w:rsidRPr="00444C28">
        <w:rPr>
          <w:rFonts w:cs="Times New Roman"/>
        </w:rPr>
        <w:t xml:space="preserve"> miejscowościach też nastąpił największy ubytek ludzi na przestrzeni ostatnich 20 lat. </w:t>
      </w:r>
    </w:p>
    <w:p w:rsidR="008E7D9F" w:rsidRPr="008D02FB" w:rsidRDefault="008E7D9F" w:rsidP="00A13FA7">
      <w:pPr>
        <w:pStyle w:val="Akapitzlist"/>
        <w:numPr>
          <w:ilvl w:val="0"/>
          <w:numId w:val="32"/>
        </w:numPr>
        <w:spacing w:before="0" w:after="200"/>
        <w:rPr>
          <w:rFonts w:asciiTheme="minorHAnsi" w:hAnsiTheme="minorHAnsi" w:cstheme="minorHAnsi"/>
        </w:rPr>
      </w:pPr>
      <w:r w:rsidRPr="008D02FB">
        <w:rPr>
          <w:rFonts w:asciiTheme="minorHAnsi" w:hAnsiTheme="minorHAnsi" w:cstheme="minorHAnsi"/>
        </w:rPr>
        <w:lastRenderedPageBreak/>
        <w:t>Miasto Hrubieszów kreuje ruch osadniczy w wybranych miejscowościach Gminy Hrubieszów, czego efektem są pozytywne trendy demograficzne w tych miejscowościach (Gródek, Moroczyn, Teptiuków).  W samym mieście pozytywne trendy demograficzne zaobserwować można na osiedlu nr 10 „Zielone”.</w:t>
      </w:r>
    </w:p>
    <w:p w:rsidR="00192FCA" w:rsidRDefault="00192FCA" w:rsidP="00192FCA">
      <w:pPr>
        <w:pStyle w:val="Legenda"/>
        <w:keepNext/>
      </w:pPr>
      <w:bookmarkStart w:id="60" w:name="_Toc138068505"/>
      <w:r>
        <w:t xml:space="preserve">Ryc. </w:t>
      </w:r>
      <w:r w:rsidR="00E20FF4">
        <w:fldChar w:fldCharType="begin"/>
      </w:r>
      <w:r w:rsidR="00E20FF4">
        <w:instrText xml:space="preserve"> SEQ Ryc. \* ARABI</w:instrText>
      </w:r>
      <w:r w:rsidR="00E20FF4">
        <w:instrText xml:space="preserve">C </w:instrText>
      </w:r>
      <w:r w:rsidR="00E20FF4">
        <w:fldChar w:fldCharType="separate"/>
      </w:r>
      <w:r w:rsidR="0022657A">
        <w:rPr>
          <w:noProof/>
        </w:rPr>
        <w:t>9</w:t>
      </w:r>
      <w:r w:rsidR="00E20FF4">
        <w:rPr>
          <w:noProof/>
        </w:rPr>
        <w:fldChar w:fldCharType="end"/>
      </w:r>
      <w:r>
        <w:t>. Układ osadniczy wraz z trendami demograficznymi na poziomie sołectw i osiedli</w:t>
      </w:r>
      <w:bookmarkEnd w:id="60"/>
    </w:p>
    <w:p w:rsidR="00CC49BE" w:rsidRDefault="00192FCA" w:rsidP="00080187">
      <w:pPr>
        <w:ind w:firstLine="0"/>
      </w:pPr>
      <w:r>
        <w:rPr>
          <w:noProof/>
          <w:lang w:eastAsia="pl-PL"/>
        </w:rPr>
        <w:drawing>
          <wp:inline distT="0" distB="0" distL="0" distR="0" wp14:anchorId="769BE224" wp14:editId="553F8473">
            <wp:extent cx="5631267" cy="7356764"/>
            <wp:effectExtent l="0" t="0" r="7620" b="0"/>
            <wp:docPr id="290" name="Obraz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1_HOF_demografia_a4.jpg"/>
                    <pic:cNvPicPr/>
                  </pic:nvPicPr>
                  <pic:blipFill rotWithShape="1">
                    <a:blip r:embed="rId81" cstate="print">
                      <a:extLst>
                        <a:ext uri="{28A0092B-C50C-407E-A947-70E740481C1C}">
                          <a14:useLocalDpi xmlns:a14="http://schemas.microsoft.com/office/drawing/2010/main" val="0"/>
                        </a:ext>
                      </a:extLst>
                    </a:blip>
                    <a:srcRect t="7638"/>
                    <a:stretch/>
                  </pic:blipFill>
                  <pic:spPr bwMode="auto">
                    <a:xfrm>
                      <a:off x="0" y="0"/>
                      <a:ext cx="5631267" cy="7356764"/>
                    </a:xfrm>
                    <a:prstGeom prst="rect">
                      <a:avLst/>
                    </a:prstGeom>
                    <a:ln>
                      <a:noFill/>
                    </a:ln>
                    <a:extLst>
                      <a:ext uri="{53640926-AAD7-44D8-BBD7-CCE9431645EC}">
                        <a14:shadowObscured xmlns:a14="http://schemas.microsoft.com/office/drawing/2010/main"/>
                      </a:ext>
                    </a:extLst>
                  </pic:spPr>
                </pic:pic>
              </a:graphicData>
            </a:graphic>
          </wp:inline>
        </w:drawing>
      </w:r>
    </w:p>
    <w:p w:rsidR="0056517C" w:rsidRDefault="00192FCA" w:rsidP="00192FCA">
      <w:pPr>
        <w:rPr>
          <w:i/>
          <w:sz w:val="18"/>
          <w:szCs w:val="18"/>
        </w:rPr>
      </w:pPr>
      <w:r w:rsidRPr="00CC49BE">
        <w:rPr>
          <w:i/>
          <w:sz w:val="18"/>
          <w:szCs w:val="18"/>
        </w:rPr>
        <w:t>Źródło: Opracowanie własne</w:t>
      </w:r>
    </w:p>
    <w:p w:rsidR="0012352F" w:rsidRPr="00163727" w:rsidRDefault="0012352F" w:rsidP="0012352F">
      <w:pPr>
        <w:rPr>
          <w:b/>
          <w:color w:val="0292DF" w:themeColor="accent1" w:themeShade="BF"/>
        </w:rPr>
      </w:pPr>
      <w:r w:rsidRPr="00163727">
        <w:rPr>
          <w:b/>
          <w:color w:val="0292DF" w:themeColor="accent1" w:themeShade="BF"/>
        </w:rPr>
        <w:lastRenderedPageBreak/>
        <w:t>Tereny otwarte i obszary rolnicze:</w:t>
      </w:r>
    </w:p>
    <w:p w:rsidR="0012352F" w:rsidRDefault="0012352F" w:rsidP="0012352F">
      <w:pPr>
        <w:pStyle w:val="Legenda"/>
        <w:keepNext/>
        <w:spacing w:after="0"/>
      </w:pPr>
      <w:bookmarkStart w:id="61" w:name="_Toc138068506"/>
      <w:r>
        <w:t xml:space="preserve">Ryc. </w:t>
      </w:r>
      <w:r w:rsidR="00E20FF4">
        <w:fldChar w:fldCharType="begin"/>
      </w:r>
      <w:r w:rsidR="00E20FF4">
        <w:instrText xml:space="preserve"> SEQ Ryc. \* ARABIC </w:instrText>
      </w:r>
      <w:r w:rsidR="00E20FF4">
        <w:fldChar w:fldCharType="separate"/>
      </w:r>
      <w:r w:rsidR="0022657A">
        <w:rPr>
          <w:noProof/>
        </w:rPr>
        <w:t>10</w:t>
      </w:r>
      <w:r w:rsidR="00E20FF4">
        <w:rPr>
          <w:noProof/>
        </w:rPr>
        <w:fldChar w:fldCharType="end"/>
      </w:r>
      <w:r>
        <w:t>. Układ jednostek osadniczych wraz z otaczającymi je gruntami</w:t>
      </w:r>
      <w:bookmarkEnd w:id="61"/>
    </w:p>
    <w:p w:rsidR="0012352F" w:rsidRDefault="0012352F" w:rsidP="0012352F">
      <w:pPr>
        <w:spacing w:before="0" w:after="0"/>
        <w:rPr>
          <w:i/>
          <w:sz w:val="18"/>
          <w:szCs w:val="18"/>
        </w:rPr>
      </w:pPr>
      <w:r>
        <w:rPr>
          <w:i/>
          <w:noProof/>
          <w:sz w:val="18"/>
          <w:szCs w:val="18"/>
          <w:lang w:eastAsia="pl-PL"/>
        </w:rPr>
        <w:drawing>
          <wp:inline distT="0" distB="0" distL="0" distR="0" wp14:anchorId="00C915E9" wp14:editId="3D5A2EDC">
            <wp:extent cx="5759450" cy="7702024"/>
            <wp:effectExtent l="0" t="0" r="0" b="0"/>
            <wp:docPr id="294" name="Obraz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F_aktualne_pokrycie.jpg"/>
                    <pic:cNvPicPr/>
                  </pic:nvPicPr>
                  <pic:blipFill rotWithShape="1">
                    <a:blip r:embed="rId82" cstate="print">
                      <a:extLst>
                        <a:ext uri="{28A0092B-C50C-407E-A947-70E740481C1C}">
                          <a14:useLocalDpi xmlns:a14="http://schemas.microsoft.com/office/drawing/2010/main" val="0"/>
                        </a:ext>
                      </a:extLst>
                    </a:blip>
                    <a:srcRect t="5457"/>
                    <a:stretch/>
                  </pic:blipFill>
                  <pic:spPr bwMode="auto">
                    <a:xfrm>
                      <a:off x="0" y="0"/>
                      <a:ext cx="5760720" cy="7703722"/>
                    </a:xfrm>
                    <a:prstGeom prst="rect">
                      <a:avLst/>
                    </a:prstGeom>
                    <a:ln>
                      <a:noFill/>
                    </a:ln>
                    <a:extLst>
                      <a:ext uri="{53640926-AAD7-44D8-BBD7-CCE9431645EC}">
                        <a14:shadowObscured xmlns:a14="http://schemas.microsoft.com/office/drawing/2010/main"/>
                      </a:ext>
                    </a:extLst>
                  </pic:spPr>
                </pic:pic>
              </a:graphicData>
            </a:graphic>
          </wp:inline>
        </w:drawing>
      </w:r>
    </w:p>
    <w:p w:rsidR="0012352F" w:rsidRDefault="0012352F" w:rsidP="0012352F">
      <w:pPr>
        <w:rPr>
          <w:i/>
          <w:sz w:val="18"/>
          <w:szCs w:val="18"/>
        </w:rPr>
      </w:pPr>
      <w:r w:rsidRPr="00CC49BE">
        <w:rPr>
          <w:i/>
          <w:sz w:val="18"/>
          <w:szCs w:val="18"/>
        </w:rPr>
        <w:t>Źródło: Opracowanie własne</w:t>
      </w:r>
    </w:p>
    <w:p w:rsidR="008D02FB" w:rsidRDefault="008D02FB" w:rsidP="0012352F">
      <w:pPr>
        <w:rPr>
          <w:i/>
          <w:sz w:val="18"/>
          <w:szCs w:val="18"/>
        </w:rPr>
      </w:pPr>
    </w:p>
    <w:p w:rsidR="0012352F" w:rsidRDefault="0012352F" w:rsidP="00A13FA7">
      <w:pPr>
        <w:pStyle w:val="Akapitzlist"/>
        <w:numPr>
          <w:ilvl w:val="0"/>
          <w:numId w:val="32"/>
        </w:numPr>
      </w:pPr>
      <w:r>
        <w:lastRenderedPageBreak/>
        <w:t>Tereny otwarte obejmują przeważającą część Hrubieszowskiego Obszaru Funkcjonalnego i </w:t>
      </w:r>
      <w:r w:rsidRPr="008123CB">
        <w:t>stanowią podstawową bazę funkcjonowania rolnictwa oraz leśnictwa</w:t>
      </w:r>
      <w:r>
        <w:t xml:space="preserve">. Jednocześnie tworzą </w:t>
      </w:r>
      <w:r w:rsidRPr="00D55A53">
        <w:rPr>
          <w:rFonts w:asciiTheme="majorHAnsi" w:hAnsiTheme="majorHAnsi" w:cs="Times New Roman"/>
        </w:rPr>
        <w:t xml:space="preserve">potencjał przyrodniczo-krajobrazowy, a w wielu rejonach także atrakcyjne środowisko rozwoju funkcji rekreacyjno-turystycznej. Tereny te – użytkowane </w:t>
      </w:r>
      <w:proofErr w:type="gramStart"/>
      <w:r w:rsidRPr="00D55A53">
        <w:rPr>
          <w:rFonts w:asciiTheme="majorHAnsi" w:hAnsiTheme="majorHAnsi" w:cs="Times New Roman"/>
        </w:rPr>
        <w:t>są jako</w:t>
      </w:r>
      <w:proofErr w:type="gramEnd"/>
      <w:r w:rsidRPr="00D55A53">
        <w:rPr>
          <w:rFonts w:asciiTheme="majorHAnsi" w:hAnsiTheme="majorHAnsi" w:cs="Times New Roman"/>
        </w:rPr>
        <w:t xml:space="preserve"> pola uprawne, lasy, łąki i pastwiska, wody powierzchniowe, zadrzewie</w:t>
      </w:r>
      <w:r>
        <w:rPr>
          <w:rFonts w:asciiTheme="majorHAnsi" w:hAnsiTheme="majorHAnsi" w:cs="Times New Roman"/>
        </w:rPr>
        <w:t>nia, tereny rekreacyjne i inne.</w:t>
      </w:r>
      <w:r w:rsidRPr="00D55A53">
        <w:rPr>
          <w:rFonts w:asciiTheme="majorHAnsi" w:hAnsiTheme="majorHAnsi" w:cs="Times New Roman"/>
        </w:rPr>
        <w:t xml:space="preserve"> </w:t>
      </w:r>
      <w:r>
        <w:rPr>
          <w:rFonts w:asciiTheme="majorHAnsi" w:hAnsiTheme="majorHAnsi" w:cs="Times New Roman"/>
        </w:rPr>
        <w:t>U</w:t>
      </w:r>
      <w:r>
        <w:t>żytki rolne stanowią 82,70</w:t>
      </w:r>
      <w:r w:rsidRPr="003A5508">
        <w:t xml:space="preserve">% powierzchni całkowitej obszaru </w:t>
      </w:r>
      <w:r>
        <w:t xml:space="preserve">HOF </w:t>
      </w:r>
      <w:r w:rsidRPr="003A5508">
        <w:t>(</w:t>
      </w:r>
      <w:r>
        <w:t>24 169</w:t>
      </w:r>
      <w:r w:rsidRPr="003A5508">
        <w:t xml:space="preserve"> ha)</w:t>
      </w:r>
      <w:r>
        <w:t>.</w:t>
      </w:r>
    </w:p>
    <w:p w:rsidR="0012352F" w:rsidRDefault="0012352F" w:rsidP="00A13FA7">
      <w:pPr>
        <w:pStyle w:val="Akapitzlist"/>
        <w:numPr>
          <w:ilvl w:val="0"/>
          <w:numId w:val="32"/>
        </w:numPr>
      </w:pPr>
      <w:r>
        <w:t>Ze względu na uwarunkowania zagospodarowania przestrzennego Gminy Hrubieszów i potrzeby ochrony wartości przyrodniczych, kulturowych i krajobrazowych wyznaczone zostały obszary otwarte, które mają zostać wolne od zabudowy. Jest to baza terenu przeznaczona pod funkcje rolnicze.</w:t>
      </w:r>
    </w:p>
    <w:p w:rsidR="0012352F" w:rsidRDefault="0012352F" w:rsidP="00A13FA7">
      <w:pPr>
        <w:pStyle w:val="Akapitzlist"/>
        <w:numPr>
          <w:ilvl w:val="0"/>
          <w:numId w:val="31"/>
        </w:numPr>
        <w:spacing w:after="240"/>
        <w:ind w:left="709"/>
      </w:pPr>
      <w:r>
        <w:t>Gmina Miejska Hrubieszów posiada duże rezerwy terenowe w swoich granicach administracyjnych. Tereny otwarte zlokalizowane są głównie na północy i południu od centrum i dominują tam tereny rolne, a w dolinie rzeki Huczwy tereny łąkowe.</w:t>
      </w:r>
    </w:p>
    <w:p w:rsidR="0056517C" w:rsidRPr="00163727" w:rsidRDefault="0012352F" w:rsidP="0012352F">
      <w:pPr>
        <w:rPr>
          <w:b/>
          <w:color w:val="0292DF" w:themeColor="accent1" w:themeShade="BF"/>
        </w:rPr>
      </w:pPr>
      <w:r w:rsidRPr="00163727">
        <w:rPr>
          <w:b/>
          <w:color w:val="0292DF" w:themeColor="accent1" w:themeShade="BF"/>
        </w:rPr>
        <w:t>Sieć komunikacyjna:</w:t>
      </w:r>
    </w:p>
    <w:p w:rsidR="0012352F" w:rsidRPr="00D11896" w:rsidRDefault="0012352F" w:rsidP="00A13FA7">
      <w:pPr>
        <w:pStyle w:val="Akapitzlist"/>
        <w:numPr>
          <w:ilvl w:val="0"/>
          <w:numId w:val="32"/>
        </w:numPr>
        <w:rPr>
          <w:b/>
          <w:color w:val="984806"/>
        </w:rPr>
      </w:pPr>
      <w:r>
        <w:t xml:space="preserve">Dostępność komunikacyjna Hrubieszowskiego Obszaru Funkcjonalnego jest dość ograniczona, co ma </w:t>
      </w:r>
      <w:r w:rsidRPr="00D11896">
        <w:rPr>
          <w:rFonts w:eastAsia="Calibri" w:cstheme="minorHAnsi"/>
        </w:rPr>
        <w:t>negatywny wpływ na jego atrakcyjność inwestycyjną i turystyczną.</w:t>
      </w:r>
      <w:r>
        <w:t xml:space="preserve"> Wynika to głównie z faktu peryferyjnego położenia, z dala od głównych szlaków komunikacyjnych (tj. autostrad i dróg ekspresowych) oraz niezadawalającego stanu technicz</w:t>
      </w:r>
      <w:r w:rsidR="00D81AA3">
        <w:t xml:space="preserve">nego dróg dojazdowych do miasta </w:t>
      </w:r>
      <w:r w:rsidR="00D81AA3" w:rsidRPr="00A34C14">
        <w:t xml:space="preserve">(powiatowych, </w:t>
      </w:r>
      <w:r w:rsidR="00515862" w:rsidRPr="00A34C14">
        <w:t>krajowej i wojewódzkiej).</w:t>
      </w:r>
      <w:r w:rsidR="000D1E34">
        <w:t xml:space="preserve"> W HOF również układ ścieżek rowerowych jest słabo rozwinięty.</w:t>
      </w:r>
    </w:p>
    <w:p w:rsidR="0012352F" w:rsidRPr="00D11896" w:rsidRDefault="0012352F" w:rsidP="00A13FA7">
      <w:pPr>
        <w:pStyle w:val="Akapitzlist"/>
        <w:numPr>
          <w:ilvl w:val="0"/>
          <w:numId w:val="32"/>
        </w:numPr>
        <w:rPr>
          <w:rFonts w:eastAsia="Candara" w:cs="Times New Roman"/>
        </w:rPr>
      </w:pPr>
      <w:r>
        <w:rPr>
          <w:rFonts w:eastAsia="Candara" w:cs="Times New Roman"/>
        </w:rPr>
        <w:t>T</w:t>
      </w:r>
      <w:r w:rsidRPr="00D11896">
        <w:rPr>
          <w:rFonts w:eastAsia="Candara" w:cs="Times New Roman"/>
        </w:rPr>
        <w:t xml:space="preserve">eren HOF staje się obszarem wykluczonym </w:t>
      </w:r>
      <w:r w:rsidR="00515862" w:rsidRPr="00D11896">
        <w:rPr>
          <w:rFonts w:eastAsia="Candara" w:cs="Times New Roman"/>
        </w:rPr>
        <w:t xml:space="preserve">komunikacyjnie. </w:t>
      </w:r>
      <w:r w:rsidRPr="00D11896">
        <w:rPr>
          <w:rFonts w:eastAsia="Candara" w:cs="Times New Roman"/>
        </w:rPr>
        <w:t xml:space="preserve">W mieście po </w:t>
      </w:r>
      <w:r w:rsidR="009773E0">
        <w:rPr>
          <w:rFonts w:eastAsia="Candara" w:cs="Times New Roman"/>
        </w:rPr>
        <w:t>likwidacji</w:t>
      </w:r>
      <w:r w:rsidRPr="00D11896">
        <w:rPr>
          <w:rFonts w:eastAsia="Candara" w:cs="Times New Roman"/>
        </w:rPr>
        <w:t xml:space="preserve"> PKS nie ma centralnego dworca komunikacji, a połączenia szczególnie kolejowe z dużymi ośrodkami w kraju są bardzo </w:t>
      </w:r>
      <w:r w:rsidR="00F061E4" w:rsidRPr="00D11896">
        <w:rPr>
          <w:rFonts w:eastAsia="Candara" w:cs="Times New Roman"/>
        </w:rPr>
        <w:t>słabe</w:t>
      </w:r>
      <w:r w:rsidR="00515862">
        <w:rPr>
          <w:rStyle w:val="Odwoanieprzypisudolnego"/>
          <w:rFonts w:eastAsia="Candara" w:cs="Times New Roman"/>
        </w:rPr>
        <w:footnoteReference w:id="29"/>
      </w:r>
      <w:r w:rsidR="00042991">
        <w:rPr>
          <w:rFonts w:eastAsia="Candara" w:cs="Times New Roman"/>
        </w:rPr>
        <w:t>. W większości połączenia kolejowe są zawieszane lub prowadzony jest transport zamienny – na stacji kolejowej w Zamościu podstawiane są autokary.</w:t>
      </w:r>
      <w:r w:rsidR="00A3317E">
        <w:rPr>
          <w:rFonts w:eastAsia="Candara" w:cs="Times New Roman"/>
        </w:rPr>
        <w:t xml:space="preserve"> </w:t>
      </w:r>
      <w:r w:rsidR="00A3317E" w:rsidRPr="00E320BC">
        <w:rPr>
          <w:rFonts w:eastAsia="Candara" w:cs="Candara"/>
        </w:rPr>
        <w:t>Na linii kolejowej nr 72 Zawada- Hrubieszów Miasto pomiędzy przystankami Zamość Wschodni i Hrubieszów Miasto nie jest prowadzony ruch regionalny. Linia kolejowa nie spełnia wymogów stanu infrastruktury kolejowej, nie jest zelektryfikowana.</w:t>
      </w:r>
    </w:p>
    <w:p w:rsidR="0012352F" w:rsidRPr="00FE5D2B" w:rsidRDefault="0012352F" w:rsidP="00A13FA7">
      <w:pPr>
        <w:pStyle w:val="Akapitzlist"/>
        <w:numPr>
          <w:ilvl w:val="0"/>
          <w:numId w:val="32"/>
        </w:numPr>
        <w:rPr>
          <w:b/>
          <w:color w:val="984806"/>
        </w:rPr>
      </w:pPr>
      <w:r>
        <w:t>W Mieście</w:t>
      </w:r>
      <w:r w:rsidRPr="007B3C94">
        <w:t xml:space="preserve"> Hrubieszów znajduje się polsko-ukraińskie kolejowe przejście graniczne Hrubieszów-</w:t>
      </w:r>
      <w:proofErr w:type="spellStart"/>
      <w:r w:rsidRPr="007B3C94">
        <w:t>Izov</w:t>
      </w:r>
      <w:proofErr w:type="spellEnd"/>
      <w:r w:rsidRPr="007B3C94">
        <w:t xml:space="preserve">, obsługiwane przez Placówkę Straży Granicznej w Hrubieszowie. Geograficznie granica Państwa znajduje się na terenie Gminy Hrubieszów w Gródku, ale infrastrukturalno-funkcjonalnie przejście graniczne usytuowane jest w Mieście Hrubieszów na stacji granicznej Hrubieszów LHS. </w:t>
      </w:r>
      <w:r w:rsidRPr="007B3C94">
        <w:rPr>
          <w:rFonts w:cstheme="minorHAnsi"/>
          <w:shd w:val="clear" w:color="auto" w:fill="FFFFFF"/>
        </w:rPr>
        <w:t>Dopuszczony jest ruch osób oraz środków transportowych i towarów niezależnie od przynależności państwowej oraz </w:t>
      </w:r>
      <w:hyperlink r:id="rId83" w:tooltip="Mały ruch graniczny" w:history="1">
        <w:r w:rsidRPr="00FE5D2B">
          <w:rPr>
            <w:rStyle w:val="Hipercze"/>
            <w:rFonts w:cstheme="minorHAnsi"/>
            <w:color w:val="auto"/>
            <w:u w:val="none"/>
            <w:shd w:val="clear" w:color="auto" w:fill="FFFFFF"/>
          </w:rPr>
          <w:t>mały ruch graniczny</w:t>
        </w:r>
      </w:hyperlink>
      <w:r w:rsidRPr="00FE5D2B">
        <w:rPr>
          <w:rFonts w:cstheme="minorHAnsi"/>
        </w:rPr>
        <w:t>.</w:t>
      </w:r>
    </w:p>
    <w:p w:rsidR="0012352F" w:rsidRPr="0012352F" w:rsidRDefault="0012352F" w:rsidP="00A3317E">
      <w:pPr>
        <w:pStyle w:val="Akapitzlist"/>
        <w:numPr>
          <w:ilvl w:val="0"/>
          <w:numId w:val="32"/>
        </w:numPr>
        <w:rPr>
          <w:b/>
          <w:color w:val="984806"/>
        </w:rPr>
        <w:sectPr w:rsidR="0012352F" w:rsidRPr="0012352F" w:rsidSect="003E35BE">
          <w:pgSz w:w="11906" w:h="16838"/>
          <w:pgMar w:top="1417" w:right="1417" w:bottom="1417" w:left="1417" w:header="708" w:footer="708" w:gutter="0"/>
          <w:cols w:space="708"/>
          <w:docGrid w:linePitch="360"/>
        </w:sectPr>
      </w:pPr>
      <w:r w:rsidRPr="00A34C14">
        <w:t>W Hrubieszowie nie f</w:t>
      </w:r>
      <w:r w:rsidR="00A3317E">
        <w:t>unkcjonuje komunikacja zbiorowa, brak miejskiego transportu publicznego, wokół którego można byłoby budować zrównoważony i zintegrowany układ komunikacyjny obszaru HOF.</w:t>
      </w:r>
      <w:r w:rsidRPr="00A34C14">
        <w:t xml:space="preserve"> </w:t>
      </w:r>
      <w:r w:rsidR="00824F0D" w:rsidRPr="00A34C14">
        <w:rPr>
          <w:rFonts w:eastAsia="SimSun" w:cstheme="minorHAnsi"/>
          <w:bCs/>
          <w:kern w:val="3"/>
        </w:rPr>
        <w:t xml:space="preserve">Obecnie funkcje „dworca autobusowego” w Hrubieszowie pełni kilka rozproszonych miejsc w postaci otwartych wiat przystankowych. W centrum miasta przy ul. Marszałka Józefa Piłsudskiego 55 przy istniejącym kompleksie handlowym funkcjonuje największy w Hrubieszowie „węzeł przystankowy” </w:t>
      </w:r>
      <w:r w:rsidRPr="00A34C14">
        <w:t xml:space="preserve">dla tzw. </w:t>
      </w:r>
      <w:proofErr w:type="gramStart"/>
      <w:r w:rsidRPr="00A34C14">
        <w:t>,,</w:t>
      </w:r>
      <w:proofErr w:type="gramEnd"/>
      <w:r w:rsidRPr="00A34C14">
        <w:t xml:space="preserve">busów’’ - małych i średnich </w:t>
      </w:r>
    </w:p>
    <w:p w:rsidR="0056517C" w:rsidRDefault="0056517C" w:rsidP="0056517C">
      <w:pPr>
        <w:pStyle w:val="Legenda"/>
        <w:keepNext/>
      </w:pPr>
      <w:bookmarkStart w:id="62" w:name="_Toc138068507"/>
      <w:r>
        <w:lastRenderedPageBreak/>
        <w:t xml:space="preserve">Ryc. </w:t>
      </w:r>
      <w:r w:rsidR="00E20FF4">
        <w:fldChar w:fldCharType="begin"/>
      </w:r>
      <w:r w:rsidR="00E20FF4">
        <w:instrText xml:space="preserve"> SEQ Ryc. \* ARABIC </w:instrText>
      </w:r>
      <w:r w:rsidR="00E20FF4">
        <w:fldChar w:fldCharType="separate"/>
      </w:r>
      <w:r w:rsidR="0022657A">
        <w:rPr>
          <w:noProof/>
        </w:rPr>
        <w:t>11</w:t>
      </w:r>
      <w:r w:rsidR="00E20FF4">
        <w:rPr>
          <w:noProof/>
        </w:rPr>
        <w:fldChar w:fldCharType="end"/>
      </w:r>
      <w:r>
        <w:t>. Transport i komunikacja na terenie HOF</w:t>
      </w:r>
      <w:bookmarkEnd w:id="62"/>
    </w:p>
    <w:p w:rsidR="00884604" w:rsidRDefault="0056517C" w:rsidP="0056517C">
      <w:pPr>
        <w:tabs>
          <w:tab w:val="left" w:pos="2727"/>
        </w:tabs>
        <w:ind w:firstLine="0"/>
      </w:pPr>
      <w:r>
        <w:rPr>
          <w:i/>
          <w:noProof/>
          <w:sz w:val="18"/>
          <w:szCs w:val="18"/>
          <w:lang w:eastAsia="pl-PL"/>
        </w:rPr>
        <w:drawing>
          <wp:inline distT="0" distB="0" distL="0" distR="0" wp14:anchorId="47C49600" wp14:editId="5BBB4867">
            <wp:extent cx="3649890" cy="4842163"/>
            <wp:effectExtent l="0" t="0" r="8255" b="0"/>
            <wp:docPr id="295" name="Obraz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4_HOF_transport_komunikacja_a4.jpg"/>
                    <pic:cNvPicPr/>
                  </pic:nvPicPr>
                  <pic:blipFill rotWithShape="1">
                    <a:blip r:embed="rId84" cstate="print">
                      <a:extLst>
                        <a:ext uri="{28A0092B-C50C-407E-A947-70E740481C1C}">
                          <a14:useLocalDpi xmlns:a14="http://schemas.microsoft.com/office/drawing/2010/main" val="0"/>
                        </a:ext>
                      </a:extLst>
                    </a:blip>
                    <a:srcRect t="6207"/>
                    <a:stretch/>
                  </pic:blipFill>
                  <pic:spPr bwMode="auto">
                    <a:xfrm>
                      <a:off x="0" y="0"/>
                      <a:ext cx="3652475" cy="4845592"/>
                    </a:xfrm>
                    <a:prstGeom prst="rect">
                      <a:avLst/>
                    </a:prstGeom>
                    <a:ln>
                      <a:noFill/>
                    </a:ln>
                    <a:extLst>
                      <a:ext uri="{53640926-AAD7-44D8-BBD7-CCE9431645EC}">
                        <a14:shadowObscured xmlns:a14="http://schemas.microsoft.com/office/drawing/2010/main"/>
                      </a:ext>
                    </a:extLst>
                  </pic:spPr>
                </pic:pic>
              </a:graphicData>
            </a:graphic>
          </wp:inline>
        </w:drawing>
      </w:r>
    </w:p>
    <w:p w:rsidR="001738A3" w:rsidRDefault="001738A3" w:rsidP="001738A3">
      <w:pPr>
        <w:rPr>
          <w:i/>
          <w:sz w:val="18"/>
          <w:szCs w:val="18"/>
        </w:rPr>
      </w:pPr>
      <w:r w:rsidRPr="00CC49BE">
        <w:rPr>
          <w:i/>
          <w:sz w:val="18"/>
          <w:szCs w:val="18"/>
        </w:rPr>
        <w:t>Źródło: Opracowanie własne</w:t>
      </w:r>
    </w:p>
    <w:p w:rsidR="00884604" w:rsidRDefault="00884604" w:rsidP="00884604">
      <w:pPr>
        <w:pStyle w:val="Legenda"/>
        <w:keepNext/>
        <w:spacing w:after="0"/>
      </w:pPr>
      <w:bookmarkStart w:id="63" w:name="_Toc138068508"/>
      <w:r>
        <w:lastRenderedPageBreak/>
        <w:t xml:space="preserve">Ryc. </w:t>
      </w:r>
      <w:r w:rsidR="00E20FF4">
        <w:fldChar w:fldCharType="begin"/>
      </w:r>
      <w:r w:rsidR="00E20FF4">
        <w:instrText xml:space="preserve"> SEQ Ryc. \* ARABIC </w:instrText>
      </w:r>
      <w:r w:rsidR="00E20FF4">
        <w:fldChar w:fldCharType="separate"/>
      </w:r>
      <w:r w:rsidR="0022657A">
        <w:rPr>
          <w:noProof/>
        </w:rPr>
        <w:t>12</w:t>
      </w:r>
      <w:r w:rsidR="00E20FF4">
        <w:rPr>
          <w:noProof/>
        </w:rPr>
        <w:fldChar w:fldCharType="end"/>
      </w:r>
      <w:r>
        <w:t>. Infrastruktura teleinformatyczna na terenie HOF</w:t>
      </w:r>
      <w:bookmarkEnd w:id="63"/>
    </w:p>
    <w:p w:rsidR="0056517C" w:rsidRDefault="0056517C" w:rsidP="001738A3">
      <w:pPr>
        <w:rPr>
          <w:b/>
          <w:color w:val="984806"/>
        </w:rPr>
      </w:pPr>
      <w:r>
        <w:rPr>
          <w:b/>
          <w:noProof/>
          <w:color w:val="984806"/>
          <w:lang w:eastAsia="pl-PL"/>
        </w:rPr>
        <w:drawing>
          <wp:inline distT="0" distB="0" distL="0" distR="0" wp14:anchorId="3AD57F6B" wp14:editId="2B860A35">
            <wp:extent cx="3823855" cy="5087262"/>
            <wp:effectExtent l="0" t="0" r="5715" b="0"/>
            <wp:docPr id="296" name="Obraz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5_HOF_telekomunikacja_a4.jpg"/>
                    <pic:cNvPicPr/>
                  </pic:nvPicPr>
                  <pic:blipFill rotWithShape="1">
                    <a:blip r:embed="rId85" cstate="print">
                      <a:extLst>
                        <a:ext uri="{28A0092B-C50C-407E-A947-70E740481C1C}">
                          <a14:useLocalDpi xmlns:a14="http://schemas.microsoft.com/office/drawing/2010/main" val="0"/>
                        </a:ext>
                      </a:extLst>
                    </a:blip>
                    <a:srcRect t="5939"/>
                    <a:stretch/>
                  </pic:blipFill>
                  <pic:spPr bwMode="auto">
                    <a:xfrm>
                      <a:off x="0" y="0"/>
                      <a:ext cx="3823855" cy="5087262"/>
                    </a:xfrm>
                    <a:prstGeom prst="rect">
                      <a:avLst/>
                    </a:prstGeom>
                    <a:ln>
                      <a:noFill/>
                    </a:ln>
                    <a:extLst>
                      <a:ext uri="{53640926-AAD7-44D8-BBD7-CCE9431645EC}">
                        <a14:shadowObscured xmlns:a14="http://schemas.microsoft.com/office/drawing/2010/main"/>
                      </a:ext>
                    </a:extLst>
                  </pic:spPr>
                </pic:pic>
              </a:graphicData>
            </a:graphic>
          </wp:inline>
        </w:drawing>
      </w:r>
      <w:r w:rsidR="001738A3" w:rsidRPr="001738A3">
        <w:rPr>
          <w:i/>
          <w:sz w:val="18"/>
          <w:szCs w:val="18"/>
        </w:rPr>
        <w:t xml:space="preserve"> </w:t>
      </w:r>
      <w:r w:rsidR="001738A3" w:rsidRPr="00CC49BE">
        <w:rPr>
          <w:i/>
          <w:sz w:val="18"/>
          <w:szCs w:val="18"/>
        </w:rPr>
        <w:t>Źródło: Opracowanie własne</w:t>
      </w:r>
    </w:p>
    <w:p w:rsidR="0056517C" w:rsidRDefault="0056517C" w:rsidP="00192FCA">
      <w:pPr>
        <w:rPr>
          <w:b/>
          <w:color w:val="984806"/>
        </w:rPr>
        <w:sectPr w:rsidR="0056517C" w:rsidSect="00884604">
          <w:pgSz w:w="16838" w:h="11906" w:orient="landscape"/>
          <w:pgMar w:top="1417" w:right="1417" w:bottom="1417" w:left="1417" w:header="708" w:footer="708" w:gutter="0"/>
          <w:cols w:num="2" w:space="708"/>
          <w:docGrid w:linePitch="360"/>
        </w:sectPr>
      </w:pPr>
    </w:p>
    <w:p w:rsidR="00A3317E" w:rsidRPr="00A34C14" w:rsidRDefault="00A3317E" w:rsidP="00A3317E">
      <w:pPr>
        <w:pStyle w:val="Akapitzlist"/>
        <w:ind w:firstLine="0"/>
        <w:rPr>
          <w:b/>
          <w:color w:val="984806"/>
        </w:rPr>
      </w:pPr>
      <w:proofErr w:type="gramStart"/>
      <w:r w:rsidRPr="00A34C14">
        <w:lastRenderedPageBreak/>
        <w:t>jednostek</w:t>
      </w:r>
      <w:proofErr w:type="gramEnd"/>
      <w:r w:rsidRPr="00A34C14">
        <w:t xml:space="preserve"> przewozowych. Publiczny transport zbiorowy w HOF skupiony jest na obszarze gminy wiejskiej i zapewniony jest przede wszystkim przez prywatne firmy przewozowe. Najmniejsze miejscowości zostały komunikacyjnie wykluczone.</w:t>
      </w:r>
    </w:p>
    <w:p w:rsidR="00A3317E" w:rsidRPr="00057237" w:rsidRDefault="00A3317E" w:rsidP="00A3317E">
      <w:pPr>
        <w:pStyle w:val="Akapitzlist"/>
        <w:numPr>
          <w:ilvl w:val="0"/>
          <w:numId w:val="32"/>
        </w:numPr>
        <w:rPr>
          <w:b/>
          <w:color w:val="984806"/>
        </w:rPr>
      </w:pPr>
      <w:r w:rsidRPr="003E3EC7">
        <w:rPr>
          <w:rFonts w:cstheme="minorHAnsi"/>
        </w:rPr>
        <w:t>Hrubieszów jest istotnym punktem przesiadkowym dla mieszkańców całego powiatu hrubieszowskiego w celu podróży do większych ośrodków w tym akademickich.</w:t>
      </w:r>
    </w:p>
    <w:p w:rsidR="008D02FB" w:rsidRPr="00057237" w:rsidRDefault="008D02FB" w:rsidP="00A13FA7">
      <w:pPr>
        <w:pStyle w:val="Akapitzlist"/>
        <w:numPr>
          <w:ilvl w:val="0"/>
          <w:numId w:val="32"/>
        </w:numPr>
        <w:rPr>
          <w:b/>
          <w:color w:val="984806"/>
        </w:rPr>
      </w:pPr>
      <w:r>
        <w:t>Przez Hrubieszowski Obszar Funkcjonalny przebiega zarówno sieć szkieletowa, jak i sieć dystrybucyjna Sieci Szerokopasmowej Polski Wschodniej. W granicach HOF zlokalizowane są 3 węzły dystrybucyjne i 1 szkieletowy.</w:t>
      </w:r>
    </w:p>
    <w:p w:rsidR="0012352F" w:rsidRPr="00FE5D2B" w:rsidRDefault="0012352F" w:rsidP="00A13FA7">
      <w:pPr>
        <w:pStyle w:val="Akapitzlist"/>
        <w:numPr>
          <w:ilvl w:val="0"/>
          <w:numId w:val="32"/>
        </w:numPr>
        <w:rPr>
          <w:b/>
          <w:color w:val="984806"/>
        </w:rPr>
      </w:pPr>
      <w:r>
        <w:t>Poziom penetracji budynków zasięgami internetu stacjonarnego ogółem</w:t>
      </w:r>
      <w:r>
        <w:rPr>
          <w:rStyle w:val="Odwoanieprzypisudolnego"/>
        </w:rPr>
        <w:footnoteReference w:id="30"/>
      </w:r>
      <w:r>
        <w:t xml:space="preserve"> dla HOF jest na wysokim poziomie, na obszarze Miasta w przedziale 80,1% - 100%, na obszarze Gminy Hrubieszów w przedziale 60,1% - 80,0%</w:t>
      </w:r>
      <w:r>
        <w:rPr>
          <w:rStyle w:val="Odwoanieprzypisudolnego"/>
        </w:rPr>
        <w:footnoteReference w:id="31"/>
      </w:r>
      <w:r>
        <w:t>. Penetracja budynkowa I</w:t>
      </w:r>
      <w:r w:rsidRPr="00A66EE0">
        <w:t>nternetem stacjonarnym o</w:t>
      </w:r>
      <w:r>
        <w:t> </w:t>
      </w:r>
      <w:proofErr w:type="gramStart"/>
      <w:r>
        <w:t>przepustowości co</w:t>
      </w:r>
      <w:proofErr w:type="gramEnd"/>
      <w:r>
        <w:t xml:space="preserve"> najmniej 30 </w:t>
      </w:r>
      <w:proofErr w:type="spellStart"/>
      <w:r>
        <w:t>M</w:t>
      </w:r>
      <w:r w:rsidRPr="00A66EE0">
        <w:t>b</w:t>
      </w:r>
      <w:proofErr w:type="spellEnd"/>
      <w:r w:rsidRPr="00A66EE0">
        <w:t>/s</w:t>
      </w:r>
      <w:r>
        <w:t xml:space="preserve"> jest na średnim poziomie. Wciąż duży odsetek domów w HOF znajduje się w zasięgu tzw. białych plam, czyli miejsc bez dostępu do Internetu o </w:t>
      </w:r>
      <w:proofErr w:type="gramStart"/>
      <w:r>
        <w:t>przepustowości co</w:t>
      </w:r>
      <w:proofErr w:type="gramEnd"/>
      <w:r>
        <w:t xml:space="preserve"> najmniej 30 MB/s.</w:t>
      </w:r>
    </w:p>
    <w:p w:rsidR="0012352F" w:rsidRPr="00163727" w:rsidRDefault="0012352F" w:rsidP="00884604">
      <w:pPr>
        <w:ind w:firstLine="0"/>
        <w:rPr>
          <w:b/>
          <w:color w:val="0292DF" w:themeColor="accent1" w:themeShade="BF"/>
        </w:rPr>
      </w:pPr>
      <w:r w:rsidRPr="00163727">
        <w:rPr>
          <w:b/>
          <w:color w:val="0292DF" w:themeColor="accent1" w:themeShade="BF"/>
        </w:rPr>
        <w:t>Infrastruktura elektroenergetyczna i wodno-kanalizacyjna</w:t>
      </w:r>
    </w:p>
    <w:p w:rsidR="008C1FB3" w:rsidRDefault="008C1FB3" w:rsidP="00A13FA7">
      <w:pPr>
        <w:pStyle w:val="Akapitzlist"/>
        <w:numPr>
          <w:ilvl w:val="0"/>
          <w:numId w:val="32"/>
        </w:numPr>
      </w:pPr>
      <w:r w:rsidRPr="00490445">
        <w:t>HOF zasilany jest w energię elektryczną przez dwa Gł</w:t>
      </w:r>
      <w:r w:rsidR="001738A3">
        <w:t xml:space="preserve">ówne Punkty Zasilające (GPZ): </w:t>
      </w:r>
      <w:r w:rsidR="001738A3">
        <w:br/>
        <w:t>-</w:t>
      </w:r>
      <w:r w:rsidRPr="00490445">
        <w:t xml:space="preserve">Hrubieszów 110/30/15 </w:t>
      </w:r>
      <w:proofErr w:type="spellStart"/>
      <w:r w:rsidRPr="00490445">
        <w:t>kV</w:t>
      </w:r>
      <w:proofErr w:type="spellEnd"/>
      <w:r w:rsidRPr="00490445">
        <w:t xml:space="preserve">, - Hrubieszów Południe 110/15 </w:t>
      </w:r>
      <w:proofErr w:type="spellStart"/>
      <w:r w:rsidRPr="00490445">
        <w:t>k</w:t>
      </w:r>
      <w:r w:rsidR="001738A3">
        <w:t>V</w:t>
      </w:r>
      <w:proofErr w:type="spellEnd"/>
      <w:r w:rsidR="001738A3">
        <w:t>, poprzez linie napowietrzne i </w:t>
      </w:r>
      <w:r w:rsidRPr="00490445">
        <w:t>kablowe SN oraz stacje transformatorowe SN/</w:t>
      </w:r>
      <w:proofErr w:type="spellStart"/>
      <w:r w:rsidRPr="00490445">
        <w:t>nN.</w:t>
      </w:r>
      <w:proofErr w:type="spellEnd"/>
      <w:r>
        <w:t xml:space="preserve"> Sieć jest rozbudowana, jednakże w miarę wzrostu zapotrzebowania na energię elektryczną, na terenie Gminy Hrubieszów planuje się rozbudowę sieci elektroenergetycznej średniego i niskiego napięcia wraz z przyłączami do sieci.</w:t>
      </w:r>
    </w:p>
    <w:p w:rsidR="008C1FB3" w:rsidRDefault="008C1FB3" w:rsidP="00A13FA7">
      <w:pPr>
        <w:pStyle w:val="Akapitzlist"/>
        <w:numPr>
          <w:ilvl w:val="0"/>
          <w:numId w:val="34"/>
        </w:numPr>
      </w:pPr>
      <w:r>
        <w:t xml:space="preserve">Na obszarze HOF funkcjonują </w:t>
      </w:r>
      <w:r w:rsidRPr="00776D9B">
        <w:t>dwa GPZ</w:t>
      </w:r>
      <w:r>
        <w:t xml:space="preserve"> elektroenergetyczne, centralna kotłownia cieplna</w:t>
      </w:r>
      <w:r w:rsidRPr="008B6E23">
        <w:t xml:space="preserve"> opalaną gazem</w:t>
      </w:r>
      <w:r>
        <w:t>,</w:t>
      </w:r>
      <w:r w:rsidRPr="008B6E23">
        <w:t xml:space="preserve"> </w:t>
      </w:r>
      <w:r>
        <w:t>oraz sieć gazowa</w:t>
      </w:r>
      <w:r w:rsidRPr="00776D9B">
        <w:t xml:space="preserve"> średniopręż</w:t>
      </w:r>
      <w:r>
        <w:t>na ze stacją redukcyjną</w:t>
      </w:r>
      <w:r w:rsidRPr="00776D9B">
        <w:t xml:space="preserve"> w pobliskim Moroczynie</w:t>
      </w:r>
      <w:r>
        <w:t xml:space="preserve">. Przez Miasto Hrubieszów przebiega gazociąg średniego ciśnienia, na obszarze Gminy Hrubieszów znajduje się gazociąg wysokiego ciśnienia. </w:t>
      </w:r>
      <w:r w:rsidRPr="001738A3">
        <w:rPr>
          <w:rFonts w:eastAsia="Calibri Light" w:cstheme="minorHAnsi"/>
        </w:rPr>
        <w:t xml:space="preserve">73,5% </w:t>
      </w:r>
      <w:proofErr w:type="gramStart"/>
      <w:r w:rsidRPr="001738A3">
        <w:rPr>
          <w:rFonts w:eastAsia="Calibri Light" w:cstheme="minorHAnsi"/>
        </w:rPr>
        <w:t>sieci</w:t>
      </w:r>
      <w:proofErr w:type="gramEnd"/>
      <w:r w:rsidRPr="001738A3">
        <w:rPr>
          <w:rFonts w:eastAsia="Calibri Light" w:cstheme="minorHAnsi"/>
        </w:rPr>
        <w:t xml:space="preserve"> gazowej znajduje się w mieście. </w:t>
      </w:r>
    </w:p>
    <w:p w:rsidR="008C1FB3" w:rsidRPr="001738A3" w:rsidRDefault="008C1FB3" w:rsidP="00A13FA7">
      <w:pPr>
        <w:pStyle w:val="Akapitzlist"/>
        <w:numPr>
          <w:ilvl w:val="0"/>
          <w:numId w:val="34"/>
        </w:numPr>
        <w:rPr>
          <w:rFonts w:cstheme="minorHAnsi"/>
        </w:rPr>
      </w:pPr>
      <w:r w:rsidRPr="001738A3">
        <w:rPr>
          <w:rFonts w:cstheme="minorHAnsi"/>
        </w:rPr>
        <w:t>Sieć ciepłownicza na terenie HOF funkcjonuje tylko na obszarze miejskim i jest niedostatecznie rozwinięta.</w:t>
      </w:r>
    </w:p>
    <w:p w:rsidR="008C1FB3" w:rsidRPr="001738A3" w:rsidRDefault="008C1FB3" w:rsidP="00A13FA7">
      <w:pPr>
        <w:pStyle w:val="Akapitzlist"/>
        <w:numPr>
          <w:ilvl w:val="0"/>
          <w:numId w:val="34"/>
        </w:numPr>
        <w:rPr>
          <w:rFonts w:cstheme="minorHAnsi"/>
        </w:rPr>
      </w:pPr>
      <w:r w:rsidRPr="001738A3">
        <w:rPr>
          <w:rFonts w:cstheme="minorHAnsi"/>
        </w:rPr>
        <w:t>Dostęp do sieci wodociągowej posiadają wszystkie miejscowości HOF.</w:t>
      </w:r>
      <w:r w:rsidR="001738A3">
        <w:rPr>
          <w:rFonts w:cstheme="minorHAnsi"/>
        </w:rPr>
        <w:t xml:space="preserve"> </w:t>
      </w:r>
      <w:r w:rsidR="001738A3" w:rsidRPr="00B53C6F">
        <w:t xml:space="preserve">Na terenie </w:t>
      </w:r>
      <w:r w:rsidR="001738A3">
        <w:t>HOF funkcjonuje 7</w:t>
      </w:r>
      <w:r w:rsidR="001738A3" w:rsidRPr="00B53C6F">
        <w:t xml:space="preserve"> ujęć wody obsługujących mieszkańców poszczególnych miejscowości</w:t>
      </w:r>
      <w:r w:rsidR="001738A3">
        <w:t>:</w:t>
      </w:r>
    </w:p>
    <w:p w:rsidR="008C1FB3" w:rsidRDefault="008C1FB3" w:rsidP="00884604">
      <w:pPr>
        <w:ind w:firstLine="0"/>
        <w:sectPr w:rsidR="008C1FB3" w:rsidSect="003E35BE">
          <w:pgSz w:w="11906" w:h="16838"/>
          <w:pgMar w:top="1417" w:right="1417" w:bottom="1417" w:left="1417" w:header="708" w:footer="708" w:gutter="0"/>
          <w:cols w:space="708"/>
          <w:docGrid w:linePitch="360"/>
        </w:sectPr>
      </w:pPr>
    </w:p>
    <w:p w:rsidR="001738A3" w:rsidRDefault="001738A3" w:rsidP="001738A3">
      <w:pPr>
        <w:pStyle w:val="Legenda"/>
        <w:keepNext/>
        <w:spacing w:after="0"/>
      </w:pPr>
      <w:bookmarkStart w:id="64" w:name="_Toc138068509"/>
      <w:r>
        <w:lastRenderedPageBreak/>
        <w:t xml:space="preserve">Ryc. </w:t>
      </w:r>
      <w:r w:rsidR="00E20FF4">
        <w:fldChar w:fldCharType="begin"/>
      </w:r>
      <w:r w:rsidR="00E20FF4">
        <w:instrText xml:space="preserve"> SEQ Ryc. \* ARABIC </w:instrText>
      </w:r>
      <w:r w:rsidR="00E20FF4">
        <w:fldChar w:fldCharType="separate"/>
      </w:r>
      <w:r w:rsidR="0022657A">
        <w:rPr>
          <w:noProof/>
        </w:rPr>
        <w:t>13</w:t>
      </w:r>
      <w:r w:rsidR="00E20FF4">
        <w:rPr>
          <w:noProof/>
        </w:rPr>
        <w:fldChar w:fldCharType="end"/>
      </w:r>
      <w:r>
        <w:t>. Infrastruktura elektroenergetyczna HOF</w:t>
      </w:r>
      <w:bookmarkEnd w:id="64"/>
    </w:p>
    <w:p w:rsidR="008C1FB3" w:rsidRDefault="008C1FB3" w:rsidP="001738A3">
      <w:pPr>
        <w:spacing w:after="0"/>
        <w:ind w:firstLine="0"/>
      </w:pPr>
      <w:r>
        <w:rPr>
          <w:noProof/>
          <w:lang w:eastAsia="pl-PL"/>
        </w:rPr>
        <w:drawing>
          <wp:inline distT="0" distB="0" distL="0" distR="0" wp14:anchorId="50426107" wp14:editId="1D913837">
            <wp:extent cx="3990110" cy="5283984"/>
            <wp:effectExtent l="0" t="0" r="0" b="0"/>
            <wp:docPr id="297" name="Obraz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6_HOF_energetyka_a4.jpg"/>
                    <pic:cNvPicPr/>
                  </pic:nvPicPr>
                  <pic:blipFill rotWithShape="1">
                    <a:blip r:embed="rId86" cstate="print">
                      <a:extLst>
                        <a:ext uri="{28A0092B-C50C-407E-A947-70E740481C1C}">
                          <a14:useLocalDpi xmlns:a14="http://schemas.microsoft.com/office/drawing/2010/main" val="0"/>
                        </a:ext>
                      </a:extLst>
                    </a:blip>
                    <a:srcRect t="6372"/>
                    <a:stretch/>
                  </pic:blipFill>
                  <pic:spPr bwMode="auto">
                    <a:xfrm>
                      <a:off x="0" y="0"/>
                      <a:ext cx="3990223" cy="5284134"/>
                    </a:xfrm>
                    <a:prstGeom prst="rect">
                      <a:avLst/>
                    </a:prstGeom>
                    <a:ln>
                      <a:noFill/>
                    </a:ln>
                    <a:extLst>
                      <a:ext uri="{53640926-AAD7-44D8-BBD7-CCE9431645EC}">
                        <a14:shadowObscured xmlns:a14="http://schemas.microsoft.com/office/drawing/2010/main"/>
                      </a:ext>
                    </a:extLst>
                  </pic:spPr>
                </pic:pic>
              </a:graphicData>
            </a:graphic>
          </wp:inline>
        </w:drawing>
      </w:r>
    </w:p>
    <w:p w:rsidR="001738A3" w:rsidRDefault="001738A3" w:rsidP="001738A3">
      <w:pPr>
        <w:spacing w:before="0"/>
        <w:rPr>
          <w:i/>
          <w:sz w:val="18"/>
          <w:szCs w:val="18"/>
        </w:rPr>
      </w:pPr>
      <w:r w:rsidRPr="00CC49BE">
        <w:rPr>
          <w:i/>
          <w:sz w:val="18"/>
          <w:szCs w:val="18"/>
        </w:rPr>
        <w:t>Źródło: Opracowanie własne</w:t>
      </w:r>
    </w:p>
    <w:p w:rsidR="001738A3" w:rsidRDefault="001738A3" w:rsidP="001738A3">
      <w:pPr>
        <w:pStyle w:val="Legenda"/>
        <w:keepNext/>
        <w:spacing w:after="0"/>
      </w:pPr>
      <w:bookmarkStart w:id="65" w:name="_Toc138068510"/>
      <w:r>
        <w:lastRenderedPageBreak/>
        <w:t xml:space="preserve">Ryc. </w:t>
      </w:r>
      <w:r w:rsidR="00E20FF4">
        <w:fldChar w:fldCharType="begin"/>
      </w:r>
      <w:r w:rsidR="00E20FF4">
        <w:instrText xml:space="preserve"> SEQ Ryc. \* ARABIC </w:instrText>
      </w:r>
      <w:r w:rsidR="00E20FF4">
        <w:fldChar w:fldCharType="separate"/>
      </w:r>
      <w:r w:rsidR="0022657A">
        <w:rPr>
          <w:noProof/>
        </w:rPr>
        <w:t>14</w:t>
      </w:r>
      <w:r w:rsidR="00E20FF4">
        <w:rPr>
          <w:noProof/>
        </w:rPr>
        <w:fldChar w:fldCharType="end"/>
      </w:r>
      <w:r>
        <w:t>. Infrastruktura wodno-kanalizacyjna HOF</w:t>
      </w:r>
      <w:bookmarkEnd w:id="65"/>
    </w:p>
    <w:p w:rsidR="001738A3" w:rsidRDefault="008C1FB3" w:rsidP="001738A3">
      <w:pPr>
        <w:rPr>
          <w:i/>
          <w:sz w:val="18"/>
          <w:szCs w:val="18"/>
        </w:rPr>
      </w:pPr>
      <w:r>
        <w:rPr>
          <w:b/>
          <w:noProof/>
          <w:color w:val="984806"/>
          <w:lang w:eastAsia="pl-PL"/>
        </w:rPr>
        <w:drawing>
          <wp:inline distT="0" distB="0" distL="0" distR="0" wp14:anchorId="67265452" wp14:editId="447DAC6C">
            <wp:extent cx="3918936" cy="5250873"/>
            <wp:effectExtent l="0" t="0" r="5715" b="6985"/>
            <wp:docPr id="298" name="Obraz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_7_HOF_wod_kan_a4.jpg"/>
                    <pic:cNvPicPr/>
                  </pic:nvPicPr>
                  <pic:blipFill rotWithShape="1">
                    <a:blip r:embed="rId87" cstate="print">
                      <a:extLst>
                        <a:ext uri="{28A0092B-C50C-407E-A947-70E740481C1C}">
                          <a14:useLocalDpi xmlns:a14="http://schemas.microsoft.com/office/drawing/2010/main" val="0"/>
                        </a:ext>
                      </a:extLst>
                    </a:blip>
                    <a:srcRect t="5269"/>
                    <a:stretch/>
                  </pic:blipFill>
                  <pic:spPr bwMode="auto">
                    <a:xfrm>
                      <a:off x="0" y="0"/>
                      <a:ext cx="3919141" cy="5251148"/>
                    </a:xfrm>
                    <a:prstGeom prst="rect">
                      <a:avLst/>
                    </a:prstGeom>
                    <a:ln>
                      <a:noFill/>
                    </a:ln>
                    <a:extLst>
                      <a:ext uri="{53640926-AAD7-44D8-BBD7-CCE9431645EC}">
                        <a14:shadowObscured xmlns:a14="http://schemas.microsoft.com/office/drawing/2010/main"/>
                      </a:ext>
                    </a:extLst>
                  </pic:spPr>
                </pic:pic>
              </a:graphicData>
            </a:graphic>
          </wp:inline>
        </w:drawing>
      </w:r>
      <w:r w:rsidR="001738A3" w:rsidRPr="001738A3">
        <w:rPr>
          <w:i/>
          <w:sz w:val="18"/>
          <w:szCs w:val="18"/>
        </w:rPr>
        <w:t xml:space="preserve"> </w:t>
      </w:r>
      <w:r w:rsidR="001738A3" w:rsidRPr="00CC49BE">
        <w:rPr>
          <w:i/>
          <w:sz w:val="18"/>
          <w:szCs w:val="18"/>
        </w:rPr>
        <w:t>Źródło: Opracowanie własne</w:t>
      </w:r>
    </w:p>
    <w:p w:rsidR="008C1FB3" w:rsidRDefault="008C1FB3" w:rsidP="00884604">
      <w:pPr>
        <w:ind w:firstLine="0"/>
        <w:rPr>
          <w:b/>
          <w:color w:val="984806"/>
        </w:rPr>
        <w:sectPr w:rsidR="008C1FB3" w:rsidSect="008C1FB3">
          <w:pgSz w:w="16838" w:h="11906" w:orient="landscape"/>
          <w:pgMar w:top="1417" w:right="1417" w:bottom="1417" w:left="1417" w:header="708" w:footer="708" w:gutter="0"/>
          <w:cols w:num="2" w:space="708"/>
          <w:docGrid w:linePitch="360"/>
        </w:sectPr>
      </w:pPr>
    </w:p>
    <w:p w:rsidR="00A3317E" w:rsidRDefault="00A3317E" w:rsidP="00A3317E">
      <w:pPr>
        <w:pStyle w:val="Legenda"/>
        <w:keepNext/>
        <w:spacing w:after="0"/>
        <w:ind w:left="720" w:firstLine="0"/>
      </w:pPr>
      <w:bookmarkStart w:id="66" w:name="_Toc138068539"/>
      <w:r>
        <w:lastRenderedPageBreak/>
        <w:t xml:space="preserve">Tabela </w:t>
      </w:r>
      <w:r w:rsidR="00E20FF4">
        <w:fldChar w:fldCharType="begin"/>
      </w:r>
      <w:r w:rsidR="00E20FF4">
        <w:instrText xml:space="preserve"> SEQ Tabela \* ARABIC </w:instrText>
      </w:r>
      <w:r w:rsidR="00E20FF4">
        <w:fldChar w:fldCharType="separate"/>
      </w:r>
      <w:r w:rsidR="0022657A">
        <w:rPr>
          <w:noProof/>
        </w:rPr>
        <w:t>9</w:t>
      </w:r>
      <w:r w:rsidR="00E20FF4">
        <w:rPr>
          <w:noProof/>
        </w:rPr>
        <w:fldChar w:fldCharType="end"/>
      </w:r>
      <w:r>
        <w:t>. Ujęcia wody w HOF</w:t>
      </w:r>
      <w:bookmarkEnd w:id="66"/>
    </w:p>
    <w:tbl>
      <w:tblPr>
        <w:tblStyle w:val="Jasnasiatkaakcent2"/>
        <w:tblW w:w="0" w:type="auto"/>
        <w:tblInd w:w="250" w:type="dxa"/>
        <w:tblLook w:val="04A0" w:firstRow="1" w:lastRow="0" w:firstColumn="1" w:lastColumn="0" w:noHBand="0" w:noVBand="1"/>
      </w:tblPr>
      <w:tblGrid>
        <w:gridCol w:w="2552"/>
        <w:gridCol w:w="6410"/>
      </w:tblGrid>
      <w:tr w:rsidR="00A3317E" w:rsidTr="00D837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rsidR="00A3317E" w:rsidRDefault="00A3317E" w:rsidP="00D837F7">
            <w:pPr>
              <w:pStyle w:val="Akapitzlist"/>
              <w:ind w:left="0" w:firstLine="0"/>
              <w:jc w:val="center"/>
              <w:rPr>
                <w:rFonts w:cstheme="minorHAnsi"/>
              </w:rPr>
            </w:pPr>
            <w:r>
              <w:rPr>
                <w:rFonts w:cstheme="minorHAnsi"/>
              </w:rPr>
              <w:t>Ujęcie wody</w:t>
            </w:r>
          </w:p>
        </w:tc>
        <w:tc>
          <w:tcPr>
            <w:tcW w:w="6410" w:type="dxa"/>
          </w:tcPr>
          <w:p w:rsidR="00A3317E" w:rsidRDefault="00A3317E" w:rsidP="00D837F7">
            <w:pPr>
              <w:pStyle w:val="Akapitzlist"/>
              <w:ind w:left="0" w:firstLine="0"/>
              <w:jc w:val="center"/>
              <w:cnfStyle w:val="100000000000" w:firstRow="1" w:lastRow="0" w:firstColumn="0" w:lastColumn="0" w:oddVBand="0" w:evenVBand="0" w:oddHBand="0" w:evenHBand="0" w:firstRowFirstColumn="0" w:firstRowLastColumn="0" w:lastRowFirstColumn="0" w:lastRowLastColumn="0"/>
              <w:rPr>
                <w:rFonts w:cstheme="minorHAnsi"/>
              </w:rPr>
            </w:pPr>
            <w:r>
              <w:rPr>
                <w:rFonts w:cstheme="minorHAnsi"/>
              </w:rPr>
              <w:t>Zaopatruje</w:t>
            </w:r>
          </w:p>
        </w:tc>
      </w:tr>
      <w:tr w:rsidR="00A3317E" w:rsidTr="00D837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3317E" w:rsidRPr="005F6F2E" w:rsidRDefault="00A3317E" w:rsidP="00D837F7">
            <w:pPr>
              <w:pStyle w:val="Akapitzlist"/>
              <w:spacing w:before="0"/>
              <w:ind w:left="0" w:firstLine="0"/>
              <w:jc w:val="left"/>
              <w:rPr>
                <w:rFonts w:cstheme="minorHAnsi"/>
                <w:b w:val="0"/>
                <w:sz w:val="20"/>
                <w:szCs w:val="20"/>
              </w:rPr>
            </w:pPr>
            <w:proofErr w:type="gramStart"/>
            <w:r w:rsidRPr="005F6F2E">
              <w:rPr>
                <w:b w:val="0"/>
                <w:sz w:val="20"/>
                <w:szCs w:val="20"/>
              </w:rPr>
              <w:t>przy</w:t>
            </w:r>
            <w:proofErr w:type="gramEnd"/>
            <w:r w:rsidRPr="005F6F2E">
              <w:rPr>
                <w:b w:val="0"/>
                <w:sz w:val="20"/>
                <w:szCs w:val="20"/>
              </w:rPr>
              <w:t xml:space="preserve"> ul. </w:t>
            </w:r>
            <w:proofErr w:type="spellStart"/>
            <w:r w:rsidRPr="005F6F2E">
              <w:rPr>
                <w:b w:val="0"/>
                <w:sz w:val="20"/>
                <w:szCs w:val="20"/>
              </w:rPr>
              <w:t>Teresówka</w:t>
            </w:r>
            <w:proofErr w:type="spellEnd"/>
            <w:r w:rsidRPr="005F6F2E">
              <w:rPr>
                <w:b w:val="0"/>
                <w:sz w:val="20"/>
                <w:szCs w:val="20"/>
              </w:rPr>
              <w:t xml:space="preserve"> 14a Hrubieszów</w:t>
            </w:r>
          </w:p>
        </w:tc>
        <w:tc>
          <w:tcPr>
            <w:tcW w:w="6410" w:type="dxa"/>
            <w:vAlign w:val="center"/>
          </w:tcPr>
          <w:p w:rsidR="00A3317E" w:rsidRPr="005F6F2E" w:rsidRDefault="00A3317E" w:rsidP="00D837F7">
            <w:pPr>
              <w:pStyle w:val="Akapitzlist"/>
              <w:spacing w:before="0"/>
              <w:ind w:left="0"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6F2E">
              <w:rPr>
                <w:rFonts w:cstheme="minorHAnsi"/>
                <w:sz w:val="20"/>
                <w:szCs w:val="20"/>
              </w:rPr>
              <w:t>Miasto Hrubieszów, Wolica</w:t>
            </w:r>
          </w:p>
        </w:tc>
      </w:tr>
      <w:tr w:rsidR="00A3317E" w:rsidTr="00D837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3317E" w:rsidRPr="005F6F2E" w:rsidRDefault="00A3317E" w:rsidP="00D837F7">
            <w:pPr>
              <w:pStyle w:val="Akapitzlist"/>
              <w:spacing w:before="0"/>
              <w:ind w:left="0" w:firstLine="0"/>
              <w:jc w:val="left"/>
              <w:rPr>
                <w:rFonts w:cstheme="minorHAnsi"/>
                <w:b w:val="0"/>
                <w:sz w:val="20"/>
                <w:szCs w:val="20"/>
              </w:rPr>
            </w:pPr>
            <w:r w:rsidRPr="005F6F2E">
              <w:rPr>
                <w:b w:val="0"/>
                <w:sz w:val="20"/>
                <w:szCs w:val="20"/>
              </w:rPr>
              <w:t>Stefankowice</w:t>
            </w:r>
          </w:p>
        </w:tc>
        <w:tc>
          <w:tcPr>
            <w:tcW w:w="6410" w:type="dxa"/>
            <w:vAlign w:val="center"/>
          </w:tcPr>
          <w:p w:rsidR="00A3317E" w:rsidRPr="005F6F2E" w:rsidRDefault="00A3317E" w:rsidP="00D837F7">
            <w:pPr>
              <w:pStyle w:val="Akapitzlist"/>
              <w:spacing w:before="0"/>
              <w:ind w:left="0" w:firstLine="0"/>
              <w:jc w:val="left"/>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5F6F2E">
              <w:rPr>
                <w:sz w:val="20"/>
                <w:szCs w:val="20"/>
              </w:rPr>
              <w:t xml:space="preserve">Annopol, Kułakowice Pierwsze, Kułakowice Drugie, Kułakowice Trzecie, Moniatycze - Kolonia, Stefankowice, Stefankowice - Kolonia, </w:t>
            </w:r>
            <w:proofErr w:type="spellStart"/>
            <w:r w:rsidRPr="005F6F2E">
              <w:rPr>
                <w:sz w:val="20"/>
                <w:szCs w:val="20"/>
              </w:rPr>
              <w:t>Turkołówka</w:t>
            </w:r>
            <w:proofErr w:type="spellEnd"/>
            <w:r w:rsidRPr="005F6F2E">
              <w:rPr>
                <w:sz w:val="20"/>
                <w:szCs w:val="20"/>
              </w:rPr>
              <w:t>, Ubrodowice, Wołajowice</w:t>
            </w:r>
          </w:p>
        </w:tc>
      </w:tr>
      <w:tr w:rsidR="00A3317E" w:rsidTr="00D837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3317E" w:rsidRPr="005F6F2E" w:rsidRDefault="00A3317E" w:rsidP="00D837F7">
            <w:pPr>
              <w:pStyle w:val="Akapitzlist"/>
              <w:tabs>
                <w:tab w:val="left" w:pos="1811"/>
              </w:tabs>
              <w:spacing w:before="0"/>
              <w:ind w:left="0" w:firstLine="0"/>
              <w:jc w:val="left"/>
              <w:rPr>
                <w:rFonts w:cstheme="minorHAnsi"/>
                <w:b w:val="0"/>
                <w:sz w:val="20"/>
                <w:szCs w:val="20"/>
              </w:rPr>
            </w:pPr>
            <w:r w:rsidRPr="005F6F2E">
              <w:rPr>
                <w:b w:val="0"/>
                <w:sz w:val="20"/>
                <w:szCs w:val="20"/>
              </w:rPr>
              <w:t>Nowosiółki</w:t>
            </w:r>
            <w:r w:rsidRPr="005F6F2E">
              <w:rPr>
                <w:rFonts w:cstheme="minorHAnsi"/>
                <w:b w:val="0"/>
                <w:sz w:val="20"/>
                <w:szCs w:val="20"/>
              </w:rPr>
              <w:tab/>
            </w:r>
          </w:p>
        </w:tc>
        <w:tc>
          <w:tcPr>
            <w:tcW w:w="6410" w:type="dxa"/>
            <w:vAlign w:val="center"/>
          </w:tcPr>
          <w:p w:rsidR="00A3317E" w:rsidRPr="005F6F2E" w:rsidRDefault="00A3317E" w:rsidP="00D837F7">
            <w:pPr>
              <w:pStyle w:val="Akapitzlist"/>
              <w:spacing w:before="0"/>
              <w:ind w:left="0"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6F2E">
              <w:rPr>
                <w:sz w:val="20"/>
                <w:szCs w:val="20"/>
              </w:rPr>
              <w:t>Czortowice, Janki, Moniatycze, Nowosiółki</w:t>
            </w:r>
          </w:p>
        </w:tc>
      </w:tr>
      <w:tr w:rsidR="00A3317E" w:rsidTr="00D837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3317E" w:rsidRPr="005F6F2E" w:rsidRDefault="00A3317E" w:rsidP="00D837F7">
            <w:pPr>
              <w:pStyle w:val="Akapitzlist"/>
              <w:spacing w:before="0"/>
              <w:ind w:left="0" w:firstLine="0"/>
              <w:jc w:val="left"/>
              <w:rPr>
                <w:rFonts w:cstheme="minorHAnsi"/>
                <w:b w:val="0"/>
                <w:sz w:val="20"/>
                <w:szCs w:val="20"/>
              </w:rPr>
            </w:pPr>
            <w:r w:rsidRPr="005F6F2E">
              <w:rPr>
                <w:b w:val="0"/>
                <w:sz w:val="20"/>
                <w:szCs w:val="20"/>
              </w:rPr>
              <w:t>Czerniczyn</w:t>
            </w:r>
          </w:p>
        </w:tc>
        <w:tc>
          <w:tcPr>
            <w:tcW w:w="6410" w:type="dxa"/>
            <w:vAlign w:val="center"/>
          </w:tcPr>
          <w:p w:rsidR="00A3317E" w:rsidRPr="005F6F2E" w:rsidRDefault="00A3317E" w:rsidP="00D837F7">
            <w:pPr>
              <w:pStyle w:val="Akapitzlist"/>
              <w:spacing w:before="0"/>
              <w:ind w:left="0" w:firstLine="0"/>
              <w:jc w:val="left"/>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5F6F2E">
              <w:rPr>
                <w:sz w:val="20"/>
                <w:szCs w:val="20"/>
              </w:rPr>
              <w:t xml:space="preserve">Czerniczyn, Brodzica, Dąbrowa, Kozodawy, </w:t>
            </w:r>
            <w:proofErr w:type="spellStart"/>
            <w:r w:rsidRPr="005F6F2E">
              <w:rPr>
                <w:sz w:val="20"/>
                <w:szCs w:val="20"/>
              </w:rPr>
              <w:t>Łotoszyny</w:t>
            </w:r>
            <w:proofErr w:type="spellEnd"/>
            <w:r w:rsidRPr="005F6F2E">
              <w:rPr>
                <w:sz w:val="20"/>
                <w:szCs w:val="20"/>
              </w:rPr>
              <w:t xml:space="preserve">, </w:t>
            </w:r>
            <w:proofErr w:type="spellStart"/>
            <w:r w:rsidRPr="005F6F2E">
              <w:rPr>
                <w:sz w:val="20"/>
                <w:szCs w:val="20"/>
              </w:rPr>
              <w:t>Masłomęcz</w:t>
            </w:r>
            <w:proofErr w:type="spellEnd"/>
            <w:r w:rsidRPr="005F6F2E">
              <w:rPr>
                <w:sz w:val="20"/>
                <w:szCs w:val="20"/>
              </w:rPr>
              <w:t>, Metelin, Obrowiec</w:t>
            </w:r>
          </w:p>
        </w:tc>
      </w:tr>
      <w:tr w:rsidR="00A3317E" w:rsidTr="00D837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3317E" w:rsidRPr="005F6F2E" w:rsidRDefault="00A3317E" w:rsidP="00D837F7">
            <w:pPr>
              <w:pStyle w:val="Akapitzlist"/>
              <w:spacing w:before="0"/>
              <w:ind w:left="0" w:firstLine="0"/>
              <w:jc w:val="left"/>
              <w:rPr>
                <w:rFonts w:cstheme="minorHAnsi"/>
                <w:b w:val="0"/>
                <w:sz w:val="20"/>
                <w:szCs w:val="20"/>
              </w:rPr>
            </w:pPr>
            <w:r w:rsidRPr="005F6F2E">
              <w:rPr>
                <w:b w:val="0"/>
                <w:sz w:val="20"/>
                <w:szCs w:val="20"/>
              </w:rPr>
              <w:t>Mieniany</w:t>
            </w:r>
          </w:p>
        </w:tc>
        <w:tc>
          <w:tcPr>
            <w:tcW w:w="6410" w:type="dxa"/>
            <w:vAlign w:val="center"/>
          </w:tcPr>
          <w:p w:rsidR="00A3317E" w:rsidRPr="005F6F2E" w:rsidRDefault="00A3317E" w:rsidP="00D837F7">
            <w:pPr>
              <w:pStyle w:val="Akapitzlist"/>
              <w:spacing w:before="0"/>
              <w:ind w:left="0"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6F2E">
              <w:rPr>
                <w:sz w:val="20"/>
                <w:szCs w:val="20"/>
              </w:rPr>
              <w:t>Cichobórz, Czumów, Gródek, Kosmów, Mieniany, Ślipcze</w:t>
            </w:r>
          </w:p>
        </w:tc>
      </w:tr>
      <w:tr w:rsidR="00A3317E" w:rsidTr="00D837F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3317E" w:rsidRPr="005F6F2E" w:rsidRDefault="00A3317E" w:rsidP="00D837F7">
            <w:pPr>
              <w:pStyle w:val="Akapitzlist"/>
              <w:spacing w:before="0"/>
              <w:ind w:left="0" w:firstLine="0"/>
              <w:jc w:val="left"/>
              <w:rPr>
                <w:rFonts w:cstheme="minorHAnsi"/>
                <w:b w:val="0"/>
                <w:sz w:val="20"/>
                <w:szCs w:val="20"/>
              </w:rPr>
            </w:pPr>
            <w:r w:rsidRPr="005F6F2E">
              <w:rPr>
                <w:b w:val="0"/>
                <w:sz w:val="20"/>
                <w:szCs w:val="20"/>
              </w:rPr>
              <w:t>Dziekanów</w:t>
            </w:r>
          </w:p>
        </w:tc>
        <w:tc>
          <w:tcPr>
            <w:tcW w:w="6410" w:type="dxa"/>
            <w:vAlign w:val="center"/>
          </w:tcPr>
          <w:p w:rsidR="00A3317E" w:rsidRPr="005F6F2E" w:rsidRDefault="00A3317E" w:rsidP="00D837F7">
            <w:pPr>
              <w:pStyle w:val="Akapitzlist"/>
              <w:spacing w:before="0"/>
              <w:ind w:left="0" w:firstLine="0"/>
              <w:jc w:val="left"/>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5F6F2E">
              <w:rPr>
                <w:sz w:val="20"/>
                <w:szCs w:val="20"/>
              </w:rPr>
              <w:t>Dziekanów, Kobło, Szpikołosy</w:t>
            </w:r>
          </w:p>
        </w:tc>
      </w:tr>
      <w:tr w:rsidR="00A3317E" w:rsidTr="00D837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vAlign w:val="center"/>
          </w:tcPr>
          <w:p w:rsidR="00A3317E" w:rsidRPr="005F6F2E" w:rsidRDefault="00A3317E" w:rsidP="00D837F7">
            <w:pPr>
              <w:pStyle w:val="Akapitzlist"/>
              <w:spacing w:before="0"/>
              <w:ind w:left="0" w:firstLine="0"/>
              <w:jc w:val="left"/>
              <w:rPr>
                <w:rFonts w:cstheme="minorHAnsi"/>
                <w:b w:val="0"/>
                <w:sz w:val="20"/>
                <w:szCs w:val="20"/>
              </w:rPr>
            </w:pPr>
            <w:r w:rsidRPr="005F6F2E">
              <w:rPr>
                <w:b w:val="0"/>
                <w:sz w:val="20"/>
                <w:szCs w:val="20"/>
              </w:rPr>
              <w:t>Husynne</w:t>
            </w:r>
          </w:p>
        </w:tc>
        <w:tc>
          <w:tcPr>
            <w:tcW w:w="6410" w:type="dxa"/>
            <w:vAlign w:val="center"/>
          </w:tcPr>
          <w:p w:rsidR="00A3317E" w:rsidRPr="005F6F2E" w:rsidRDefault="00A3317E" w:rsidP="00D837F7">
            <w:pPr>
              <w:pStyle w:val="Akapitzlist"/>
              <w:spacing w:before="0"/>
              <w:ind w:left="0"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F6F2E">
              <w:rPr>
                <w:sz w:val="20"/>
                <w:szCs w:val="20"/>
              </w:rPr>
              <w:t>Husynne, Moroczyn, Świerszczów, Teptiuków</w:t>
            </w:r>
          </w:p>
        </w:tc>
      </w:tr>
    </w:tbl>
    <w:p w:rsidR="008D02FB" w:rsidRDefault="008D02FB" w:rsidP="00A13FA7">
      <w:pPr>
        <w:pStyle w:val="Akapitzlist"/>
        <w:numPr>
          <w:ilvl w:val="0"/>
          <w:numId w:val="34"/>
        </w:numPr>
      </w:pPr>
      <w:r w:rsidRPr="00B53C6F">
        <w:t>Sieć kanalizacyjna na terenie Gminy Hrubieszów w porównaniu do długości sieci wodociągowej jest słabo rozwinięta.</w:t>
      </w:r>
      <w:r>
        <w:t xml:space="preserve"> Od 2014 roku systematycznie rośnie liczba przyłączy kanalizacyjnych, jednakże tylko na terenie Miasta Hrubieszów. Na terenie HOF działają 4 oczyszczalnie ścieków.</w:t>
      </w:r>
    </w:p>
    <w:p w:rsidR="00884604" w:rsidRPr="00163727" w:rsidRDefault="00884604" w:rsidP="00884604">
      <w:pPr>
        <w:ind w:firstLine="0"/>
        <w:rPr>
          <w:b/>
          <w:color w:val="0292DF" w:themeColor="accent1" w:themeShade="BF"/>
        </w:rPr>
      </w:pPr>
      <w:r w:rsidRPr="00163727">
        <w:rPr>
          <w:b/>
          <w:color w:val="0292DF" w:themeColor="accent1" w:themeShade="BF"/>
        </w:rPr>
        <w:t xml:space="preserve">Planowane zamierzenia rozwojowe oraz zasady kształtowania poszczególnych elementów struktury funkcjonalno-przestrzennej </w:t>
      </w:r>
      <w:r w:rsidR="005F6F2E" w:rsidRPr="00163727">
        <w:rPr>
          <w:b/>
          <w:color w:val="0292DF" w:themeColor="accent1" w:themeShade="BF"/>
        </w:rPr>
        <w:t>Hrubieszowskiego Obszaru Funkcjonalnego</w:t>
      </w:r>
    </w:p>
    <w:p w:rsidR="00104E15" w:rsidRDefault="00104E15" w:rsidP="00104E15">
      <w:r>
        <w:rPr>
          <w:bCs/>
        </w:rPr>
        <w:t xml:space="preserve">Strategia rozwoju wymaga podejścia zintegrowanego łączącego wymiar społeczno-gospodarczy, środowiskowy i przestrzenny, dzięki czemu możliwe staje się uzyskanie większej przejrzystości procesów decyzyjnych, a analiza w wymiarze przestrzennym pozwala uwzględnić wszelkie uwarunkowania. </w:t>
      </w:r>
      <w:r w:rsidRPr="00337116">
        <w:rPr>
          <w:bCs/>
        </w:rPr>
        <w:t xml:space="preserve">Przedstawione </w:t>
      </w:r>
      <w:r>
        <w:rPr>
          <w:bCs/>
        </w:rPr>
        <w:t xml:space="preserve">w formie graficznej </w:t>
      </w:r>
      <w:r w:rsidRPr="00337116">
        <w:rPr>
          <w:bCs/>
        </w:rPr>
        <w:t xml:space="preserve">zamierzenia rozwojowe </w:t>
      </w:r>
      <w:r>
        <w:rPr>
          <w:bCs/>
        </w:rPr>
        <w:t>Hrubieszowskiego Obszaru Funkcjonalnego</w:t>
      </w:r>
      <w:r w:rsidRPr="00337116">
        <w:rPr>
          <w:bCs/>
        </w:rPr>
        <w:t xml:space="preserve"> umożliwiły ocenę </w:t>
      </w:r>
      <w:r>
        <w:rPr>
          <w:bCs/>
        </w:rPr>
        <w:t xml:space="preserve">i </w:t>
      </w:r>
      <w:r w:rsidRPr="00337116">
        <w:rPr>
          <w:bCs/>
        </w:rPr>
        <w:t>ustalenie wiodących</w:t>
      </w:r>
      <w:r>
        <w:rPr>
          <w:bCs/>
        </w:rPr>
        <w:t xml:space="preserve"> funkcji</w:t>
      </w:r>
      <w:r w:rsidRPr="00337116">
        <w:rPr>
          <w:bCs/>
        </w:rPr>
        <w:t xml:space="preserve"> elementów struktury funkcjonalno-przestrzennej </w:t>
      </w:r>
      <w:r>
        <w:rPr>
          <w:bCs/>
        </w:rPr>
        <w:t xml:space="preserve">HOF. Model obrazuje strategiczne kierunki rozwoju HOF, powiązania funkcjonalne, uwarunkowania </w:t>
      </w:r>
      <w:proofErr w:type="spellStart"/>
      <w:r>
        <w:rPr>
          <w:bCs/>
        </w:rPr>
        <w:t>endo</w:t>
      </w:r>
      <w:proofErr w:type="spellEnd"/>
      <w:r>
        <w:rPr>
          <w:bCs/>
        </w:rPr>
        <w:t xml:space="preserve">- i egzogeniczne, potrzeby rozwojowe i posiadane potencjały. Należy jednak pamiętać, że model prezentuje tylko uproszczoną wizję. Podstawę stanowi </w:t>
      </w:r>
      <w:r w:rsidRPr="003E36AE">
        <w:t>Studium Uwarunkowań i Kierunków Zagospodarowania Przestrzennego Gminy Hrubieszów</w:t>
      </w:r>
      <w:r>
        <w:t xml:space="preserve"> oraz Studium Uwarunkowań i Kierunków Zagospodarowania Przestrzennego Miasta Hrubieszów. Model prezentuje, zatem uproszczoną wizję opracowaną w dokumentach Studium oraz 3 ryciny prezentujące zidentyfikowane projekty i przedsięwzięcia do realizacji na terenie HOF.</w:t>
      </w:r>
    </w:p>
    <w:p w:rsidR="00104E15" w:rsidRPr="009C7149" w:rsidRDefault="00104E15" w:rsidP="00104E15">
      <w:pPr>
        <w:rPr>
          <w:bCs/>
        </w:rPr>
      </w:pPr>
      <w:r w:rsidRPr="009C7149">
        <w:rPr>
          <w:bCs/>
        </w:rPr>
        <w:t xml:space="preserve">Priorytetem dla rozwoju przestrzennego </w:t>
      </w:r>
      <w:r>
        <w:rPr>
          <w:bCs/>
        </w:rPr>
        <w:t>HOF</w:t>
      </w:r>
      <w:r w:rsidRPr="009C7149">
        <w:rPr>
          <w:bCs/>
        </w:rPr>
        <w:t xml:space="preserve"> jest uzyskanie struktury funkcjonalno-przestrzennej, która w harmonijny i zrównoważony sposób wykorzysta jej walory i zasoby przyrodnicze oraz kulturowe dla poprawy życia mieszkańców. Priorytet ten będzie realizowany poprzez realizację zamierzeń inwestycyjnych, dzięki którym dojdzie do:</w:t>
      </w:r>
    </w:p>
    <w:p w:rsidR="00104E15" w:rsidRPr="005A057D" w:rsidRDefault="00104E15" w:rsidP="00A13FA7">
      <w:pPr>
        <w:pStyle w:val="Akapitzlist"/>
        <w:numPr>
          <w:ilvl w:val="0"/>
          <w:numId w:val="36"/>
        </w:numPr>
        <w:spacing w:before="0" w:after="200"/>
        <w:rPr>
          <w:bCs/>
        </w:rPr>
      </w:pPr>
      <w:r w:rsidRPr="005A057D">
        <w:rPr>
          <w:bCs/>
        </w:rPr>
        <w:t>uzyskani</w:t>
      </w:r>
      <w:r>
        <w:rPr>
          <w:bCs/>
        </w:rPr>
        <w:t>a</w:t>
      </w:r>
      <w:r w:rsidRPr="005A057D">
        <w:rPr>
          <w:bCs/>
        </w:rPr>
        <w:t xml:space="preserve"> wysokich standardów i ładu w zagospodarowaniu przestrzennym oraz harmonizacj</w:t>
      </w:r>
      <w:r>
        <w:rPr>
          <w:bCs/>
        </w:rPr>
        <w:t>i</w:t>
      </w:r>
      <w:r w:rsidRPr="005A057D">
        <w:rPr>
          <w:bCs/>
        </w:rPr>
        <w:t xml:space="preserve"> całego układu</w:t>
      </w:r>
      <w:r w:rsidR="00F061E4" w:rsidRPr="00F061E4">
        <w:rPr>
          <w:bCs/>
        </w:rPr>
        <w:t xml:space="preserve"> </w:t>
      </w:r>
      <w:r w:rsidR="00F061E4" w:rsidRPr="005A057D">
        <w:rPr>
          <w:bCs/>
        </w:rPr>
        <w:t>przestrzennego</w:t>
      </w:r>
      <w:proofErr w:type="gramStart"/>
      <w:r w:rsidR="00F061E4" w:rsidRPr="005A057D">
        <w:rPr>
          <w:bCs/>
        </w:rPr>
        <w:t>,</w:t>
      </w:r>
      <w:r w:rsidRPr="005A057D">
        <w:rPr>
          <w:bCs/>
        </w:rPr>
        <w:t>,</w:t>
      </w:r>
      <w:proofErr w:type="gramEnd"/>
    </w:p>
    <w:p w:rsidR="00104E15" w:rsidRPr="005A057D" w:rsidRDefault="00104E15" w:rsidP="00A13FA7">
      <w:pPr>
        <w:pStyle w:val="Akapitzlist"/>
        <w:numPr>
          <w:ilvl w:val="0"/>
          <w:numId w:val="36"/>
        </w:numPr>
        <w:spacing w:before="0" w:after="200"/>
        <w:rPr>
          <w:bCs/>
        </w:rPr>
      </w:pPr>
      <w:proofErr w:type="gramStart"/>
      <w:r w:rsidRPr="005A057D">
        <w:rPr>
          <w:bCs/>
        </w:rPr>
        <w:t>kompleksowej</w:t>
      </w:r>
      <w:proofErr w:type="gramEnd"/>
      <w:r w:rsidRPr="005A057D">
        <w:rPr>
          <w:bCs/>
        </w:rPr>
        <w:t xml:space="preserve"> ochrony pr</w:t>
      </w:r>
      <w:r>
        <w:rPr>
          <w:bCs/>
        </w:rPr>
        <w:t>zyrody i krajobrazu oraz poprawy</w:t>
      </w:r>
      <w:r w:rsidRPr="005A057D">
        <w:rPr>
          <w:bCs/>
        </w:rPr>
        <w:t xml:space="preserve"> stanu środowiska na obszarze </w:t>
      </w:r>
      <w:r>
        <w:rPr>
          <w:bCs/>
        </w:rPr>
        <w:t>HOF</w:t>
      </w:r>
      <w:r w:rsidRPr="005A057D">
        <w:rPr>
          <w:bCs/>
        </w:rPr>
        <w:t>,</w:t>
      </w:r>
    </w:p>
    <w:p w:rsidR="00104E15" w:rsidRPr="005A057D" w:rsidRDefault="00104E15" w:rsidP="00A13FA7">
      <w:pPr>
        <w:pStyle w:val="Akapitzlist"/>
        <w:numPr>
          <w:ilvl w:val="0"/>
          <w:numId w:val="36"/>
        </w:numPr>
        <w:spacing w:before="0" w:after="200"/>
        <w:rPr>
          <w:bCs/>
        </w:rPr>
      </w:pPr>
      <w:r w:rsidRPr="005A057D">
        <w:rPr>
          <w:bCs/>
        </w:rPr>
        <w:t>ochrony d</w:t>
      </w:r>
      <w:r>
        <w:rPr>
          <w:bCs/>
        </w:rPr>
        <w:t>ziedzictwa kulturowego, służącego</w:t>
      </w:r>
      <w:r w:rsidRPr="005A057D">
        <w:rPr>
          <w:bCs/>
        </w:rPr>
        <w:t xml:space="preserve"> utrwaleniu tożsamości jednostek osadniczych </w:t>
      </w:r>
      <w:r>
        <w:rPr>
          <w:bCs/>
        </w:rPr>
        <w:t>HOF</w:t>
      </w:r>
      <w:r w:rsidRPr="005A057D">
        <w:rPr>
          <w:bCs/>
        </w:rPr>
        <w:t xml:space="preserve"> i utrzymaniu </w:t>
      </w:r>
      <w:proofErr w:type="gramStart"/>
      <w:r w:rsidRPr="005A057D">
        <w:rPr>
          <w:bCs/>
        </w:rPr>
        <w:t>ich jako</w:t>
      </w:r>
      <w:proofErr w:type="gramEnd"/>
      <w:r w:rsidRPr="005A057D">
        <w:rPr>
          <w:bCs/>
        </w:rPr>
        <w:t xml:space="preserve"> głównych elementów struktury </w:t>
      </w:r>
      <w:r w:rsidR="00F061E4" w:rsidRPr="005A057D">
        <w:rPr>
          <w:bCs/>
        </w:rPr>
        <w:t>przestrzennej,</w:t>
      </w:r>
    </w:p>
    <w:p w:rsidR="00104E15" w:rsidRPr="005A057D" w:rsidRDefault="00104E15" w:rsidP="00A13FA7">
      <w:pPr>
        <w:pStyle w:val="Akapitzlist"/>
        <w:numPr>
          <w:ilvl w:val="0"/>
          <w:numId w:val="36"/>
        </w:numPr>
        <w:spacing w:before="0" w:after="200"/>
        <w:rPr>
          <w:bCs/>
        </w:rPr>
      </w:pPr>
      <w:proofErr w:type="gramStart"/>
      <w:r w:rsidRPr="005A057D">
        <w:rPr>
          <w:bCs/>
        </w:rPr>
        <w:t>rozwoju</w:t>
      </w:r>
      <w:proofErr w:type="gramEnd"/>
      <w:r w:rsidRPr="005A057D">
        <w:rPr>
          <w:bCs/>
        </w:rPr>
        <w:t xml:space="preserve"> głównych gałęzi gospodarki przy wykorzystaniu w maksymalnym stopniu własnego potencjału i naturalnych predyspozycji dla rozwoju ro</w:t>
      </w:r>
      <w:r>
        <w:rPr>
          <w:bCs/>
        </w:rPr>
        <w:t>lnictwa, turystyki, rekreacji</w:t>
      </w:r>
      <w:r w:rsidR="00F061E4">
        <w:rPr>
          <w:bCs/>
        </w:rPr>
        <w:t>, edukacji</w:t>
      </w:r>
      <w:r>
        <w:rPr>
          <w:bCs/>
        </w:rPr>
        <w:t xml:space="preserve"> i </w:t>
      </w:r>
      <w:r w:rsidRPr="005A057D">
        <w:rPr>
          <w:bCs/>
        </w:rPr>
        <w:t>przedsiębiorczości,</w:t>
      </w:r>
    </w:p>
    <w:p w:rsidR="00104E15" w:rsidRPr="005A057D" w:rsidRDefault="00104E15" w:rsidP="00A13FA7">
      <w:pPr>
        <w:pStyle w:val="Akapitzlist"/>
        <w:numPr>
          <w:ilvl w:val="0"/>
          <w:numId w:val="36"/>
        </w:numPr>
        <w:spacing w:before="0" w:after="200"/>
        <w:rPr>
          <w:bCs/>
        </w:rPr>
      </w:pPr>
      <w:proofErr w:type="gramStart"/>
      <w:r w:rsidRPr="005A057D">
        <w:rPr>
          <w:bCs/>
        </w:rPr>
        <w:lastRenderedPageBreak/>
        <w:t>rozw</w:t>
      </w:r>
      <w:r>
        <w:rPr>
          <w:bCs/>
        </w:rPr>
        <w:t>oju</w:t>
      </w:r>
      <w:proofErr w:type="gramEnd"/>
      <w:r w:rsidRPr="005A057D">
        <w:rPr>
          <w:bCs/>
        </w:rPr>
        <w:t xml:space="preserve"> alternatywnych sposobów wytwarzania i pozyskiwania </w:t>
      </w:r>
      <w:r w:rsidR="00F061E4" w:rsidRPr="005A057D">
        <w:rPr>
          <w:bCs/>
        </w:rPr>
        <w:t>energii</w:t>
      </w:r>
      <w:r w:rsidR="00F061E4">
        <w:rPr>
          <w:bCs/>
        </w:rPr>
        <w:t>,</w:t>
      </w:r>
    </w:p>
    <w:p w:rsidR="00104E15" w:rsidRDefault="00104E15" w:rsidP="00A13FA7">
      <w:pPr>
        <w:pStyle w:val="Akapitzlist"/>
        <w:numPr>
          <w:ilvl w:val="0"/>
          <w:numId w:val="36"/>
        </w:numPr>
        <w:spacing w:before="0" w:after="200"/>
        <w:rPr>
          <w:bCs/>
        </w:rPr>
      </w:pPr>
      <w:proofErr w:type="gramStart"/>
      <w:r w:rsidRPr="005A057D">
        <w:rPr>
          <w:bCs/>
        </w:rPr>
        <w:t>pełne</w:t>
      </w:r>
      <w:r>
        <w:rPr>
          <w:bCs/>
        </w:rPr>
        <w:t>go</w:t>
      </w:r>
      <w:proofErr w:type="gramEnd"/>
      <w:r w:rsidRPr="005A057D">
        <w:rPr>
          <w:bCs/>
        </w:rPr>
        <w:t xml:space="preserve"> wykorzystani</w:t>
      </w:r>
      <w:r>
        <w:rPr>
          <w:bCs/>
        </w:rPr>
        <w:t>a</w:t>
      </w:r>
      <w:r w:rsidRPr="005A057D">
        <w:rPr>
          <w:bCs/>
        </w:rPr>
        <w:t xml:space="preserve"> powiązań komunikacyjnych, położenia </w:t>
      </w:r>
      <w:r>
        <w:rPr>
          <w:bCs/>
        </w:rPr>
        <w:t>przy granicy państwa.</w:t>
      </w:r>
    </w:p>
    <w:p w:rsidR="00104E15" w:rsidRDefault="00104E15" w:rsidP="00104E15">
      <w:pPr>
        <w:spacing w:before="0"/>
        <w:rPr>
          <w:bCs/>
        </w:rPr>
      </w:pPr>
      <w:r w:rsidRPr="00104E15">
        <w:rPr>
          <w:bCs/>
        </w:rPr>
        <w:t>Główne elementy struktury funkcjonalno-przestrzennej Hrubieszowskiego Obszaru Funkcjonalnego budują:</w:t>
      </w:r>
    </w:p>
    <w:p w:rsidR="00104E15" w:rsidRDefault="00104E15" w:rsidP="00A13FA7">
      <w:pPr>
        <w:pStyle w:val="Akapitzlist"/>
        <w:numPr>
          <w:ilvl w:val="0"/>
          <w:numId w:val="37"/>
        </w:numPr>
        <w:spacing w:before="0" w:after="200"/>
        <w:rPr>
          <w:bCs/>
        </w:rPr>
      </w:pPr>
      <w:proofErr w:type="gramStart"/>
      <w:r>
        <w:rPr>
          <w:bCs/>
        </w:rPr>
        <w:t>zasoby</w:t>
      </w:r>
      <w:proofErr w:type="gramEnd"/>
      <w:r w:rsidRPr="00AF3D28">
        <w:rPr>
          <w:bCs/>
        </w:rPr>
        <w:t xml:space="preserve"> wód otwartych,</w:t>
      </w:r>
      <w:r>
        <w:rPr>
          <w:bCs/>
        </w:rPr>
        <w:t xml:space="preserve"> jak również nowo projektowane zbiorniki retencyjne,</w:t>
      </w:r>
    </w:p>
    <w:p w:rsidR="00104E15" w:rsidRDefault="00104E15" w:rsidP="00A13FA7">
      <w:pPr>
        <w:pStyle w:val="Akapitzlist"/>
        <w:numPr>
          <w:ilvl w:val="0"/>
          <w:numId w:val="37"/>
        </w:numPr>
        <w:spacing w:before="0" w:after="200"/>
        <w:rPr>
          <w:bCs/>
        </w:rPr>
      </w:pPr>
      <w:proofErr w:type="gramStart"/>
      <w:r w:rsidRPr="00AF3D28">
        <w:rPr>
          <w:bCs/>
        </w:rPr>
        <w:t>nowe</w:t>
      </w:r>
      <w:proofErr w:type="gramEnd"/>
      <w:r w:rsidRPr="00AF3D28">
        <w:rPr>
          <w:bCs/>
        </w:rPr>
        <w:t xml:space="preserve"> tereny usług, w tym turystyki, wypoczynku i rekreacji,</w:t>
      </w:r>
    </w:p>
    <w:p w:rsidR="00104E15" w:rsidRPr="00AF3D28" w:rsidRDefault="00104E15" w:rsidP="00A13FA7">
      <w:pPr>
        <w:pStyle w:val="Akapitzlist"/>
        <w:numPr>
          <w:ilvl w:val="0"/>
          <w:numId w:val="37"/>
        </w:numPr>
        <w:spacing w:after="120"/>
        <w:rPr>
          <w:bCs/>
        </w:rPr>
      </w:pPr>
      <w:proofErr w:type="gramStart"/>
      <w:r w:rsidRPr="00AF3D28">
        <w:rPr>
          <w:bCs/>
        </w:rPr>
        <w:t>nowe</w:t>
      </w:r>
      <w:proofErr w:type="gramEnd"/>
      <w:r w:rsidRPr="00AF3D28">
        <w:rPr>
          <w:bCs/>
        </w:rPr>
        <w:t xml:space="preserve"> tereny zabudowy mieszkaniowej z usługami towarzyszącymi we wszystkich jednostkach </w:t>
      </w:r>
      <w:r>
        <w:rPr>
          <w:bCs/>
        </w:rPr>
        <w:t>osadniczych</w:t>
      </w:r>
      <w:r w:rsidRPr="00AF3D28">
        <w:rPr>
          <w:bCs/>
        </w:rPr>
        <w:t>,</w:t>
      </w:r>
    </w:p>
    <w:p w:rsidR="00104E15" w:rsidRPr="00AF3D28" w:rsidRDefault="00104E15" w:rsidP="00A13FA7">
      <w:pPr>
        <w:pStyle w:val="Akapitzlist"/>
        <w:numPr>
          <w:ilvl w:val="0"/>
          <w:numId w:val="37"/>
        </w:numPr>
        <w:spacing w:before="0" w:after="200"/>
        <w:rPr>
          <w:bCs/>
        </w:rPr>
      </w:pPr>
      <w:proofErr w:type="gramStart"/>
      <w:r w:rsidRPr="00AF3D28">
        <w:rPr>
          <w:bCs/>
        </w:rPr>
        <w:t>spójny</w:t>
      </w:r>
      <w:proofErr w:type="gramEnd"/>
      <w:r w:rsidRPr="00AF3D28">
        <w:rPr>
          <w:bCs/>
        </w:rPr>
        <w:t xml:space="preserve"> system istniejących i projektowanych </w:t>
      </w:r>
      <w:r>
        <w:rPr>
          <w:bCs/>
        </w:rPr>
        <w:t>terenów przyrodniczych i zielonych</w:t>
      </w:r>
      <w:r w:rsidRPr="00AF3D28">
        <w:rPr>
          <w:bCs/>
        </w:rPr>
        <w:t>,</w:t>
      </w:r>
    </w:p>
    <w:p w:rsidR="00104E15" w:rsidRDefault="00104E15" w:rsidP="00A13FA7">
      <w:pPr>
        <w:pStyle w:val="Akapitzlist"/>
        <w:numPr>
          <w:ilvl w:val="0"/>
          <w:numId w:val="37"/>
        </w:numPr>
        <w:spacing w:before="0" w:after="200"/>
        <w:rPr>
          <w:bCs/>
        </w:rPr>
      </w:pPr>
      <w:proofErr w:type="gramStart"/>
      <w:r w:rsidRPr="00AF3D28">
        <w:rPr>
          <w:bCs/>
        </w:rPr>
        <w:t>spójny</w:t>
      </w:r>
      <w:proofErr w:type="gramEnd"/>
      <w:r w:rsidRPr="00AF3D28">
        <w:rPr>
          <w:bCs/>
        </w:rPr>
        <w:t xml:space="preserve"> system ochrony wartościowych elementów środowiska kulturowego,</w:t>
      </w:r>
    </w:p>
    <w:p w:rsidR="00104E15" w:rsidRPr="00AF3D28" w:rsidRDefault="00104E15" w:rsidP="00A13FA7">
      <w:pPr>
        <w:pStyle w:val="Akapitzlist"/>
        <w:numPr>
          <w:ilvl w:val="0"/>
          <w:numId w:val="37"/>
        </w:numPr>
        <w:spacing w:before="0" w:after="200"/>
        <w:rPr>
          <w:bCs/>
        </w:rPr>
      </w:pPr>
      <w:proofErr w:type="gramStart"/>
      <w:r w:rsidRPr="00AF3D28">
        <w:rPr>
          <w:bCs/>
        </w:rPr>
        <w:t>kompleksy</w:t>
      </w:r>
      <w:proofErr w:type="gramEnd"/>
      <w:r w:rsidRPr="00AF3D28">
        <w:rPr>
          <w:bCs/>
        </w:rPr>
        <w:t xml:space="preserve"> leśne, kompleksy łąkowo-pastwiskowe oraz grunty orne,</w:t>
      </w:r>
    </w:p>
    <w:p w:rsidR="00104E15" w:rsidRPr="00AF3D28" w:rsidRDefault="00104E15" w:rsidP="00A13FA7">
      <w:pPr>
        <w:pStyle w:val="Akapitzlist"/>
        <w:numPr>
          <w:ilvl w:val="0"/>
          <w:numId w:val="37"/>
        </w:numPr>
        <w:spacing w:after="120"/>
        <w:rPr>
          <w:bCs/>
        </w:rPr>
      </w:pPr>
      <w:proofErr w:type="gramStart"/>
      <w:r w:rsidRPr="00AF3D28">
        <w:rPr>
          <w:bCs/>
        </w:rPr>
        <w:t>obiekty</w:t>
      </w:r>
      <w:proofErr w:type="gramEnd"/>
      <w:r w:rsidRPr="00AF3D28">
        <w:rPr>
          <w:bCs/>
        </w:rPr>
        <w:t xml:space="preserve"> i tereny przemysłowe, produkcyjno-usługowe i usługowe, w tym dla obsługi turystyki,</w:t>
      </w:r>
    </w:p>
    <w:p w:rsidR="00104E15" w:rsidRPr="00402F08" w:rsidRDefault="00104E15" w:rsidP="00A13FA7">
      <w:pPr>
        <w:pStyle w:val="Akapitzlist"/>
        <w:numPr>
          <w:ilvl w:val="0"/>
          <w:numId w:val="37"/>
        </w:numPr>
        <w:spacing w:after="120"/>
        <w:rPr>
          <w:bCs/>
        </w:rPr>
      </w:pPr>
      <w:proofErr w:type="gramStart"/>
      <w:r w:rsidRPr="00402F08">
        <w:rPr>
          <w:bCs/>
        </w:rPr>
        <w:t>sieć</w:t>
      </w:r>
      <w:proofErr w:type="gramEnd"/>
      <w:r w:rsidRPr="00402F08">
        <w:rPr>
          <w:bCs/>
        </w:rPr>
        <w:t xml:space="preserve"> szlaków turystycznych, pieszych i rowerowych</w:t>
      </w:r>
      <w:r>
        <w:rPr>
          <w:bCs/>
        </w:rPr>
        <w:t>,</w:t>
      </w:r>
      <w:r w:rsidRPr="00402F08">
        <w:rPr>
          <w:bCs/>
        </w:rPr>
        <w:t xml:space="preserve"> </w:t>
      </w:r>
    </w:p>
    <w:p w:rsidR="00104E15" w:rsidRPr="00AE3E40" w:rsidRDefault="00104E15" w:rsidP="00A13FA7">
      <w:pPr>
        <w:pStyle w:val="Akapitzlist"/>
        <w:numPr>
          <w:ilvl w:val="0"/>
          <w:numId w:val="37"/>
        </w:numPr>
        <w:spacing w:after="120"/>
        <w:rPr>
          <w:bCs/>
        </w:rPr>
      </w:pPr>
      <w:proofErr w:type="gramStart"/>
      <w:r w:rsidRPr="00AE3E40">
        <w:rPr>
          <w:bCs/>
        </w:rPr>
        <w:t>sieć</w:t>
      </w:r>
      <w:proofErr w:type="gramEnd"/>
      <w:r w:rsidRPr="00AE3E40">
        <w:rPr>
          <w:bCs/>
        </w:rPr>
        <w:t xml:space="preserve"> dróg publicznych </w:t>
      </w:r>
      <w:r w:rsidRPr="00036D9E">
        <w:rPr>
          <w:bCs/>
        </w:rPr>
        <w:t>krajowych, wojewódzkich, powiatowych i gminn</w:t>
      </w:r>
      <w:r w:rsidRPr="00AE3E40">
        <w:rPr>
          <w:bCs/>
        </w:rPr>
        <w:t>ych,</w:t>
      </w:r>
    </w:p>
    <w:p w:rsidR="00104E15" w:rsidRPr="004701CA" w:rsidRDefault="00104E15" w:rsidP="00A13FA7">
      <w:pPr>
        <w:pStyle w:val="Akapitzlist"/>
        <w:numPr>
          <w:ilvl w:val="0"/>
          <w:numId w:val="37"/>
        </w:numPr>
        <w:spacing w:after="120"/>
        <w:rPr>
          <w:bCs/>
        </w:rPr>
      </w:pPr>
      <w:proofErr w:type="gramStart"/>
      <w:r w:rsidRPr="004701CA">
        <w:rPr>
          <w:bCs/>
        </w:rPr>
        <w:t>sieci</w:t>
      </w:r>
      <w:proofErr w:type="gramEnd"/>
      <w:r w:rsidRPr="004701CA">
        <w:rPr>
          <w:bCs/>
        </w:rPr>
        <w:t xml:space="preserve"> i urządzenia infrastruktury </w:t>
      </w:r>
      <w:r w:rsidR="00147C21" w:rsidRPr="004701CA">
        <w:rPr>
          <w:bCs/>
        </w:rPr>
        <w:t>technicznej.</w:t>
      </w:r>
    </w:p>
    <w:p w:rsidR="00104E15" w:rsidRDefault="00104E15" w:rsidP="00104E15">
      <w:pPr>
        <w:pStyle w:val="Legenda"/>
        <w:keepNext/>
        <w:spacing w:after="0"/>
        <w:ind w:firstLine="0"/>
        <w:jc w:val="center"/>
      </w:pPr>
      <w:bookmarkStart w:id="67" w:name="_Toc138068511"/>
      <w:r>
        <w:rPr>
          <w:b w:val="0"/>
          <w:noProof/>
          <w:color w:val="984806"/>
          <w:lang w:eastAsia="pl-PL"/>
        </w:rPr>
        <w:lastRenderedPageBreak/>
        <w:drawing>
          <wp:anchor distT="0" distB="0" distL="114300" distR="114300" simplePos="0" relativeHeight="251727872" behindDoc="0" locked="0" layoutInCell="1" allowOverlap="1" wp14:anchorId="6DE4ABF7" wp14:editId="78A615E4">
            <wp:simplePos x="0" y="0"/>
            <wp:positionH relativeFrom="margin">
              <wp:posOffset>31750</wp:posOffset>
            </wp:positionH>
            <wp:positionV relativeFrom="paragraph">
              <wp:posOffset>298450</wp:posOffset>
            </wp:positionV>
            <wp:extent cx="5936615" cy="7847330"/>
            <wp:effectExtent l="0" t="0" r="6985" b="1270"/>
            <wp:wrapTopAndBottom/>
            <wp:docPr id="299" name="Obraz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f_suikzp_v2_.jpg"/>
                    <pic:cNvPicPr/>
                  </pic:nvPicPr>
                  <pic:blipFill rotWithShape="1">
                    <a:blip r:embed="rId88" cstate="print">
                      <a:extLst>
                        <a:ext uri="{28A0092B-C50C-407E-A947-70E740481C1C}">
                          <a14:useLocalDpi xmlns:a14="http://schemas.microsoft.com/office/drawing/2010/main" val="0"/>
                        </a:ext>
                      </a:extLst>
                    </a:blip>
                    <a:srcRect t="6547"/>
                    <a:stretch/>
                  </pic:blipFill>
                  <pic:spPr bwMode="auto">
                    <a:xfrm>
                      <a:off x="0" y="0"/>
                      <a:ext cx="5936615" cy="7847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4037">
        <w:t xml:space="preserve">Ryc. </w:t>
      </w:r>
      <w:r w:rsidR="00E20FF4">
        <w:fldChar w:fldCharType="begin"/>
      </w:r>
      <w:r w:rsidR="00E20FF4">
        <w:instrText xml:space="preserve"> SEQ Ryc. \* ARABIC </w:instrText>
      </w:r>
      <w:r w:rsidR="00E20FF4">
        <w:fldChar w:fldCharType="separate"/>
      </w:r>
      <w:r w:rsidR="0022657A">
        <w:rPr>
          <w:noProof/>
        </w:rPr>
        <w:t>15</w:t>
      </w:r>
      <w:r w:rsidR="00E20FF4">
        <w:rPr>
          <w:noProof/>
        </w:rPr>
        <w:fldChar w:fldCharType="end"/>
      </w:r>
      <w:r w:rsidR="001D4037">
        <w:t xml:space="preserve">. </w:t>
      </w:r>
      <w:r w:rsidR="001D4037" w:rsidRPr="008A4AE9">
        <w:t xml:space="preserve">Model funkcjonalno-przestrzenny </w:t>
      </w:r>
      <w:r w:rsidR="001D4037">
        <w:t>HOF</w:t>
      </w:r>
      <w:r w:rsidR="001D4037" w:rsidRPr="008A4AE9">
        <w:t xml:space="preserve"> wynikający z obowiązujących dokumentów planistycznych</w:t>
      </w:r>
      <w:bookmarkEnd w:id="67"/>
    </w:p>
    <w:p w:rsidR="00104E15" w:rsidRPr="00104E15" w:rsidRDefault="00104E15" w:rsidP="00104E15">
      <w:pPr>
        <w:rPr>
          <w:i/>
          <w:sz w:val="18"/>
          <w:szCs w:val="18"/>
        </w:rPr>
      </w:pPr>
      <w:r w:rsidRPr="00104E15">
        <w:rPr>
          <w:i/>
          <w:sz w:val="18"/>
          <w:szCs w:val="18"/>
        </w:rPr>
        <w:t xml:space="preserve">Źródło: </w:t>
      </w:r>
      <w:r>
        <w:rPr>
          <w:i/>
          <w:sz w:val="18"/>
          <w:szCs w:val="18"/>
        </w:rPr>
        <w:t>O</w:t>
      </w:r>
      <w:r w:rsidRPr="00104E15">
        <w:rPr>
          <w:i/>
          <w:sz w:val="18"/>
          <w:szCs w:val="18"/>
        </w:rPr>
        <w:t>pracowanie własne</w:t>
      </w:r>
    </w:p>
    <w:p w:rsidR="00097D26" w:rsidRDefault="005F6F2E" w:rsidP="00097D26">
      <w:pPr>
        <w:spacing w:before="0"/>
        <w:ind w:firstLine="0"/>
        <w:jc w:val="center"/>
        <w:rPr>
          <w:bCs/>
        </w:rPr>
      </w:pPr>
      <w:r>
        <w:rPr>
          <w:b/>
          <w:noProof/>
          <w:color w:val="984806"/>
          <w:lang w:eastAsia="pl-PL"/>
        </w:rPr>
        <w:lastRenderedPageBreak/>
        <w:drawing>
          <wp:inline distT="0" distB="0" distL="0" distR="0" wp14:anchorId="16A2D314" wp14:editId="7F88547E">
            <wp:extent cx="3926833" cy="8707582"/>
            <wp:effectExtent l="0" t="0" r="0" b="0"/>
            <wp:docPr id="300" name="Obraz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f_suikzp_legenda.jpg"/>
                    <pic:cNvPicPr/>
                  </pic:nvPicPr>
                  <pic:blipFill rotWithShape="1">
                    <a:blip r:embed="rId89" cstate="print">
                      <a:extLst>
                        <a:ext uri="{28A0092B-C50C-407E-A947-70E740481C1C}">
                          <a14:useLocalDpi xmlns:a14="http://schemas.microsoft.com/office/drawing/2010/main" val="0"/>
                        </a:ext>
                      </a:extLst>
                    </a:blip>
                    <a:srcRect t="5442" r="43322" b="5702"/>
                    <a:stretch/>
                  </pic:blipFill>
                  <pic:spPr bwMode="auto">
                    <a:xfrm>
                      <a:off x="0" y="0"/>
                      <a:ext cx="3931259" cy="8717397"/>
                    </a:xfrm>
                    <a:prstGeom prst="rect">
                      <a:avLst/>
                    </a:prstGeom>
                    <a:ln>
                      <a:noFill/>
                    </a:ln>
                    <a:extLst>
                      <a:ext uri="{53640926-AAD7-44D8-BBD7-CCE9431645EC}">
                        <a14:shadowObscured xmlns:a14="http://schemas.microsoft.com/office/drawing/2010/main"/>
                      </a:ext>
                    </a:extLst>
                  </pic:spPr>
                </pic:pic>
              </a:graphicData>
            </a:graphic>
          </wp:inline>
        </w:drawing>
      </w:r>
    </w:p>
    <w:p w:rsidR="00097D26" w:rsidRDefault="00097D26" w:rsidP="00097D26">
      <w:pPr>
        <w:pStyle w:val="Legenda"/>
        <w:keepNext/>
        <w:spacing w:after="0"/>
      </w:pPr>
      <w:bookmarkStart w:id="68" w:name="_Toc138068512"/>
      <w:r>
        <w:lastRenderedPageBreak/>
        <w:t xml:space="preserve">Ryc. </w:t>
      </w:r>
      <w:r w:rsidR="00E20FF4">
        <w:fldChar w:fldCharType="begin"/>
      </w:r>
      <w:r w:rsidR="00E20FF4">
        <w:instrText xml:space="preserve"> SEQ Ryc. \* ARABIC </w:instrText>
      </w:r>
      <w:r w:rsidR="00E20FF4">
        <w:fldChar w:fldCharType="separate"/>
      </w:r>
      <w:r w:rsidR="0022657A">
        <w:rPr>
          <w:noProof/>
        </w:rPr>
        <w:t>16</w:t>
      </w:r>
      <w:r w:rsidR="00E20FF4">
        <w:rPr>
          <w:noProof/>
        </w:rPr>
        <w:fldChar w:fldCharType="end"/>
      </w:r>
      <w:r>
        <w:t xml:space="preserve">. </w:t>
      </w:r>
      <w:r w:rsidRPr="00A425B6">
        <w:t>Planowane zamierzenia rozwojowe w zakresie turystyki, kultury oraz dostępności</w:t>
      </w:r>
      <w:bookmarkEnd w:id="68"/>
    </w:p>
    <w:p w:rsidR="00097D26" w:rsidRDefault="00AF501A" w:rsidP="00CF30EA">
      <w:pPr>
        <w:spacing w:after="0"/>
        <w:ind w:firstLine="0"/>
        <w:jc w:val="center"/>
        <w:rPr>
          <w:bCs/>
        </w:rPr>
      </w:pPr>
      <w:r>
        <w:rPr>
          <w:bCs/>
          <w:noProof/>
          <w:lang w:eastAsia="pl-PL"/>
        </w:rPr>
        <w:drawing>
          <wp:inline distT="0" distB="0" distL="0" distR="0" wp14:anchorId="2C1E68C0" wp14:editId="25A554B6">
            <wp:extent cx="5760720" cy="7602855"/>
            <wp:effectExtent l="0" t="0" r="0" b="0"/>
            <wp:docPr id="672" name="Obraz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1_poprawiona_07_07_2023.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760720" cy="7602855"/>
                    </a:xfrm>
                    <a:prstGeom prst="rect">
                      <a:avLst/>
                    </a:prstGeom>
                  </pic:spPr>
                </pic:pic>
              </a:graphicData>
            </a:graphic>
          </wp:inline>
        </w:drawing>
      </w:r>
    </w:p>
    <w:p w:rsidR="00097D26" w:rsidRDefault="00097D26" w:rsidP="00104E15">
      <w:pPr>
        <w:rPr>
          <w:bCs/>
          <w:i/>
          <w:sz w:val="18"/>
          <w:szCs w:val="18"/>
        </w:rPr>
      </w:pPr>
      <w:r w:rsidRPr="00097D26">
        <w:rPr>
          <w:bCs/>
          <w:i/>
          <w:sz w:val="18"/>
          <w:szCs w:val="18"/>
        </w:rPr>
        <w:t>Źródło: Opracowanie własne</w:t>
      </w:r>
    </w:p>
    <w:p w:rsidR="00097D26" w:rsidRDefault="00097D26" w:rsidP="00104E15">
      <w:pPr>
        <w:rPr>
          <w:bCs/>
          <w:i/>
          <w:sz w:val="18"/>
          <w:szCs w:val="18"/>
        </w:rPr>
        <w:sectPr w:rsidR="00097D26" w:rsidSect="003E35BE">
          <w:pgSz w:w="11906" w:h="16838"/>
          <w:pgMar w:top="1417" w:right="1417" w:bottom="1417" w:left="1417" w:header="708" w:footer="708" w:gutter="0"/>
          <w:cols w:space="708"/>
          <w:docGrid w:linePitch="360"/>
        </w:sectPr>
      </w:pPr>
    </w:p>
    <w:tbl>
      <w:tblPr>
        <w:tblStyle w:val="Jasnasiatkaakcent2"/>
        <w:tblW w:w="0" w:type="auto"/>
        <w:tblLook w:val="04A0" w:firstRow="1" w:lastRow="0" w:firstColumn="1" w:lastColumn="0" w:noHBand="0" w:noVBand="1"/>
      </w:tblPr>
      <w:tblGrid>
        <w:gridCol w:w="2802"/>
        <w:gridCol w:w="5811"/>
        <w:gridCol w:w="5531"/>
      </w:tblGrid>
      <w:tr w:rsidR="00097D26" w:rsidRPr="00FC4991" w:rsidTr="007F23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097D26" w:rsidRPr="00FC4991" w:rsidRDefault="00097D26" w:rsidP="007F2303">
            <w:pPr>
              <w:spacing w:before="0"/>
              <w:ind w:firstLine="0"/>
              <w:jc w:val="left"/>
              <w:rPr>
                <w:sz w:val="18"/>
                <w:szCs w:val="18"/>
              </w:rPr>
            </w:pPr>
            <w:r w:rsidRPr="00FC4991">
              <w:rPr>
                <w:sz w:val="18"/>
                <w:szCs w:val="18"/>
              </w:rPr>
              <w:lastRenderedPageBreak/>
              <w:t>Kategoria</w:t>
            </w:r>
          </w:p>
        </w:tc>
        <w:tc>
          <w:tcPr>
            <w:tcW w:w="11342" w:type="dxa"/>
            <w:gridSpan w:val="2"/>
            <w:vAlign w:val="center"/>
          </w:tcPr>
          <w:p w:rsidR="00097D26" w:rsidRPr="00FC4991" w:rsidRDefault="00097D26" w:rsidP="007F2303">
            <w:pPr>
              <w:spacing w:before="0"/>
              <w:ind w:firstLine="0"/>
              <w:jc w:val="left"/>
              <w:cnfStyle w:val="100000000000" w:firstRow="1" w:lastRow="0" w:firstColumn="0" w:lastColumn="0" w:oddVBand="0" w:evenVBand="0" w:oddHBand="0" w:evenHBand="0" w:firstRowFirstColumn="0" w:firstRowLastColumn="0" w:lastRowFirstColumn="0" w:lastRowLastColumn="0"/>
              <w:rPr>
                <w:sz w:val="18"/>
                <w:szCs w:val="18"/>
              </w:rPr>
            </w:pPr>
            <w:r w:rsidRPr="00FC4991">
              <w:rPr>
                <w:sz w:val="18"/>
                <w:szCs w:val="18"/>
              </w:rPr>
              <w:t>Wykaz zadań rozwojowych</w:t>
            </w:r>
          </w:p>
        </w:tc>
      </w:tr>
      <w:tr w:rsidR="00097D26" w:rsidRPr="00FC4991"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097D26" w:rsidRPr="00FC4991" w:rsidRDefault="00097D26" w:rsidP="007F2303">
            <w:pPr>
              <w:spacing w:before="0"/>
              <w:ind w:firstLine="0"/>
              <w:jc w:val="left"/>
              <w:rPr>
                <w:sz w:val="18"/>
                <w:szCs w:val="18"/>
              </w:rPr>
            </w:pPr>
          </w:p>
        </w:tc>
        <w:tc>
          <w:tcPr>
            <w:tcW w:w="5811" w:type="dxa"/>
            <w:vAlign w:val="center"/>
          </w:tcPr>
          <w:p w:rsidR="00097D26" w:rsidRPr="00FC4991" w:rsidRDefault="00097D26"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b/>
                <w:sz w:val="18"/>
                <w:szCs w:val="18"/>
              </w:rPr>
            </w:pPr>
            <w:r w:rsidRPr="00FC4991">
              <w:rPr>
                <w:b/>
                <w:sz w:val="18"/>
                <w:szCs w:val="18"/>
              </w:rPr>
              <w:t>Gmina Hrubieszów</w:t>
            </w:r>
          </w:p>
        </w:tc>
        <w:tc>
          <w:tcPr>
            <w:tcW w:w="5531" w:type="dxa"/>
            <w:vAlign w:val="center"/>
          </w:tcPr>
          <w:p w:rsidR="00097D26" w:rsidRPr="00FC4991" w:rsidRDefault="00097D26"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b/>
                <w:sz w:val="18"/>
                <w:szCs w:val="18"/>
              </w:rPr>
            </w:pPr>
            <w:r w:rsidRPr="00FC4991">
              <w:rPr>
                <w:b/>
                <w:sz w:val="18"/>
                <w:szCs w:val="18"/>
              </w:rPr>
              <w:t>Gmina Miejska Hrubieszów</w:t>
            </w:r>
          </w:p>
        </w:tc>
      </w:tr>
      <w:tr w:rsidR="004248C5" w:rsidRPr="00FC4991"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vAlign w:val="center"/>
          </w:tcPr>
          <w:p w:rsidR="004248C5" w:rsidRPr="00FC4991" w:rsidRDefault="004248C5" w:rsidP="007F2303">
            <w:pPr>
              <w:spacing w:before="0"/>
              <w:ind w:firstLine="0"/>
              <w:jc w:val="left"/>
              <w:rPr>
                <w:rFonts w:ascii="Calibri" w:hAnsi="Calibri" w:cs="Calibri"/>
                <w:color w:val="000000"/>
                <w:sz w:val="18"/>
                <w:szCs w:val="18"/>
              </w:rPr>
            </w:pPr>
            <w:r w:rsidRPr="00FC4991">
              <w:rPr>
                <w:rFonts w:ascii="Calibri" w:hAnsi="Calibri" w:cs="Calibri"/>
                <w:color w:val="000000"/>
                <w:sz w:val="18"/>
                <w:szCs w:val="18"/>
              </w:rPr>
              <w:t xml:space="preserve">Rozwój kultury i dziedzictwa materialnego i niematerialnego </w:t>
            </w:r>
          </w:p>
        </w:tc>
        <w:tc>
          <w:tcPr>
            <w:tcW w:w="5811" w:type="dxa"/>
            <w:vAlign w:val="center"/>
          </w:tcPr>
          <w:p w:rsidR="004248C5" w:rsidRPr="00FC4991" w:rsidRDefault="004248C5"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 xml:space="preserve">Przebudowa budynku byłej szkoły w </w:t>
            </w:r>
            <w:proofErr w:type="spellStart"/>
            <w:r w:rsidRPr="00FC4991">
              <w:rPr>
                <w:sz w:val="18"/>
                <w:szCs w:val="18"/>
              </w:rPr>
              <w:t>Moniatyczach</w:t>
            </w:r>
            <w:proofErr w:type="spellEnd"/>
            <w:r w:rsidRPr="00FC4991">
              <w:rPr>
                <w:sz w:val="18"/>
                <w:szCs w:val="18"/>
              </w:rPr>
              <w:t xml:space="preserve"> na bibliotekę </w:t>
            </w:r>
          </w:p>
        </w:tc>
        <w:tc>
          <w:tcPr>
            <w:tcW w:w="5531" w:type="dxa"/>
            <w:vAlign w:val="center"/>
          </w:tcPr>
          <w:p w:rsidR="004248C5" w:rsidRPr="00FC4991" w:rsidRDefault="004248C5"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Modelowe rozwiązanie problemu hrubieszowskich Sutek.</w:t>
            </w:r>
          </w:p>
        </w:tc>
      </w:tr>
      <w:tr w:rsidR="004248C5" w:rsidRPr="00FC4991"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4248C5" w:rsidRPr="00FC4991" w:rsidRDefault="004248C5" w:rsidP="007F2303">
            <w:pPr>
              <w:spacing w:before="0"/>
              <w:ind w:firstLine="0"/>
              <w:jc w:val="left"/>
              <w:rPr>
                <w:sz w:val="18"/>
                <w:szCs w:val="18"/>
              </w:rPr>
            </w:pPr>
          </w:p>
        </w:tc>
        <w:tc>
          <w:tcPr>
            <w:tcW w:w="5811" w:type="dxa"/>
            <w:vAlign w:val="center"/>
          </w:tcPr>
          <w:p w:rsidR="004248C5" w:rsidRPr="00FC4991" w:rsidRDefault="004248C5"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Budowa architektury związanej z dziedzictwem historycznym w Gródku</w:t>
            </w:r>
          </w:p>
        </w:tc>
        <w:tc>
          <w:tcPr>
            <w:tcW w:w="5531" w:type="dxa"/>
            <w:vAlign w:val="center"/>
          </w:tcPr>
          <w:p w:rsidR="004248C5" w:rsidRPr="00FC4991" w:rsidRDefault="004248C5"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Rozwój kultury i dziedzictwa materialnego i niematerialnego (Remont HDK, obiektów sakralnych itd.)</w:t>
            </w:r>
          </w:p>
        </w:tc>
      </w:tr>
      <w:tr w:rsidR="004248C5" w:rsidRPr="00FC4991"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4248C5" w:rsidRPr="00FC4991" w:rsidRDefault="004248C5" w:rsidP="007F2303">
            <w:pPr>
              <w:spacing w:before="0"/>
              <w:ind w:firstLine="0"/>
              <w:jc w:val="left"/>
              <w:rPr>
                <w:sz w:val="18"/>
                <w:szCs w:val="18"/>
              </w:rPr>
            </w:pPr>
          </w:p>
        </w:tc>
        <w:tc>
          <w:tcPr>
            <w:tcW w:w="5811" w:type="dxa"/>
            <w:vAlign w:val="center"/>
          </w:tcPr>
          <w:p w:rsidR="004248C5" w:rsidRPr="00FC4991" w:rsidRDefault="004248C5"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Przebudowa ze zmianą sposobu użytkowania byłej szkoły w Kułakowicach Trzecich na potrzeby KGW, sołectwa, stowarzyszenia</w:t>
            </w:r>
          </w:p>
        </w:tc>
        <w:tc>
          <w:tcPr>
            <w:tcW w:w="5531" w:type="dxa"/>
            <w:vAlign w:val="center"/>
          </w:tcPr>
          <w:p w:rsidR="004248C5" w:rsidRPr="00FC4991" w:rsidRDefault="004248C5"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Rozwój i wsparcie systemu opieki, integracji i wyłączenia społecznego - Centrum Usług Społecznych</w:t>
            </w:r>
          </w:p>
        </w:tc>
      </w:tr>
      <w:tr w:rsidR="004248C5" w:rsidRPr="00FC4991"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4248C5" w:rsidRPr="00FC4991" w:rsidRDefault="004248C5" w:rsidP="007F2303">
            <w:pPr>
              <w:spacing w:before="0"/>
              <w:ind w:firstLine="0"/>
              <w:jc w:val="left"/>
              <w:rPr>
                <w:sz w:val="18"/>
                <w:szCs w:val="18"/>
              </w:rPr>
            </w:pPr>
          </w:p>
        </w:tc>
        <w:tc>
          <w:tcPr>
            <w:tcW w:w="5811" w:type="dxa"/>
            <w:vAlign w:val="center"/>
          </w:tcPr>
          <w:p w:rsidR="004248C5" w:rsidRPr="00FC4991" w:rsidRDefault="004248C5" w:rsidP="000A6336">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 xml:space="preserve">Przebudowa ze zmianą sposobu użytkowania byłej szkoły w Ślipczu </w:t>
            </w:r>
          </w:p>
        </w:tc>
        <w:tc>
          <w:tcPr>
            <w:tcW w:w="5531" w:type="dxa"/>
            <w:vAlign w:val="center"/>
          </w:tcPr>
          <w:p w:rsidR="004248C5" w:rsidRPr="00FC4991" w:rsidRDefault="004248C5"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Rozszerzenie funkcji Hrubieszowskiego Ośrodka Sportu i Rekreacji.</w:t>
            </w:r>
          </w:p>
        </w:tc>
      </w:tr>
      <w:tr w:rsidR="004248C5" w:rsidRPr="00FC4991" w:rsidTr="00795219">
        <w:trPr>
          <w:cnfStyle w:val="000000010000" w:firstRow="0" w:lastRow="0" w:firstColumn="0" w:lastColumn="0" w:oddVBand="0" w:evenVBand="0" w:oddHBand="0" w:evenHBand="1" w:firstRowFirstColumn="0" w:firstRowLastColumn="0" w:lastRowFirstColumn="0" w:lastRowLastColumn="0"/>
          <w:trHeight w:val="547"/>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4248C5" w:rsidRPr="00FC4991" w:rsidRDefault="004248C5" w:rsidP="007F2303">
            <w:pPr>
              <w:spacing w:before="0"/>
              <w:ind w:firstLine="0"/>
              <w:jc w:val="left"/>
              <w:rPr>
                <w:sz w:val="18"/>
                <w:szCs w:val="18"/>
              </w:rPr>
            </w:pPr>
          </w:p>
        </w:tc>
        <w:tc>
          <w:tcPr>
            <w:tcW w:w="5811" w:type="dxa"/>
            <w:vAlign w:val="center"/>
          </w:tcPr>
          <w:p w:rsidR="004248C5" w:rsidRPr="00FC4991" w:rsidRDefault="004248C5" w:rsidP="000A6336">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Rozwój kultury i dziedzictwa materialnego i niematerialnego</w:t>
            </w:r>
          </w:p>
        </w:tc>
        <w:tc>
          <w:tcPr>
            <w:tcW w:w="5531" w:type="dxa"/>
            <w:vMerge w:val="restart"/>
            <w:vAlign w:val="center"/>
          </w:tcPr>
          <w:p w:rsidR="004248C5" w:rsidRPr="00FC4991" w:rsidRDefault="004248C5"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Rozwój i poprawa infrastruktury edukacyjnej, opiekuńczej (w tym sportowej i rekreacyjnej) i rozwój kompetencji oraz innowacji w edukacji.  (</w:t>
            </w:r>
            <w:proofErr w:type="gramStart"/>
            <w:r w:rsidRPr="00FC4991">
              <w:rPr>
                <w:sz w:val="18"/>
                <w:szCs w:val="18"/>
              </w:rPr>
              <w:t>m</w:t>
            </w:r>
            <w:proofErr w:type="gramEnd"/>
            <w:r w:rsidRPr="00FC4991">
              <w:rPr>
                <w:sz w:val="18"/>
                <w:szCs w:val="18"/>
              </w:rPr>
              <w:t xml:space="preserve">.in. głęboka </w:t>
            </w:r>
            <w:proofErr w:type="spellStart"/>
            <w:r w:rsidRPr="00FC4991">
              <w:rPr>
                <w:sz w:val="18"/>
                <w:szCs w:val="18"/>
              </w:rPr>
              <w:t>termodernizacja</w:t>
            </w:r>
            <w:proofErr w:type="spellEnd"/>
            <w:r w:rsidRPr="00FC4991">
              <w:rPr>
                <w:sz w:val="18"/>
                <w:szCs w:val="18"/>
              </w:rPr>
              <w:t>, wyposażenie w urządzenia ITC, rozwój kadry oraz dzieci i uczniów – Szkoły Podstawowe, Przedszkola; Budowa żłobka samorządowego)</w:t>
            </w:r>
          </w:p>
        </w:tc>
      </w:tr>
      <w:tr w:rsidR="004248C5" w:rsidRPr="00FC4991" w:rsidTr="00795219">
        <w:trPr>
          <w:cnfStyle w:val="000000100000" w:firstRow="0" w:lastRow="0" w:firstColumn="0" w:lastColumn="0" w:oddVBand="0" w:evenVBand="0" w:oddHBand="1" w:evenHBand="0" w:firstRowFirstColumn="0" w:firstRowLastColumn="0" w:lastRowFirstColumn="0" w:lastRowLastColumn="0"/>
          <w:trHeight w:val="665"/>
        </w:trPr>
        <w:tc>
          <w:tcPr>
            <w:cnfStyle w:val="001000000000" w:firstRow="0" w:lastRow="0" w:firstColumn="1" w:lastColumn="0" w:oddVBand="0" w:evenVBand="0" w:oddHBand="0" w:evenHBand="0" w:firstRowFirstColumn="0" w:firstRowLastColumn="0" w:lastRowFirstColumn="0" w:lastRowLastColumn="0"/>
            <w:tcW w:w="2802" w:type="dxa"/>
            <w:vMerge/>
            <w:vAlign w:val="center"/>
          </w:tcPr>
          <w:p w:rsidR="004248C5" w:rsidRPr="00FC4991" w:rsidRDefault="004248C5" w:rsidP="007F2303">
            <w:pPr>
              <w:spacing w:before="0"/>
              <w:ind w:firstLine="0"/>
              <w:jc w:val="left"/>
              <w:rPr>
                <w:sz w:val="18"/>
                <w:szCs w:val="18"/>
              </w:rPr>
            </w:pPr>
          </w:p>
        </w:tc>
        <w:tc>
          <w:tcPr>
            <w:tcW w:w="5811" w:type="dxa"/>
            <w:vAlign w:val="center"/>
          </w:tcPr>
          <w:p w:rsidR="004248C5" w:rsidRPr="00FC4991" w:rsidRDefault="004248C5" w:rsidP="00795219">
            <w:pPr>
              <w:spacing w:before="0"/>
              <w:ind w:firstLine="33"/>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Przebudowa Gminnego Ośrodka Kultury</w:t>
            </w:r>
          </w:p>
        </w:tc>
        <w:tc>
          <w:tcPr>
            <w:tcW w:w="5531" w:type="dxa"/>
            <w:vMerge/>
            <w:vAlign w:val="center"/>
          </w:tcPr>
          <w:p w:rsidR="004248C5" w:rsidRPr="00FC4991" w:rsidRDefault="004248C5"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p>
        </w:tc>
      </w:tr>
      <w:tr w:rsidR="004248C5" w:rsidRPr="00FC4991" w:rsidTr="00FC4991">
        <w:trPr>
          <w:cnfStyle w:val="000000010000" w:firstRow="0" w:lastRow="0" w:firstColumn="0" w:lastColumn="0" w:oddVBand="0" w:evenVBand="0" w:oddHBand="0" w:evenHBand="1" w:firstRowFirstColumn="0" w:firstRowLastColumn="0" w:lastRowFirstColumn="0" w:lastRowLastColumn="0"/>
          <w:trHeight w:val="214"/>
        </w:trPr>
        <w:tc>
          <w:tcPr>
            <w:cnfStyle w:val="001000000000" w:firstRow="0" w:lastRow="0" w:firstColumn="1" w:lastColumn="0" w:oddVBand="0" w:evenVBand="0" w:oddHBand="0" w:evenHBand="0" w:firstRowFirstColumn="0" w:firstRowLastColumn="0" w:lastRowFirstColumn="0" w:lastRowLastColumn="0"/>
            <w:tcW w:w="2802" w:type="dxa"/>
            <w:vMerge/>
            <w:tcBorders>
              <w:bottom w:val="single" w:sz="18" w:space="0" w:color="4584D3" w:themeColor="accent2"/>
            </w:tcBorders>
            <w:vAlign w:val="center"/>
          </w:tcPr>
          <w:p w:rsidR="004248C5" w:rsidRPr="00FC4991" w:rsidRDefault="004248C5" w:rsidP="007F2303">
            <w:pPr>
              <w:spacing w:before="0"/>
              <w:ind w:firstLine="0"/>
              <w:jc w:val="left"/>
              <w:rPr>
                <w:sz w:val="18"/>
                <w:szCs w:val="18"/>
              </w:rPr>
            </w:pPr>
          </w:p>
        </w:tc>
        <w:tc>
          <w:tcPr>
            <w:tcW w:w="11342" w:type="dxa"/>
            <w:gridSpan w:val="2"/>
            <w:tcBorders>
              <w:bottom w:val="single" w:sz="18" w:space="0" w:color="4584D3" w:themeColor="accent2"/>
            </w:tcBorders>
            <w:vAlign w:val="center"/>
          </w:tcPr>
          <w:p w:rsidR="004248C5" w:rsidRPr="00FC4991" w:rsidRDefault="004248C5"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rFonts w:cstheme="minorHAnsi"/>
                <w:sz w:val="18"/>
                <w:szCs w:val="18"/>
              </w:rPr>
              <w:t>Zintegrowany rozwój infrastruktury kultury Hrubieszowskiego Obszaru Funkcjonalnego</w:t>
            </w:r>
            <w:r w:rsidR="00FC4991" w:rsidRPr="00FC4991">
              <w:rPr>
                <w:rFonts w:cstheme="minorHAnsi"/>
                <w:sz w:val="18"/>
                <w:szCs w:val="18"/>
              </w:rPr>
              <w:t xml:space="preserve"> (ZIT)</w:t>
            </w:r>
          </w:p>
        </w:tc>
      </w:tr>
      <w:tr w:rsidR="00795219" w:rsidRPr="00FC4991" w:rsidTr="00FC4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tcBorders>
              <w:top w:val="single" w:sz="18" w:space="0" w:color="4584D3" w:themeColor="accent2"/>
            </w:tcBorders>
            <w:shd w:val="clear" w:color="auto" w:fill="D9E6F6" w:themeFill="accent2" w:themeFillTint="33"/>
            <w:vAlign w:val="center"/>
          </w:tcPr>
          <w:p w:rsidR="00795219" w:rsidRPr="00FC4991" w:rsidRDefault="00795219" w:rsidP="007F2303">
            <w:pPr>
              <w:spacing w:before="0"/>
              <w:ind w:firstLine="0"/>
              <w:jc w:val="left"/>
              <w:rPr>
                <w:rFonts w:ascii="Calibri" w:hAnsi="Calibri" w:cs="Calibri"/>
                <w:color w:val="000000"/>
                <w:sz w:val="18"/>
                <w:szCs w:val="18"/>
              </w:rPr>
            </w:pPr>
            <w:r w:rsidRPr="00FC4991">
              <w:rPr>
                <w:rFonts w:ascii="Calibri" w:hAnsi="Calibri" w:cs="Calibri"/>
                <w:color w:val="000000"/>
                <w:sz w:val="18"/>
                <w:szCs w:val="18"/>
              </w:rPr>
              <w:t>Dostosowanie obiektów i infrastruktury publicznej do potrzeb osób ze szczególnymi potrzebami</w:t>
            </w:r>
          </w:p>
        </w:tc>
        <w:tc>
          <w:tcPr>
            <w:tcW w:w="5811" w:type="dxa"/>
            <w:tcBorders>
              <w:top w:val="single" w:sz="18" w:space="0" w:color="4584D3" w:themeColor="accent2"/>
            </w:tcBorders>
            <w:vAlign w:val="center"/>
          </w:tcPr>
          <w:p w:rsidR="00795219" w:rsidRPr="00FC4991" w:rsidRDefault="00795219"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Przebudowa budynku szkoły w Kosmowie na mieszkania socjalne (komunalne)</w:t>
            </w:r>
          </w:p>
        </w:tc>
        <w:tc>
          <w:tcPr>
            <w:tcW w:w="5531" w:type="dxa"/>
            <w:vMerge w:val="restart"/>
            <w:tcBorders>
              <w:top w:val="single" w:sz="18" w:space="0" w:color="4584D3" w:themeColor="accent2"/>
            </w:tcBorders>
            <w:shd w:val="clear" w:color="auto" w:fill="D9E6F6" w:themeFill="accent2" w:themeFillTint="33"/>
            <w:vAlign w:val="center"/>
          </w:tcPr>
          <w:p w:rsidR="00795219" w:rsidRPr="00FC4991" w:rsidRDefault="00795219"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Przeb</w:t>
            </w:r>
            <w:r w:rsidRPr="00FC4991">
              <w:rPr>
                <w:sz w:val="18"/>
                <w:szCs w:val="18"/>
                <w:shd w:val="clear" w:color="auto" w:fill="D9E6F6" w:themeFill="accent2" w:themeFillTint="33"/>
              </w:rPr>
              <w:t>u</w:t>
            </w:r>
            <w:r w:rsidRPr="00FC4991">
              <w:rPr>
                <w:sz w:val="18"/>
                <w:szCs w:val="18"/>
              </w:rPr>
              <w:t>dowy, remonty, dostosowanie obiektów publicznych do potrzeb zapewnienia dostępności osobom ze szczególnymi potrzebami</w:t>
            </w:r>
          </w:p>
        </w:tc>
      </w:tr>
      <w:tr w:rsidR="00795219" w:rsidRPr="00FC4991"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vAlign w:val="center"/>
          </w:tcPr>
          <w:p w:rsidR="00795219" w:rsidRPr="00FC4991" w:rsidRDefault="00795219" w:rsidP="007F2303">
            <w:pPr>
              <w:spacing w:before="0"/>
              <w:ind w:firstLine="0"/>
              <w:jc w:val="left"/>
              <w:rPr>
                <w:sz w:val="18"/>
                <w:szCs w:val="18"/>
              </w:rPr>
            </w:pPr>
          </w:p>
        </w:tc>
        <w:tc>
          <w:tcPr>
            <w:tcW w:w="5811" w:type="dxa"/>
            <w:vAlign w:val="center"/>
          </w:tcPr>
          <w:p w:rsidR="00795219" w:rsidRPr="00FC4991" w:rsidRDefault="00795219"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 xml:space="preserve">Przebudowa budynku Urzędu Gminy w zakresie dostępności dla osób </w:t>
            </w:r>
            <w:r w:rsidRPr="00FC4991">
              <w:rPr>
                <w:rFonts w:ascii="Calibri" w:hAnsi="Calibri" w:cs="Calibri"/>
                <w:color w:val="000000"/>
                <w:sz w:val="18"/>
                <w:szCs w:val="18"/>
              </w:rPr>
              <w:t>z niepełnosprawnościami</w:t>
            </w:r>
            <w:r w:rsidRPr="00FC4991">
              <w:rPr>
                <w:sz w:val="18"/>
                <w:szCs w:val="18"/>
              </w:rPr>
              <w:t xml:space="preserve"> i estetyzacji otoczenia </w:t>
            </w:r>
          </w:p>
        </w:tc>
        <w:tc>
          <w:tcPr>
            <w:tcW w:w="5531" w:type="dxa"/>
            <w:vMerge/>
            <w:shd w:val="clear" w:color="auto" w:fill="D9E6F6" w:themeFill="accent2" w:themeFillTint="33"/>
            <w:vAlign w:val="center"/>
          </w:tcPr>
          <w:p w:rsidR="00795219" w:rsidRPr="00FC4991" w:rsidRDefault="00795219"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p>
        </w:tc>
      </w:tr>
      <w:tr w:rsidR="00795219" w:rsidRPr="00FC4991" w:rsidTr="00FC49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tcBorders>
              <w:bottom w:val="single" w:sz="18" w:space="0" w:color="4584D3" w:themeColor="accent2"/>
            </w:tcBorders>
            <w:shd w:val="clear" w:color="auto" w:fill="D9E6F6" w:themeFill="accent2" w:themeFillTint="33"/>
            <w:vAlign w:val="center"/>
          </w:tcPr>
          <w:p w:rsidR="00795219" w:rsidRPr="00FC4991" w:rsidRDefault="00795219" w:rsidP="007F2303">
            <w:pPr>
              <w:spacing w:before="0"/>
              <w:ind w:firstLine="0"/>
              <w:jc w:val="left"/>
              <w:rPr>
                <w:sz w:val="18"/>
                <w:szCs w:val="18"/>
              </w:rPr>
            </w:pPr>
          </w:p>
        </w:tc>
        <w:tc>
          <w:tcPr>
            <w:tcW w:w="5811" w:type="dxa"/>
            <w:tcBorders>
              <w:bottom w:val="single" w:sz="18" w:space="0" w:color="4584D3" w:themeColor="accent2"/>
            </w:tcBorders>
            <w:vAlign w:val="center"/>
          </w:tcPr>
          <w:p w:rsidR="00795219" w:rsidRPr="00FC4991" w:rsidRDefault="00795219"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Przebudowy, remonty, dostosowanie obiektów publicznych do potrzeb zapewnienia dostępności osobom ze szczególnymi potrzebami</w:t>
            </w:r>
          </w:p>
        </w:tc>
        <w:tc>
          <w:tcPr>
            <w:tcW w:w="5531" w:type="dxa"/>
            <w:vMerge/>
            <w:tcBorders>
              <w:bottom w:val="single" w:sz="18" w:space="0" w:color="4584D3" w:themeColor="accent2"/>
            </w:tcBorders>
            <w:shd w:val="clear" w:color="auto" w:fill="D9E6F6" w:themeFill="accent2" w:themeFillTint="33"/>
            <w:vAlign w:val="center"/>
          </w:tcPr>
          <w:p w:rsidR="00795219" w:rsidRPr="00FC4991" w:rsidRDefault="00795219"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p>
        </w:tc>
      </w:tr>
      <w:tr w:rsidR="00795219" w:rsidRPr="00FC4991" w:rsidTr="00FC499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val="restart"/>
            <w:tcBorders>
              <w:top w:val="single" w:sz="18" w:space="0" w:color="4584D3" w:themeColor="accent2"/>
            </w:tcBorders>
            <w:shd w:val="clear" w:color="auto" w:fill="FFFFFF" w:themeFill="background1"/>
            <w:vAlign w:val="center"/>
          </w:tcPr>
          <w:p w:rsidR="00795219" w:rsidRPr="00FC4991" w:rsidRDefault="00795219" w:rsidP="007F2303">
            <w:pPr>
              <w:spacing w:before="0"/>
              <w:ind w:firstLine="0"/>
              <w:jc w:val="left"/>
              <w:rPr>
                <w:rFonts w:ascii="Calibri" w:hAnsi="Calibri" w:cs="Calibri"/>
                <w:color w:val="000000"/>
                <w:sz w:val="18"/>
                <w:szCs w:val="18"/>
              </w:rPr>
            </w:pPr>
            <w:r w:rsidRPr="00FC4991">
              <w:rPr>
                <w:rFonts w:ascii="Calibri" w:hAnsi="Calibri" w:cs="Calibri"/>
                <w:color w:val="000000"/>
                <w:sz w:val="18"/>
                <w:szCs w:val="18"/>
              </w:rPr>
              <w:t xml:space="preserve">Rozwój obiektów i infrastruktury turystyki </w:t>
            </w:r>
          </w:p>
        </w:tc>
        <w:tc>
          <w:tcPr>
            <w:tcW w:w="5811" w:type="dxa"/>
            <w:tcBorders>
              <w:top w:val="single" w:sz="18" w:space="0" w:color="4584D3" w:themeColor="accent2"/>
            </w:tcBorders>
            <w:vAlign w:val="center"/>
          </w:tcPr>
          <w:p w:rsidR="00795219" w:rsidRPr="00FC4991" w:rsidRDefault="00795219"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Budowa Centrum Dziedzictwa Archeologicznego i Kulturowego w </w:t>
            </w:r>
            <w:proofErr w:type="spellStart"/>
            <w:r w:rsidRPr="00FC4991">
              <w:rPr>
                <w:sz w:val="18"/>
                <w:szCs w:val="18"/>
              </w:rPr>
              <w:t>Masłomęczu</w:t>
            </w:r>
            <w:proofErr w:type="spellEnd"/>
          </w:p>
        </w:tc>
        <w:tc>
          <w:tcPr>
            <w:tcW w:w="5531" w:type="dxa"/>
            <w:tcBorders>
              <w:top w:val="single" w:sz="18" w:space="0" w:color="4584D3" w:themeColor="accent2"/>
            </w:tcBorders>
            <w:shd w:val="clear" w:color="auto" w:fill="FFFFFF" w:themeFill="background1"/>
            <w:vAlign w:val="center"/>
          </w:tcPr>
          <w:p w:rsidR="00795219" w:rsidRPr="00FC4991" w:rsidRDefault="00795219"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Utworzenie podziemnej trasy turystycznej Miasta Hrubieszowa.</w:t>
            </w:r>
          </w:p>
        </w:tc>
      </w:tr>
      <w:tr w:rsidR="00795219" w:rsidRPr="00FC4991" w:rsidTr="007F23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vAlign w:val="center"/>
          </w:tcPr>
          <w:p w:rsidR="00795219" w:rsidRPr="00FC4991" w:rsidRDefault="00795219" w:rsidP="007F2303">
            <w:pPr>
              <w:spacing w:before="0"/>
              <w:ind w:firstLine="0"/>
              <w:jc w:val="left"/>
              <w:rPr>
                <w:sz w:val="18"/>
                <w:szCs w:val="18"/>
              </w:rPr>
            </w:pPr>
          </w:p>
        </w:tc>
        <w:tc>
          <w:tcPr>
            <w:tcW w:w="5811" w:type="dxa"/>
            <w:vAlign w:val="center"/>
          </w:tcPr>
          <w:p w:rsidR="00795219" w:rsidRPr="00FC4991" w:rsidRDefault="00795219"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 xml:space="preserve">Wyposażenie i zagospodarowanie Centrum Dziedzictwa Archeologicznego i Kulturowego w </w:t>
            </w:r>
            <w:proofErr w:type="spellStart"/>
            <w:r w:rsidRPr="00FC4991">
              <w:rPr>
                <w:sz w:val="18"/>
                <w:szCs w:val="18"/>
              </w:rPr>
              <w:t>Masłomęczu</w:t>
            </w:r>
            <w:proofErr w:type="spellEnd"/>
          </w:p>
        </w:tc>
        <w:tc>
          <w:tcPr>
            <w:tcW w:w="5531" w:type="dxa"/>
            <w:shd w:val="clear" w:color="auto" w:fill="D9E6F6" w:themeFill="accent2" w:themeFillTint="33"/>
            <w:vAlign w:val="center"/>
          </w:tcPr>
          <w:p w:rsidR="00795219" w:rsidRPr="00FC4991" w:rsidRDefault="00795219"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Rozwój oferty turystycznej w tym poprzez lepsze wykorzystanie dziedzictwa kulturowego i przyrodniczego miasta.</w:t>
            </w:r>
          </w:p>
        </w:tc>
      </w:tr>
      <w:tr w:rsidR="00795219" w:rsidRPr="00FC4991" w:rsidTr="007F23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FFFFFF" w:themeFill="background1"/>
            <w:vAlign w:val="center"/>
          </w:tcPr>
          <w:p w:rsidR="00795219" w:rsidRPr="00FC4991" w:rsidRDefault="00795219" w:rsidP="007F2303">
            <w:pPr>
              <w:spacing w:before="0"/>
              <w:ind w:firstLine="0"/>
              <w:jc w:val="left"/>
              <w:rPr>
                <w:sz w:val="18"/>
                <w:szCs w:val="18"/>
              </w:rPr>
            </w:pPr>
          </w:p>
        </w:tc>
        <w:tc>
          <w:tcPr>
            <w:tcW w:w="5811" w:type="dxa"/>
            <w:vAlign w:val="center"/>
          </w:tcPr>
          <w:p w:rsidR="00795219" w:rsidRPr="00FC4991" w:rsidRDefault="00795219"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 xml:space="preserve">Utrzymanie istniejących i budowa nowych ścieżek i szlaków turystycznych </w:t>
            </w:r>
          </w:p>
        </w:tc>
        <w:tc>
          <w:tcPr>
            <w:tcW w:w="5531" w:type="dxa"/>
            <w:shd w:val="clear" w:color="auto" w:fill="FFFFFF" w:themeFill="background1"/>
            <w:vAlign w:val="center"/>
          </w:tcPr>
          <w:p w:rsidR="00795219" w:rsidRPr="00FC4991" w:rsidRDefault="00795219"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sz w:val="18"/>
                <w:szCs w:val="18"/>
              </w:rPr>
              <w:t xml:space="preserve"> Budowa miejsc i obiektów w obszarze turystyki i rekreacji (obiekty/miejsca odwołujące się do walorów historycznych, kulturowych, przyrodniczych, edukacyjnych, rekreacyjnych)   </w:t>
            </w:r>
          </w:p>
        </w:tc>
      </w:tr>
      <w:tr w:rsidR="00795219" w:rsidRPr="00FC4991" w:rsidTr="00FC4991">
        <w:trPr>
          <w:cnfStyle w:val="000000100000" w:firstRow="0" w:lastRow="0" w:firstColumn="0" w:lastColumn="0" w:oddVBand="0" w:evenVBand="0" w:oddHBand="1" w:evenHBand="0" w:firstRowFirstColumn="0" w:firstRowLastColumn="0" w:lastRowFirstColumn="0" w:lastRowLastColumn="0"/>
          <w:trHeight w:val="382"/>
        </w:trPr>
        <w:tc>
          <w:tcPr>
            <w:cnfStyle w:val="001000000000" w:firstRow="0" w:lastRow="0" w:firstColumn="1" w:lastColumn="0" w:oddVBand="0" w:evenVBand="0" w:oddHBand="0" w:evenHBand="0" w:firstRowFirstColumn="0" w:firstRowLastColumn="0" w:lastRowFirstColumn="0" w:lastRowLastColumn="0"/>
            <w:tcW w:w="2802" w:type="dxa"/>
            <w:vMerge/>
            <w:tcBorders>
              <w:bottom w:val="single" w:sz="18" w:space="0" w:color="4584D3" w:themeColor="accent2"/>
            </w:tcBorders>
            <w:shd w:val="clear" w:color="auto" w:fill="FFFFFF" w:themeFill="background1"/>
            <w:vAlign w:val="center"/>
          </w:tcPr>
          <w:p w:rsidR="00795219" w:rsidRPr="00FC4991" w:rsidRDefault="00795219" w:rsidP="007F2303">
            <w:pPr>
              <w:spacing w:before="0"/>
              <w:ind w:firstLine="0"/>
              <w:jc w:val="left"/>
              <w:rPr>
                <w:sz w:val="18"/>
                <w:szCs w:val="18"/>
              </w:rPr>
            </w:pPr>
          </w:p>
        </w:tc>
        <w:tc>
          <w:tcPr>
            <w:tcW w:w="5811" w:type="dxa"/>
            <w:tcBorders>
              <w:bottom w:val="single" w:sz="18" w:space="0" w:color="4584D3" w:themeColor="accent2"/>
            </w:tcBorders>
            <w:vAlign w:val="center"/>
          </w:tcPr>
          <w:p w:rsidR="00795219" w:rsidRPr="00FC4991" w:rsidRDefault="00795219"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 xml:space="preserve">Zagospodarowanie terenu świetlicy w Czumowie (kemping, </w:t>
            </w:r>
            <w:proofErr w:type="spellStart"/>
            <w:r w:rsidRPr="00FC4991">
              <w:rPr>
                <w:sz w:val="18"/>
                <w:szCs w:val="18"/>
              </w:rPr>
              <w:t>skatepark</w:t>
            </w:r>
            <w:proofErr w:type="spellEnd"/>
            <w:r w:rsidRPr="00FC4991">
              <w:rPr>
                <w:sz w:val="18"/>
                <w:szCs w:val="18"/>
              </w:rPr>
              <w:t xml:space="preserve"> itp.)</w:t>
            </w:r>
          </w:p>
        </w:tc>
        <w:tc>
          <w:tcPr>
            <w:tcW w:w="5531" w:type="dxa"/>
            <w:tcBorders>
              <w:bottom w:val="single" w:sz="18" w:space="0" w:color="4584D3" w:themeColor="accent2"/>
            </w:tcBorders>
            <w:shd w:val="clear" w:color="auto" w:fill="D9E6F6" w:themeFill="accent2" w:themeFillTint="33"/>
            <w:vAlign w:val="center"/>
          </w:tcPr>
          <w:p w:rsidR="00795219" w:rsidRPr="00FC4991" w:rsidRDefault="00795219"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sz w:val="18"/>
                <w:szCs w:val="18"/>
              </w:rPr>
              <w:t>Modelowe rozwiązanie problemu hrubieszowskich Sutek</w:t>
            </w:r>
          </w:p>
        </w:tc>
      </w:tr>
      <w:tr w:rsidR="00FC4991" w:rsidRPr="00FC4991" w:rsidTr="00FC4991">
        <w:trPr>
          <w:cnfStyle w:val="000000010000" w:firstRow="0" w:lastRow="0" w:firstColumn="0" w:lastColumn="0" w:oddVBand="0" w:evenVBand="0" w:oddHBand="0" w:evenHBand="1"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802" w:type="dxa"/>
            <w:vMerge w:val="restart"/>
            <w:tcBorders>
              <w:top w:val="single" w:sz="18" w:space="0" w:color="4584D3" w:themeColor="accent2"/>
            </w:tcBorders>
            <w:shd w:val="clear" w:color="auto" w:fill="D9E6F6" w:themeFill="accent2" w:themeFillTint="33"/>
            <w:vAlign w:val="center"/>
          </w:tcPr>
          <w:p w:rsidR="00FC4991" w:rsidRPr="00FC4991" w:rsidRDefault="00FC4991" w:rsidP="007F2303">
            <w:pPr>
              <w:spacing w:before="0"/>
              <w:ind w:firstLine="0"/>
              <w:jc w:val="left"/>
              <w:rPr>
                <w:rFonts w:asciiTheme="minorHAnsi" w:hAnsiTheme="minorHAnsi" w:cstheme="minorHAnsi"/>
                <w:sz w:val="18"/>
                <w:szCs w:val="18"/>
              </w:rPr>
            </w:pPr>
            <w:r w:rsidRPr="00FC4991">
              <w:rPr>
                <w:rFonts w:asciiTheme="minorHAnsi" w:hAnsiTheme="minorHAnsi" w:cstheme="minorHAnsi"/>
                <w:sz w:val="18"/>
                <w:szCs w:val="18"/>
              </w:rPr>
              <w:t>Rozwój infrastruktury edukacji i opieki społecznej</w:t>
            </w:r>
          </w:p>
        </w:tc>
        <w:tc>
          <w:tcPr>
            <w:tcW w:w="11342" w:type="dxa"/>
            <w:gridSpan w:val="2"/>
            <w:tcBorders>
              <w:top w:val="single" w:sz="18" w:space="0" w:color="4584D3" w:themeColor="accent2"/>
            </w:tcBorders>
          </w:tcPr>
          <w:p w:rsidR="00FC4991" w:rsidRPr="00FC4991" w:rsidRDefault="00113348"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113348">
              <w:rPr>
                <w:rFonts w:cstheme="minorHAnsi"/>
                <w:sz w:val="18"/>
                <w:szCs w:val="18"/>
              </w:rPr>
              <w:t xml:space="preserve">Wzmocnienie potencjału systemu pomocy i integracji społecznej w Hrubieszowskim Obszarze Funkcjonalnym poprzez utworzenie Centrum Opiekuńczego w </w:t>
            </w:r>
            <w:proofErr w:type="spellStart"/>
            <w:r w:rsidRPr="00113348">
              <w:rPr>
                <w:rFonts w:cstheme="minorHAnsi"/>
                <w:sz w:val="18"/>
                <w:szCs w:val="18"/>
              </w:rPr>
              <w:t>Dziekanowie</w:t>
            </w:r>
            <w:proofErr w:type="spellEnd"/>
            <w:r w:rsidRPr="00113348">
              <w:rPr>
                <w:rFonts w:cstheme="minorHAnsi"/>
                <w:sz w:val="18"/>
                <w:szCs w:val="18"/>
              </w:rPr>
              <w:t xml:space="preserve"> wraz z wypożyczalnią sprzętu opiekuńczo - rehabilitacyjnego </w:t>
            </w:r>
            <w:r w:rsidR="00FC4991" w:rsidRPr="00FC4991">
              <w:rPr>
                <w:rFonts w:cstheme="minorHAnsi"/>
                <w:sz w:val="18"/>
                <w:szCs w:val="18"/>
              </w:rPr>
              <w:t>(ZIT)</w:t>
            </w:r>
          </w:p>
        </w:tc>
      </w:tr>
      <w:tr w:rsidR="00FC4991" w:rsidRPr="00FC4991" w:rsidTr="00FC4991">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vAlign w:val="center"/>
          </w:tcPr>
          <w:p w:rsidR="00FC4991" w:rsidRPr="00FC4991" w:rsidRDefault="00FC4991" w:rsidP="007F2303">
            <w:pPr>
              <w:spacing w:before="0"/>
              <w:ind w:firstLine="0"/>
              <w:jc w:val="left"/>
              <w:rPr>
                <w:rFonts w:cstheme="minorHAnsi"/>
                <w:sz w:val="18"/>
                <w:szCs w:val="18"/>
              </w:rPr>
            </w:pPr>
          </w:p>
        </w:tc>
        <w:tc>
          <w:tcPr>
            <w:tcW w:w="11342" w:type="dxa"/>
            <w:gridSpan w:val="2"/>
          </w:tcPr>
          <w:p w:rsidR="00FC4991" w:rsidRPr="00FC4991" w:rsidRDefault="00C56C9E" w:rsidP="002441D5">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C56C9E">
              <w:rPr>
                <w:rFonts w:cstheme="minorHAnsi"/>
                <w:sz w:val="18"/>
                <w:szCs w:val="18"/>
              </w:rPr>
              <w:t>Rozwój usług społecznych świadczonych w społeczności lokalnej dla osób potrzebujących wsparcia w codziennym funkcjonowaniu w tym osób posiadających niepełnosprawności z terenu Hrubieszowskiego Obszaru Funkcjonalnego</w:t>
            </w:r>
            <w:r w:rsidR="00113348" w:rsidRPr="00113348">
              <w:rPr>
                <w:rFonts w:cstheme="minorHAnsi"/>
                <w:sz w:val="18"/>
                <w:szCs w:val="18"/>
              </w:rPr>
              <w:t xml:space="preserve"> </w:t>
            </w:r>
            <w:r w:rsidR="00FC4991" w:rsidRPr="00FC4991">
              <w:rPr>
                <w:rFonts w:cstheme="minorHAnsi"/>
                <w:sz w:val="18"/>
                <w:szCs w:val="18"/>
              </w:rPr>
              <w:t>(ZIT)</w:t>
            </w:r>
          </w:p>
        </w:tc>
      </w:tr>
      <w:tr w:rsidR="00FC4991" w:rsidRPr="00FC4991" w:rsidTr="00FC4991">
        <w:trPr>
          <w:cnfStyle w:val="000000010000" w:firstRow="0" w:lastRow="0" w:firstColumn="0" w:lastColumn="0" w:oddVBand="0" w:evenVBand="0" w:oddHBand="0" w:evenHBand="1"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vAlign w:val="center"/>
          </w:tcPr>
          <w:p w:rsidR="00FC4991" w:rsidRPr="00FC4991" w:rsidRDefault="00FC4991" w:rsidP="007F2303">
            <w:pPr>
              <w:spacing w:before="0"/>
              <w:ind w:firstLine="0"/>
              <w:jc w:val="left"/>
              <w:rPr>
                <w:rFonts w:cstheme="minorHAnsi"/>
                <w:sz w:val="18"/>
                <w:szCs w:val="18"/>
              </w:rPr>
            </w:pPr>
          </w:p>
        </w:tc>
        <w:tc>
          <w:tcPr>
            <w:tcW w:w="11342" w:type="dxa"/>
            <w:gridSpan w:val="2"/>
          </w:tcPr>
          <w:p w:rsidR="00FC4991" w:rsidRPr="00FC4991" w:rsidRDefault="00FC4991" w:rsidP="007F2303">
            <w:pPr>
              <w:spacing w:before="0"/>
              <w:ind w:firstLine="0"/>
              <w:jc w:val="left"/>
              <w:cnfStyle w:val="000000010000" w:firstRow="0" w:lastRow="0" w:firstColumn="0" w:lastColumn="0" w:oddVBand="0" w:evenVBand="0" w:oddHBand="0" w:evenHBand="1" w:firstRowFirstColumn="0" w:firstRowLastColumn="0" w:lastRowFirstColumn="0" w:lastRowLastColumn="0"/>
              <w:rPr>
                <w:sz w:val="18"/>
                <w:szCs w:val="18"/>
              </w:rPr>
            </w:pPr>
            <w:r w:rsidRPr="00FC4991">
              <w:rPr>
                <w:rFonts w:cstheme="minorHAnsi"/>
                <w:sz w:val="18"/>
                <w:szCs w:val="18"/>
              </w:rPr>
              <w:t xml:space="preserve">Poprawa dostępu do </w:t>
            </w:r>
            <w:proofErr w:type="gramStart"/>
            <w:r w:rsidRPr="00FC4991">
              <w:rPr>
                <w:rFonts w:cstheme="minorHAnsi"/>
                <w:sz w:val="18"/>
                <w:szCs w:val="18"/>
              </w:rPr>
              <w:t>wysokiej jakości</w:t>
            </w:r>
            <w:proofErr w:type="gramEnd"/>
            <w:r w:rsidRPr="00FC4991">
              <w:rPr>
                <w:rFonts w:cstheme="minorHAnsi"/>
                <w:sz w:val="18"/>
                <w:szCs w:val="18"/>
              </w:rPr>
              <w:t xml:space="preserve"> usług edukacyjnych w HOF poprzez modernizację i unowocześnienie przedszkoli (ZIT)</w:t>
            </w:r>
          </w:p>
        </w:tc>
      </w:tr>
      <w:tr w:rsidR="00FC4991" w:rsidRPr="00FC4991" w:rsidTr="00FC4991">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802" w:type="dxa"/>
            <w:vMerge/>
            <w:shd w:val="clear" w:color="auto" w:fill="D9E6F6" w:themeFill="accent2" w:themeFillTint="33"/>
            <w:vAlign w:val="center"/>
          </w:tcPr>
          <w:p w:rsidR="00FC4991" w:rsidRPr="00FC4991" w:rsidRDefault="00FC4991" w:rsidP="007F2303">
            <w:pPr>
              <w:spacing w:before="0"/>
              <w:ind w:firstLine="0"/>
              <w:jc w:val="left"/>
              <w:rPr>
                <w:rFonts w:cstheme="minorHAnsi"/>
                <w:sz w:val="18"/>
                <w:szCs w:val="18"/>
              </w:rPr>
            </w:pPr>
          </w:p>
        </w:tc>
        <w:tc>
          <w:tcPr>
            <w:tcW w:w="11342" w:type="dxa"/>
            <w:gridSpan w:val="2"/>
          </w:tcPr>
          <w:p w:rsidR="00FC4991" w:rsidRPr="00FC4991" w:rsidRDefault="00FC4991" w:rsidP="007F2303">
            <w:pPr>
              <w:spacing w:before="0"/>
              <w:ind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C4991">
              <w:rPr>
                <w:rFonts w:cstheme="minorHAnsi"/>
                <w:sz w:val="18"/>
                <w:szCs w:val="18"/>
              </w:rPr>
              <w:t>Programy rozwojowe szkół i przedszkoli na terenie Hrubieszowskiego Obszaru Funkcjonalnego (ZIT)</w:t>
            </w:r>
          </w:p>
        </w:tc>
      </w:tr>
    </w:tbl>
    <w:p w:rsidR="00097D26" w:rsidRDefault="00097D26" w:rsidP="00097D26">
      <w:pPr>
        <w:sectPr w:rsidR="00097D26" w:rsidSect="00097D26">
          <w:pgSz w:w="16838" w:h="11906" w:orient="landscape"/>
          <w:pgMar w:top="1417" w:right="1417" w:bottom="1417" w:left="1417" w:header="708" w:footer="708" w:gutter="0"/>
          <w:cols w:space="708"/>
          <w:docGrid w:linePitch="360"/>
        </w:sectPr>
      </w:pPr>
    </w:p>
    <w:p w:rsidR="00097D26" w:rsidRDefault="00097D26" w:rsidP="00097D26">
      <w:pPr>
        <w:pStyle w:val="Legenda"/>
        <w:keepNext/>
      </w:pPr>
      <w:bookmarkStart w:id="69" w:name="_Toc138068513"/>
      <w:r>
        <w:lastRenderedPageBreak/>
        <w:t xml:space="preserve">Ryc. </w:t>
      </w:r>
      <w:r w:rsidR="00E20FF4">
        <w:fldChar w:fldCharType="begin"/>
      </w:r>
      <w:r w:rsidR="00E20FF4">
        <w:instrText xml:space="preserve"> SEQ Ryc. \* ARABIC </w:instrText>
      </w:r>
      <w:r w:rsidR="00E20FF4">
        <w:fldChar w:fldCharType="separate"/>
      </w:r>
      <w:r w:rsidR="0022657A">
        <w:rPr>
          <w:noProof/>
        </w:rPr>
        <w:t>17</w:t>
      </w:r>
      <w:r w:rsidR="00E20FF4">
        <w:rPr>
          <w:noProof/>
        </w:rPr>
        <w:fldChar w:fldCharType="end"/>
      </w:r>
      <w:r>
        <w:t xml:space="preserve">. </w:t>
      </w:r>
      <w:r w:rsidRPr="00CC7963">
        <w:t>Planowane zamierzenia rozwojowe w zakres</w:t>
      </w:r>
      <w:r w:rsidR="00307F2C">
        <w:t>ie poprawy systemu komunikacji,</w:t>
      </w:r>
      <w:r w:rsidRPr="00CC7963">
        <w:t xml:space="preserve"> rozwoju gospodarczego</w:t>
      </w:r>
      <w:r w:rsidR="00307F2C">
        <w:t xml:space="preserve"> i sprawnej administracji</w:t>
      </w:r>
      <w:bookmarkStart w:id="70" w:name="_GoBack"/>
      <w:bookmarkEnd w:id="69"/>
      <w:bookmarkEnd w:id="70"/>
    </w:p>
    <w:p w:rsidR="00097D26" w:rsidRDefault="00795219" w:rsidP="00097D26">
      <w:pPr>
        <w:ind w:firstLine="0"/>
        <w:jc w:val="center"/>
      </w:pPr>
      <w:r>
        <w:rPr>
          <w:noProof/>
          <w:lang w:eastAsia="pl-PL"/>
        </w:rPr>
        <w:drawing>
          <wp:inline distT="0" distB="0" distL="0" distR="0" wp14:anchorId="67E51362" wp14:editId="5A257C0E">
            <wp:extent cx="5758543" cy="7834998"/>
            <wp:effectExtent l="0" t="0" r="0" b="0"/>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2_poprawiona.jpg"/>
                    <pic:cNvPicPr/>
                  </pic:nvPicPr>
                  <pic:blipFill rotWithShape="1">
                    <a:blip r:embed="rId91" cstate="print">
                      <a:extLst>
                        <a:ext uri="{28A0092B-C50C-407E-A947-70E740481C1C}">
                          <a14:useLocalDpi xmlns:a14="http://schemas.microsoft.com/office/drawing/2010/main" val="0"/>
                        </a:ext>
                      </a:extLst>
                    </a:blip>
                    <a:srcRect t="3809"/>
                    <a:stretch/>
                  </pic:blipFill>
                  <pic:spPr bwMode="auto">
                    <a:xfrm>
                      <a:off x="0" y="0"/>
                      <a:ext cx="5760720" cy="7837960"/>
                    </a:xfrm>
                    <a:prstGeom prst="rect">
                      <a:avLst/>
                    </a:prstGeom>
                    <a:ln>
                      <a:noFill/>
                    </a:ln>
                    <a:extLst>
                      <a:ext uri="{53640926-AAD7-44D8-BBD7-CCE9431645EC}">
                        <a14:shadowObscured xmlns:a14="http://schemas.microsoft.com/office/drawing/2010/main"/>
                      </a:ext>
                    </a:extLst>
                  </pic:spPr>
                </pic:pic>
              </a:graphicData>
            </a:graphic>
          </wp:inline>
        </w:drawing>
      </w:r>
    </w:p>
    <w:p w:rsidR="00097D26" w:rsidRDefault="00097D26" w:rsidP="00097D26">
      <w:pPr>
        <w:rPr>
          <w:bCs/>
          <w:i/>
          <w:sz w:val="18"/>
          <w:szCs w:val="18"/>
        </w:rPr>
      </w:pPr>
      <w:r w:rsidRPr="00097D26">
        <w:rPr>
          <w:bCs/>
          <w:i/>
          <w:sz w:val="18"/>
          <w:szCs w:val="18"/>
        </w:rPr>
        <w:t>Źródło: Opracowanie własne</w:t>
      </w:r>
    </w:p>
    <w:p w:rsidR="003570C4" w:rsidRDefault="003570C4" w:rsidP="00097D26">
      <w:pPr>
        <w:ind w:firstLine="0"/>
        <w:jc w:val="center"/>
        <w:sectPr w:rsidR="003570C4" w:rsidSect="003E35BE">
          <w:pgSz w:w="11906" w:h="16838"/>
          <w:pgMar w:top="1417" w:right="1417" w:bottom="1417" w:left="1417" w:header="708" w:footer="708" w:gutter="0"/>
          <w:cols w:space="708"/>
          <w:docGrid w:linePitch="360"/>
        </w:sectPr>
      </w:pPr>
    </w:p>
    <w:tbl>
      <w:tblPr>
        <w:tblStyle w:val="Jasnasiatkaakcent21"/>
        <w:tblW w:w="0" w:type="auto"/>
        <w:tblLook w:val="04A0" w:firstRow="1" w:lastRow="0" w:firstColumn="1" w:lastColumn="0" w:noHBand="0" w:noVBand="1"/>
      </w:tblPr>
      <w:tblGrid>
        <w:gridCol w:w="2660"/>
        <w:gridCol w:w="5812"/>
        <w:gridCol w:w="5672"/>
      </w:tblGrid>
      <w:tr w:rsidR="003570C4" w:rsidRPr="003570C4" w:rsidTr="00D27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rsidR="003570C4" w:rsidRPr="003570C4" w:rsidRDefault="003570C4" w:rsidP="003570C4">
            <w:pPr>
              <w:ind w:firstLine="0"/>
              <w:jc w:val="center"/>
              <w:rPr>
                <w:rFonts w:asciiTheme="minorHAnsi" w:hAnsiTheme="minorHAnsi" w:cstheme="minorHAnsi"/>
              </w:rPr>
            </w:pPr>
            <w:r w:rsidRPr="003570C4">
              <w:rPr>
                <w:rFonts w:asciiTheme="minorHAnsi" w:hAnsiTheme="minorHAnsi" w:cstheme="minorHAnsi"/>
              </w:rPr>
              <w:lastRenderedPageBreak/>
              <w:t>Kategoria</w:t>
            </w:r>
          </w:p>
        </w:tc>
        <w:tc>
          <w:tcPr>
            <w:tcW w:w="11484" w:type="dxa"/>
            <w:gridSpan w:val="2"/>
          </w:tcPr>
          <w:p w:rsidR="003570C4" w:rsidRPr="003570C4" w:rsidRDefault="003570C4" w:rsidP="003570C4">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3570C4">
              <w:rPr>
                <w:rFonts w:asciiTheme="minorHAnsi" w:hAnsiTheme="minorHAnsi" w:cstheme="minorHAnsi"/>
              </w:rPr>
              <w:t>Wykaz zadań rozwojowych</w:t>
            </w:r>
          </w:p>
        </w:tc>
      </w:tr>
      <w:tr w:rsidR="003570C4" w:rsidRPr="003570C4" w:rsidTr="00D2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rsidR="003570C4" w:rsidRPr="003570C4" w:rsidRDefault="003570C4" w:rsidP="003570C4">
            <w:pPr>
              <w:ind w:firstLine="0"/>
              <w:jc w:val="center"/>
              <w:rPr>
                <w:rFonts w:asciiTheme="minorHAnsi" w:hAnsiTheme="minorHAnsi" w:cstheme="minorHAnsi"/>
              </w:rPr>
            </w:pPr>
          </w:p>
        </w:tc>
        <w:tc>
          <w:tcPr>
            <w:tcW w:w="5812" w:type="dxa"/>
          </w:tcPr>
          <w:p w:rsidR="003570C4" w:rsidRPr="003570C4" w:rsidRDefault="003570C4" w:rsidP="003570C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3570C4">
              <w:rPr>
                <w:rFonts w:cstheme="minorHAnsi"/>
                <w:b/>
              </w:rPr>
              <w:t>Gmina Hrubieszów</w:t>
            </w:r>
          </w:p>
        </w:tc>
        <w:tc>
          <w:tcPr>
            <w:tcW w:w="5672" w:type="dxa"/>
          </w:tcPr>
          <w:p w:rsidR="003570C4" w:rsidRPr="003570C4" w:rsidRDefault="002C1A15" w:rsidP="003570C4">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b/>
              </w:rPr>
            </w:pPr>
            <w:r w:rsidRPr="00097D26">
              <w:rPr>
                <w:b/>
              </w:rPr>
              <w:t>Gmina Miejska Hrubieszów</w:t>
            </w:r>
          </w:p>
        </w:tc>
      </w:tr>
      <w:tr w:rsidR="00307F2C" w:rsidRPr="003570C4" w:rsidTr="00D278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vAlign w:val="center"/>
          </w:tcPr>
          <w:p w:rsidR="00307F2C" w:rsidRPr="00D3786C" w:rsidRDefault="00307F2C" w:rsidP="00D27832">
            <w:pPr>
              <w:spacing w:before="0"/>
              <w:ind w:firstLine="0"/>
              <w:jc w:val="left"/>
              <w:rPr>
                <w:rFonts w:asciiTheme="minorHAnsi" w:hAnsiTheme="minorHAnsi" w:cstheme="minorHAnsi"/>
                <w:color w:val="000000"/>
                <w:sz w:val="20"/>
                <w:szCs w:val="20"/>
              </w:rPr>
            </w:pPr>
            <w:r w:rsidRPr="00D3786C">
              <w:rPr>
                <w:rFonts w:asciiTheme="minorHAnsi" w:hAnsiTheme="minorHAnsi" w:cstheme="minorHAnsi"/>
                <w:color w:val="000000"/>
                <w:sz w:val="20"/>
                <w:szCs w:val="20"/>
              </w:rPr>
              <w:t>Poprawa systemu komunikacji</w:t>
            </w:r>
          </w:p>
        </w:tc>
        <w:tc>
          <w:tcPr>
            <w:tcW w:w="5812" w:type="dxa"/>
            <w:vMerge w:val="restart"/>
            <w:vAlign w:val="center"/>
          </w:tcPr>
          <w:p w:rsidR="00307F2C" w:rsidRPr="003570C4" w:rsidRDefault="00307F2C"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3570C4">
              <w:rPr>
                <w:rFonts w:cstheme="minorHAnsi"/>
                <w:bCs/>
                <w:sz w:val="20"/>
                <w:szCs w:val="20"/>
              </w:rPr>
              <w:t>Budowa, przebudowa i remonty dróg gminnych</w:t>
            </w:r>
          </w:p>
        </w:tc>
        <w:tc>
          <w:tcPr>
            <w:tcW w:w="5672" w:type="dxa"/>
            <w:vAlign w:val="center"/>
          </w:tcPr>
          <w:p w:rsidR="00307F2C" w:rsidRPr="003570C4" w:rsidRDefault="00307F2C"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3570C4">
              <w:rPr>
                <w:rFonts w:cstheme="minorHAnsi"/>
                <w:bCs/>
                <w:sz w:val="20"/>
                <w:szCs w:val="20"/>
              </w:rPr>
              <w:t xml:space="preserve">Rozwój systemu komunikacji miasta w tym zielona dostępność komunikacyjna w zakresie remontu/budowy dróg powiatowych (ul. Piłsudskiego, ul. Polna, ul. Górna, ul. Wesoła, ul. Władysława Jagiełły (budowa), ul. Michałówka, </w:t>
            </w:r>
            <w:r>
              <w:rPr>
                <w:rFonts w:cstheme="minorHAnsi"/>
                <w:bCs/>
                <w:sz w:val="20"/>
                <w:szCs w:val="20"/>
              </w:rPr>
              <w:t>ul. Grabowiecka, ul. </w:t>
            </w:r>
            <w:r w:rsidRPr="003570C4">
              <w:rPr>
                <w:rFonts w:cstheme="minorHAnsi"/>
                <w:bCs/>
                <w:sz w:val="20"/>
                <w:szCs w:val="20"/>
              </w:rPr>
              <w:t>Dwernickiego, ul. Konopnickiej, ul. Uchańska (budowa)</w:t>
            </w:r>
            <w:r>
              <w:rPr>
                <w:rFonts w:cstheme="minorHAnsi"/>
                <w:bCs/>
                <w:sz w:val="20"/>
                <w:szCs w:val="20"/>
              </w:rPr>
              <w:t>)</w:t>
            </w:r>
          </w:p>
        </w:tc>
      </w:tr>
      <w:tr w:rsidR="00307F2C" w:rsidRPr="003570C4" w:rsidTr="00D2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307F2C" w:rsidRPr="00D3786C" w:rsidRDefault="00307F2C" w:rsidP="00D27832">
            <w:pPr>
              <w:spacing w:before="0"/>
              <w:ind w:firstLine="0"/>
              <w:jc w:val="left"/>
              <w:rPr>
                <w:rFonts w:asciiTheme="minorHAnsi" w:hAnsiTheme="minorHAnsi" w:cstheme="minorHAnsi"/>
                <w:color w:val="000000"/>
                <w:sz w:val="20"/>
                <w:szCs w:val="20"/>
              </w:rPr>
            </w:pPr>
          </w:p>
        </w:tc>
        <w:tc>
          <w:tcPr>
            <w:tcW w:w="5812" w:type="dxa"/>
            <w:vMerge/>
            <w:vAlign w:val="center"/>
          </w:tcPr>
          <w:p w:rsidR="00307F2C" w:rsidRPr="003570C4" w:rsidRDefault="00307F2C"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bCs/>
                <w:sz w:val="20"/>
                <w:szCs w:val="20"/>
              </w:rPr>
            </w:pPr>
          </w:p>
        </w:tc>
        <w:tc>
          <w:tcPr>
            <w:tcW w:w="5672" w:type="dxa"/>
            <w:vAlign w:val="center"/>
          </w:tcPr>
          <w:p w:rsidR="00307F2C" w:rsidRPr="003570C4" w:rsidRDefault="00307F2C"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sidRPr="003570C4">
              <w:rPr>
                <w:rFonts w:cstheme="minorHAnsi"/>
                <w:bCs/>
                <w:sz w:val="20"/>
                <w:szCs w:val="20"/>
              </w:rPr>
              <w:t>Rozwój systemu komunikacji miasta w tym zielona dostępność komunikacyjna w zakresie re</w:t>
            </w:r>
            <w:r>
              <w:rPr>
                <w:rFonts w:cstheme="minorHAnsi"/>
                <w:bCs/>
                <w:sz w:val="20"/>
                <w:szCs w:val="20"/>
              </w:rPr>
              <w:t>montu/budowy dróg miejskich ul. </w:t>
            </w:r>
            <w:r w:rsidRPr="003570C4">
              <w:rPr>
                <w:rFonts w:cstheme="minorHAnsi"/>
                <w:bCs/>
                <w:sz w:val="20"/>
                <w:szCs w:val="20"/>
              </w:rPr>
              <w:t>Wodna, ul. Armii Krajo</w:t>
            </w:r>
            <w:r>
              <w:rPr>
                <w:rFonts w:cstheme="minorHAnsi"/>
                <w:bCs/>
                <w:sz w:val="20"/>
                <w:szCs w:val="20"/>
              </w:rPr>
              <w:t xml:space="preserve">wej (budowa), ul. Przemysłowa, </w:t>
            </w:r>
            <w:r w:rsidRPr="003570C4">
              <w:rPr>
                <w:rFonts w:cstheme="minorHAnsi"/>
                <w:bCs/>
                <w:sz w:val="20"/>
                <w:szCs w:val="20"/>
              </w:rPr>
              <w:t>ul. Reja</w:t>
            </w:r>
          </w:p>
        </w:tc>
      </w:tr>
      <w:tr w:rsidR="00307F2C" w:rsidRPr="003570C4" w:rsidTr="006633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Borders>
              <w:bottom w:val="single" w:sz="18" w:space="0" w:color="4584D3" w:themeColor="accent2"/>
            </w:tcBorders>
            <w:vAlign w:val="center"/>
          </w:tcPr>
          <w:p w:rsidR="00307F2C" w:rsidRPr="00D3786C" w:rsidRDefault="00307F2C" w:rsidP="00D27832">
            <w:pPr>
              <w:spacing w:before="0"/>
              <w:ind w:firstLine="0"/>
              <w:jc w:val="left"/>
              <w:rPr>
                <w:rFonts w:asciiTheme="minorHAnsi" w:hAnsiTheme="minorHAnsi" w:cstheme="minorHAnsi"/>
                <w:color w:val="000000"/>
                <w:sz w:val="20"/>
                <w:szCs w:val="20"/>
              </w:rPr>
            </w:pPr>
          </w:p>
        </w:tc>
        <w:tc>
          <w:tcPr>
            <w:tcW w:w="5812" w:type="dxa"/>
            <w:vMerge/>
            <w:tcBorders>
              <w:bottom w:val="single" w:sz="18" w:space="0" w:color="4584D3" w:themeColor="accent2"/>
            </w:tcBorders>
            <w:vAlign w:val="center"/>
          </w:tcPr>
          <w:p w:rsidR="00307F2C" w:rsidRPr="003570C4" w:rsidRDefault="00307F2C" w:rsidP="00D27832">
            <w:pPr>
              <w:spacing w:befor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p>
        </w:tc>
        <w:tc>
          <w:tcPr>
            <w:tcW w:w="5672" w:type="dxa"/>
            <w:tcBorders>
              <w:bottom w:val="single" w:sz="18" w:space="0" w:color="4584D3" w:themeColor="accent2"/>
            </w:tcBorders>
            <w:vAlign w:val="center"/>
          </w:tcPr>
          <w:p w:rsidR="00307F2C" w:rsidRPr="003570C4" w:rsidRDefault="00307F2C"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3570C4">
              <w:rPr>
                <w:rFonts w:cstheme="minorHAnsi"/>
                <w:bCs/>
                <w:sz w:val="20"/>
                <w:szCs w:val="20"/>
              </w:rPr>
              <w:t>Budowa Centrum Komunikacyjnego Miasta Hrubieszów</w:t>
            </w:r>
          </w:p>
        </w:tc>
      </w:tr>
      <w:tr w:rsidR="003570C4" w:rsidRPr="003570C4" w:rsidTr="00663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single" w:sz="18" w:space="0" w:color="4584D3" w:themeColor="accent2"/>
              <w:bottom w:val="single" w:sz="18" w:space="0" w:color="4584D3" w:themeColor="accent2"/>
            </w:tcBorders>
            <w:vAlign w:val="center"/>
          </w:tcPr>
          <w:p w:rsidR="003570C4" w:rsidRPr="00D3786C" w:rsidRDefault="003570C4" w:rsidP="00D27832">
            <w:pPr>
              <w:spacing w:before="0"/>
              <w:ind w:firstLine="0"/>
              <w:jc w:val="left"/>
              <w:rPr>
                <w:rFonts w:asciiTheme="minorHAnsi" w:hAnsiTheme="minorHAnsi" w:cstheme="minorHAnsi"/>
                <w:sz w:val="20"/>
                <w:szCs w:val="20"/>
              </w:rPr>
            </w:pPr>
            <w:r w:rsidRPr="00D3786C">
              <w:rPr>
                <w:rFonts w:asciiTheme="minorHAnsi" w:hAnsiTheme="minorHAnsi" w:cstheme="minorHAnsi"/>
                <w:color w:val="000000"/>
                <w:sz w:val="20"/>
                <w:szCs w:val="20"/>
              </w:rPr>
              <w:t>Rozwój infrastruktury ciągów pieszych i ścieżek rowerowych</w:t>
            </w:r>
          </w:p>
        </w:tc>
        <w:tc>
          <w:tcPr>
            <w:tcW w:w="5812" w:type="dxa"/>
            <w:tcBorders>
              <w:top w:val="single" w:sz="18" w:space="0" w:color="4584D3" w:themeColor="accent2"/>
              <w:bottom w:val="single" w:sz="18" w:space="0" w:color="4584D3" w:themeColor="accent2"/>
            </w:tcBorders>
            <w:vAlign w:val="center"/>
          </w:tcPr>
          <w:p w:rsidR="003570C4" w:rsidRPr="003570C4" w:rsidRDefault="003570C4"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570C4">
              <w:rPr>
                <w:rFonts w:cstheme="minorHAnsi"/>
                <w:sz w:val="20"/>
                <w:szCs w:val="20"/>
              </w:rPr>
              <w:t>Budowa chodników i ścieżek rower</w:t>
            </w:r>
            <w:r>
              <w:rPr>
                <w:rFonts w:cstheme="minorHAnsi"/>
                <w:sz w:val="20"/>
                <w:szCs w:val="20"/>
              </w:rPr>
              <w:t xml:space="preserve">owych w ciągach </w:t>
            </w:r>
            <w:r w:rsidR="001F12FE">
              <w:rPr>
                <w:rFonts w:cstheme="minorHAnsi"/>
                <w:sz w:val="20"/>
                <w:szCs w:val="20"/>
              </w:rPr>
              <w:t>drogowych na terenie Gminy Hrubieszów</w:t>
            </w:r>
            <w:r>
              <w:rPr>
                <w:rFonts w:cstheme="minorHAnsi"/>
                <w:sz w:val="20"/>
                <w:szCs w:val="20"/>
              </w:rPr>
              <w:t xml:space="preserve"> i </w:t>
            </w:r>
            <w:r w:rsidRPr="003570C4">
              <w:rPr>
                <w:rFonts w:cstheme="minorHAnsi"/>
                <w:sz w:val="20"/>
                <w:szCs w:val="20"/>
              </w:rPr>
              <w:t>współpraca w tym zakresie z zarządcami dróg wyższych kategorii</w:t>
            </w:r>
          </w:p>
        </w:tc>
        <w:tc>
          <w:tcPr>
            <w:tcW w:w="5672" w:type="dxa"/>
            <w:tcBorders>
              <w:top w:val="single" w:sz="18" w:space="0" w:color="4584D3" w:themeColor="accent2"/>
              <w:bottom w:val="single" w:sz="18" w:space="0" w:color="4584D3" w:themeColor="accent2"/>
            </w:tcBorders>
            <w:vAlign w:val="center"/>
          </w:tcPr>
          <w:p w:rsidR="003570C4" w:rsidRPr="003570C4" w:rsidRDefault="003570C4"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570C4">
              <w:rPr>
                <w:rFonts w:cstheme="minorHAnsi"/>
                <w:sz w:val="20"/>
                <w:szCs w:val="20"/>
              </w:rPr>
              <w:t>Rozwój systemu komunikacji miasta w tym zielona dostępność komunikacyjna w zakresie budowy ścieżek rowerowych ul. Nowa, ul. Gródecka, ul. Zamojska, ul. Wyzwoleni</w:t>
            </w:r>
            <w:r>
              <w:rPr>
                <w:rFonts w:cstheme="minorHAnsi"/>
                <w:sz w:val="20"/>
                <w:szCs w:val="20"/>
              </w:rPr>
              <w:t>a, ul. Basaja, ul. </w:t>
            </w:r>
            <w:r w:rsidRPr="003570C4">
              <w:rPr>
                <w:rFonts w:cstheme="minorHAnsi"/>
                <w:sz w:val="20"/>
                <w:szCs w:val="20"/>
              </w:rPr>
              <w:t>Żeromskiego, droga na Dziekanów, Grabowiecka</w:t>
            </w:r>
          </w:p>
        </w:tc>
      </w:tr>
      <w:tr w:rsidR="003570C4" w:rsidRPr="003570C4" w:rsidTr="006633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Borders>
              <w:top w:val="single" w:sz="18" w:space="0" w:color="4584D3" w:themeColor="accent2"/>
            </w:tcBorders>
            <w:vAlign w:val="center"/>
          </w:tcPr>
          <w:p w:rsidR="003570C4" w:rsidRPr="00D3786C" w:rsidRDefault="003570C4" w:rsidP="00D27832">
            <w:pPr>
              <w:spacing w:before="0"/>
              <w:ind w:firstLine="0"/>
              <w:jc w:val="left"/>
              <w:rPr>
                <w:rFonts w:asciiTheme="minorHAnsi" w:hAnsiTheme="minorHAnsi" w:cstheme="minorHAnsi"/>
                <w:color w:val="000000"/>
                <w:sz w:val="20"/>
                <w:szCs w:val="20"/>
              </w:rPr>
            </w:pPr>
            <w:r w:rsidRPr="00D3786C">
              <w:rPr>
                <w:rFonts w:asciiTheme="minorHAnsi" w:hAnsiTheme="minorHAnsi" w:cstheme="minorHAnsi"/>
                <w:color w:val="000000"/>
                <w:sz w:val="20"/>
                <w:szCs w:val="20"/>
              </w:rPr>
              <w:t xml:space="preserve">Rozwój gospodarki </w:t>
            </w:r>
          </w:p>
        </w:tc>
        <w:tc>
          <w:tcPr>
            <w:tcW w:w="5812" w:type="dxa"/>
            <w:vMerge w:val="restart"/>
            <w:tcBorders>
              <w:top w:val="single" w:sz="18" w:space="0" w:color="4584D3" w:themeColor="accent2"/>
            </w:tcBorders>
            <w:vAlign w:val="center"/>
          </w:tcPr>
          <w:p w:rsidR="003570C4" w:rsidRPr="003570C4" w:rsidRDefault="003570C4"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3570C4">
              <w:rPr>
                <w:rFonts w:cstheme="minorHAnsi"/>
                <w:bCs/>
                <w:sz w:val="20"/>
                <w:szCs w:val="20"/>
              </w:rPr>
              <w:t>Działania na rzecz skracania łańcucha dostaw w przetwórstwie rolno-spożywczym</w:t>
            </w:r>
          </w:p>
          <w:p w:rsidR="003570C4" w:rsidRPr="003570C4" w:rsidRDefault="003570C4"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5672" w:type="dxa"/>
            <w:tcBorders>
              <w:top w:val="single" w:sz="18" w:space="0" w:color="4584D3" w:themeColor="accent2"/>
            </w:tcBorders>
            <w:vAlign w:val="center"/>
          </w:tcPr>
          <w:p w:rsidR="003570C4" w:rsidRPr="003570C4" w:rsidRDefault="003570C4"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3570C4">
              <w:rPr>
                <w:rFonts w:cstheme="minorHAnsi"/>
                <w:sz w:val="20"/>
                <w:szCs w:val="20"/>
              </w:rPr>
              <w:t>Wzmocnienie potencjału lokalnej gospodarki.</w:t>
            </w:r>
          </w:p>
        </w:tc>
      </w:tr>
      <w:tr w:rsidR="003570C4" w:rsidRPr="003570C4" w:rsidTr="00D2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3570C4" w:rsidRPr="00D3786C" w:rsidRDefault="003570C4" w:rsidP="00D27832">
            <w:pPr>
              <w:spacing w:before="0"/>
              <w:ind w:firstLine="0"/>
              <w:jc w:val="left"/>
              <w:rPr>
                <w:rFonts w:asciiTheme="minorHAnsi" w:hAnsiTheme="minorHAnsi" w:cstheme="minorHAnsi"/>
                <w:sz w:val="20"/>
                <w:szCs w:val="20"/>
              </w:rPr>
            </w:pPr>
          </w:p>
        </w:tc>
        <w:tc>
          <w:tcPr>
            <w:tcW w:w="5812" w:type="dxa"/>
            <w:vMerge/>
            <w:vAlign w:val="center"/>
          </w:tcPr>
          <w:p w:rsidR="003570C4" w:rsidRPr="003570C4" w:rsidRDefault="003570C4"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5672" w:type="dxa"/>
            <w:vAlign w:val="center"/>
          </w:tcPr>
          <w:p w:rsidR="003570C4" w:rsidRPr="003570C4" w:rsidRDefault="003570C4"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570C4">
              <w:rPr>
                <w:rFonts w:cstheme="minorHAnsi"/>
                <w:sz w:val="20"/>
                <w:szCs w:val="20"/>
              </w:rPr>
              <w:t>Utworzenie i rozwój Kreatywnego Centrum Edukacji i Współpracy Gospodarczej</w:t>
            </w:r>
          </w:p>
        </w:tc>
      </w:tr>
      <w:tr w:rsidR="003570C4" w:rsidRPr="003570C4" w:rsidTr="006633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Borders>
              <w:bottom w:val="single" w:sz="18" w:space="0" w:color="4584D3" w:themeColor="accent2"/>
            </w:tcBorders>
            <w:vAlign w:val="center"/>
          </w:tcPr>
          <w:p w:rsidR="003570C4" w:rsidRPr="00D3786C" w:rsidRDefault="003570C4" w:rsidP="00D27832">
            <w:pPr>
              <w:spacing w:before="0"/>
              <w:ind w:firstLine="0"/>
              <w:jc w:val="left"/>
              <w:rPr>
                <w:rFonts w:asciiTheme="minorHAnsi" w:hAnsiTheme="minorHAnsi" w:cstheme="minorHAnsi"/>
                <w:sz w:val="20"/>
                <w:szCs w:val="20"/>
              </w:rPr>
            </w:pPr>
          </w:p>
        </w:tc>
        <w:tc>
          <w:tcPr>
            <w:tcW w:w="5812" w:type="dxa"/>
            <w:vMerge/>
            <w:tcBorders>
              <w:bottom w:val="single" w:sz="18" w:space="0" w:color="4584D3" w:themeColor="accent2"/>
            </w:tcBorders>
            <w:vAlign w:val="center"/>
          </w:tcPr>
          <w:p w:rsidR="003570C4" w:rsidRPr="003570C4" w:rsidRDefault="003570C4"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5672" w:type="dxa"/>
            <w:tcBorders>
              <w:bottom w:val="single" w:sz="18" w:space="0" w:color="4584D3" w:themeColor="accent2"/>
            </w:tcBorders>
            <w:vAlign w:val="center"/>
          </w:tcPr>
          <w:p w:rsidR="003570C4" w:rsidRPr="003570C4" w:rsidRDefault="003570C4"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3570C4">
              <w:rPr>
                <w:rFonts w:cstheme="minorHAnsi"/>
                <w:sz w:val="20"/>
                <w:szCs w:val="20"/>
              </w:rPr>
              <w:t>Uzbrojenie terenów inwestycyjnych, zapleczy produkcyjnych</w:t>
            </w:r>
          </w:p>
        </w:tc>
      </w:tr>
      <w:tr w:rsidR="003570C4" w:rsidRPr="003570C4" w:rsidTr="006633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tcBorders>
              <w:top w:val="single" w:sz="18" w:space="0" w:color="4584D3" w:themeColor="accent2"/>
              <w:bottom w:val="single" w:sz="18" w:space="0" w:color="4584D3" w:themeColor="accent2"/>
            </w:tcBorders>
            <w:vAlign w:val="center"/>
          </w:tcPr>
          <w:p w:rsidR="003570C4" w:rsidRPr="00D3786C" w:rsidRDefault="003570C4" w:rsidP="00D27832">
            <w:pPr>
              <w:spacing w:before="0"/>
              <w:ind w:firstLine="0"/>
              <w:jc w:val="left"/>
              <w:rPr>
                <w:rFonts w:asciiTheme="minorHAnsi" w:hAnsiTheme="minorHAnsi" w:cstheme="minorHAnsi"/>
                <w:sz w:val="20"/>
                <w:szCs w:val="20"/>
              </w:rPr>
            </w:pPr>
            <w:r w:rsidRPr="00D3786C">
              <w:rPr>
                <w:rFonts w:asciiTheme="minorHAnsi" w:hAnsiTheme="minorHAnsi" w:cstheme="minorHAnsi"/>
                <w:sz w:val="20"/>
                <w:szCs w:val="20"/>
              </w:rPr>
              <w:t>Rozwój infrastruktury teleinformatycznej</w:t>
            </w:r>
          </w:p>
        </w:tc>
        <w:tc>
          <w:tcPr>
            <w:tcW w:w="5812" w:type="dxa"/>
            <w:tcBorders>
              <w:top w:val="single" w:sz="18" w:space="0" w:color="4584D3" w:themeColor="accent2"/>
              <w:bottom w:val="single" w:sz="18" w:space="0" w:color="4584D3" w:themeColor="accent2"/>
            </w:tcBorders>
            <w:vAlign w:val="center"/>
          </w:tcPr>
          <w:p w:rsidR="003570C4" w:rsidRPr="003570C4" w:rsidRDefault="003570C4"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570C4">
              <w:rPr>
                <w:rFonts w:cstheme="minorHAnsi"/>
                <w:sz w:val="20"/>
                <w:szCs w:val="20"/>
              </w:rPr>
              <w:t>-</w:t>
            </w:r>
          </w:p>
        </w:tc>
        <w:tc>
          <w:tcPr>
            <w:tcW w:w="5672" w:type="dxa"/>
            <w:tcBorders>
              <w:top w:val="single" w:sz="18" w:space="0" w:color="4584D3" w:themeColor="accent2"/>
              <w:bottom w:val="single" w:sz="18" w:space="0" w:color="4584D3" w:themeColor="accent2"/>
            </w:tcBorders>
            <w:vAlign w:val="center"/>
          </w:tcPr>
          <w:p w:rsidR="003570C4" w:rsidRPr="003570C4" w:rsidRDefault="003570C4"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570C4">
              <w:rPr>
                <w:rFonts w:cstheme="minorHAnsi"/>
                <w:sz w:val="20"/>
                <w:szCs w:val="20"/>
              </w:rPr>
              <w:t>Rozwój infrastruktury teleinformatycznej na terenie Hrubieszowa</w:t>
            </w:r>
          </w:p>
        </w:tc>
      </w:tr>
      <w:tr w:rsidR="006633BD" w:rsidRPr="003570C4" w:rsidTr="006633BD">
        <w:trPr>
          <w:cnfStyle w:val="000000010000" w:firstRow="0" w:lastRow="0" w:firstColumn="0" w:lastColumn="0" w:oddVBand="0" w:evenVBand="0" w:oddHBand="0" w:evenHBand="1"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660" w:type="dxa"/>
            <w:vMerge w:val="restart"/>
            <w:tcBorders>
              <w:top w:val="single" w:sz="18" w:space="0" w:color="4584D3" w:themeColor="accent2"/>
            </w:tcBorders>
            <w:vAlign w:val="center"/>
          </w:tcPr>
          <w:p w:rsidR="006633BD" w:rsidRPr="00D3786C" w:rsidRDefault="006633BD" w:rsidP="00D27832">
            <w:pPr>
              <w:spacing w:before="0"/>
              <w:ind w:firstLine="0"/>
              <w:jc w:val="left"/>
              <w:rPr>
                <w:rFonts w:cstheme="minorHAnsi"/>
                <w:sz w:val="20"/>
                <w:szCs w:val="20"/>
              </w:rPr>
            </w:pPr>
            <w:r>
              <w:rPr>
                <w:rFonts w:cstheme="minorHAnsi"/>
                <w:sz w:val="20"/>
                <w:szCs w:val="20"/>
              </w:rPr>
              <w:t>Sprawna administracja</w:t>
            </w:r>
          </w:p>
        </w:tc>
        <w:tc>
          <w:tcPr>
            <w:tcW w:w="11484" w:type="dxa"/>
            <w:gridSpan w:val="2"/>
            <w:tcBorders>
              <w:top w:val="single" w:sz="18" w:space="0" w:color="4584D3" w:themeColor="accent2"/>
            </w:tcBorders>
            <w:vAlign w:val="center"/>
          </w:tcPr>
          <w:p w:rsidR="006633BD" w:rsidRPr="006633BD" w:rsidRDefault="006633BD" w:rsidP="006633BD">
            <w:pPr>
              <w:ind w:firstLine="0"/>
              <w:cnfStyle w:val="000000010000" w:firstRow="0" w:lastRow="0" w:firstColumn="0" w:lastColumn="0" w:oddVBand="0" w:evenVBand="0" w:oddHBand="0" w:evenHBand="1" w:firstRowFirstColumn="0" w:firstRowLastColumn="0" w:lastRowFirstColumn="0" w:lastRowLastColumn="0"/>
              <w:rPr>
                <w:sz w:val="20"/>
                <w:szCs w:val="20"/>
              </w:rPr>
            </w:pPr>
            <w:r w:rsidRPr="006633BD">
              <w:rPr>
                <w:sz w:val="20"/>
                <w:szCs w:val="20"/>
              </w:rPr>
              <w:t>Rozwój elektronicznych usług publicznych w Hrubieszowskim Obszarze Funkcjonalnym – Cyfrowy HOF</w:t>
            </w:r>
            <w:r>
              <w:rPr>
                <w:sz w:val="20"/>
                <w:szCs w:val="20"/>
              </w:rPr>
              <w:t xml:space="preserve"> (ZIT)</w:t>
            </w:r>
          </w:p>
        </w:tc>
      </w:tr>
      <w:tr w:rsidR="006633BD" w:rsidRPr="003570C4" w:rsidTr="006633BD">
        <w:trPr>
          <w:cnfStyle w:val="000000100000" w:firstRow="0" w:lastRow="0" w:firstColumn="0" w:lastColumn="0" w:oddVBand="0" w:evenVBand="0" w:oddHBand="1" w:evenHBand="0" w:firstRowFirstColumn="0" w:firstRowLastColumn="0" w:lastRowFirstColumn="0" w:lastRowLastColumn="0"/>
          <w:trHeight w:val="156"/>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6633BD" w:rsidRDefault="006633BD" w:rsidP="00D27832">
            <w:pPr>
              <w:spacing w:before="0"/>
              <w:ind w:firstLine="0"/>
              <w:jc w:val="left"/>
              <w:rPr>
                <w:rFonts w:cstheme="minorHAnsi"/>
                <w:sz w:val="20"/>
                <w:szCs w:val="20"/>
              </w:rPr>
            </w:pPr>
          </w:p>
        </w:tc>
        <w:tc>
          <w:tcPr>
            <w:tcW w:w="5812" w:type="dxa"/>
            <w:vMerge w:val="restart"/>
            <w:vAlign w:val="center"/>
          </w:tcPr>
          <w:p w:rsidR="006633BD" w:rsidRPr="003570C4" w:rsidRDefault="006633BD"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t>
            </w:r>
          </w:p>
        </w:tc>
        <w:tc>
          <w:tcPr>
            <w:tcW w:w="5672" w:type="dxa"/>
          </w:tcPr>
          <w:p w:rsidR="006633BD" w:rsidRPr="006633BD" w:rsidRDefault="006633BD" w:rsidP="006633BD">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633BD">
              <w:rPr>
                <w:sz w:val="20"/>
                <w:szCs w:val="20"/>
              </w:rPr>
              <w:t>Utworzenie Hrubieszowskiej Akademii Biznesu</w:t>
            </w:r>
          </w:p>
        </w:tc>
      </w:tr>
      <w:tr w:rsidR="006633BD" w:rsidRPr="003570C4" w:rsidTr="000A63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6633BD" w:rsidRDefault="006633BD" w:rsidP="00D27832">
            <w:pPr>
              <w:spacing w:before="0"/>
              <w:ind w:firstLine="0"/>
              <w:jc w:val="left"/>
              <w:rPr>
                <w:rFonts w:cstheme="minorHAnsi"/>
                <w:sz w:val="20"/>
                <w:szCs w:val="20"/>
              </w:rPr>
            </w:pPr>
          </w:p>
        </w:tc>
        <w:tc>
          <w:tcPr>
            <w:tcW w:w="5812" w:type="dxa"/>
            <w:vMerge/>
            <w:vAlign w:val="center"/>
          </w:tcPr>
          <w:p w:rsidR="006633BD" w:rsidRPr="003570C4" w:rsidRDefault="006633BD"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5672" w:type="dxa"/>
          </w:tcPr>
          <w:p w:rsidR="006633BD" w:rsidRPr="006633BD" w:rsidRDefault="006633BD" w:rsidP="006633BD">
            <w:pPr>
              <w:ind w:firstLine="0"/>
              <w:cnfStyle w:val="000000010000" w:firstRow="0" w:lastRow="0" w:firstColumn="0" w:lastColumn="0" w:oddVBand="0" w:evenVBand="0" w:oddHBand="0" w:evenHBand="1" w:firstRowFirstColumn="0" w:firstRowLastColumn="0" w:lastRowFirstColumn="0" w:lastRowLastColumn="0"/>
              <w:rPr>
                <w:sz w:val="20"/>
                <w:szCs w:val="20"/>
              </w:rPr>
            </w:pPr>
            <w:r w:rsidRPr="006633BD">
              <w:rPr>
                <w:sz w:val="20"/>
                <w:szCs w:val="20"/>
              </w:rPr>
              <w:t>Stworzenie Karty Mieszkańca</w:t>
            </w:r>
          </w:p>
        </w:tc>
      </w:tr>
      <w:tr w:rsidR="006633BD" w:rsidRPr="003570C4" w:rsidTr="000A6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6633BD" w:rsidRDefault="006633BD" w:rsidP="00D27832">
            <w:pPr>
              <w:spacing w:before="0"/>
              <w:ind w:firstLine="0"/>
              <w:jc w:val="left"/>
              <w:rPr>
                <w:rFonts w:cstheme="minorHAnsi"/>
                <w:sz w:val="20"/>
                <w:szCs w:val="20"/>
              </w:rPr>
            </w:pPr>
          </w:p>
        </w:tc>
        <w:tc>
          <w:tcPr>
            <w:tcW w:w="5812" w:type="dxa"/>
            <w:vMerge/>
            <w:vAlign w:val="center"/>
          </w:tcPr>
          <w:p w:rsidR="006633BD" w:rsidRPr="003570C4" w:rsidRDefault="006633BD"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5672" w:type="dxa"/>
          </w:tcPr>
          <w:p w:rsidR="006633BD" w:rsidRPr="006633BD" w:rsidRDefault="006633BD" w:rsidP="006633BD">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633BD">
              <w:rPr>
                <w:sz w:val="20"/>
                <w:szCs w:val="20"/>
              </w:rPr>
              <w:t xml:space="preserve">Działania na rzecz wzrostu efektywności zarządzania w tym zarządzania strategicznego </w:t>
            </w:r>
          </w:p>
        </w:tc>
      </w:tr>
      <w:tr w:rsidR="006633BD" w:rsidRPr="003570C4" w:rsidTr="006633BD">
        <w:trPr>
          <w:cnfStyle w:val="000000010000" w:firstRow="0" w:lastRow="0" w:firstColumn="0" w:lastColumn="0" w:oddVBand="0" w:evenVBand="0" w:oddHBand="0" w:evenHBand="1" w:firstRowFirstColumn="0" w:firstRowLastColumn="0" w:lastRowFirstColumn="0" w:lastRowLastColumn="0"/>
          <w:trHeight w:val="176"/>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6633BD" w:rsidRDefault="006633BD" w:rsidP="00D27832">
            <w:pPr>
              <w:spacing w:before="0"/>
              <w:ind w:firstLine="0"/>
              <w:jc w:val="left"/>
              <w:rPr>
                <w:rFonts w:cstheme="minorHAnsi"/>
                <w:sz w:val="20"/>
                <w:szCs w:val="20"/>
              </w:rPr>
            </w:pPr>
          </w:p>
        </w:tc>
        <w:tc>
          <w:tcPr>
            <w:tcW w:w="5812" w:type="dxa"/>
            <w:vMerge/>
            <w:vAlign w:val="center"/>
          </w:tcPr>
          <w:p w:rsidR="006633BD" w:rsidRPr="003570C4" w:rsidRDefault="006633BD"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5672" w:type="dxa"/>
          </w:tcPr>
          <w:p w:rsidR="006633BD" w:rsidRPr="006633BD" w:rsidRDefault="006633BD" w:rsidP="006633BD">
            <w:pPr>
              <w:ind w:firstLine="0"/>
              <w:cnfStyle w:val="000000010000" w:firstRow="0" w:lastRow="0" w:firstColumn="0" w:lastColumn="0" w:oddVBand="0" w:evenVBand="0" w:oddHBand="0" w:evenHBand="1" w:firstRowFirstColumn="0" w:firstRowLastColumn="0" w:lastRowFirstColumn="0" w:lastRowLastColumn="0"/>
              <w:rPr>
                <w:sz w:val="20"/>
                <w:szCs w:val="20"/>
              </w:rPr>
            </w:pPr>
            <w:r w:rsidRPr="006633BD">
              <w:rPr>
                <w:sz w:val="20"/>
                <w:szCs w:val="20"/>
              </w:rPr>
              <w:t xml:space="preserve">Działania na rzecz opracowania Strategii Otwartego Rządzenia </w:t>
            </w:r>
          </w:p>
        </w:tc>
      </w:tr>
      <w:tr w:rsidR="006633BD" w:rsidRPr="003570C4" w:rsidTr="000A6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6633BD" w:rsidRDefault="006633BD" w:rsidP="00D27832">
            <w:pPr>
              <w:spacing w:before="0"/>
              <w:ind w:firstLine="0"/>
              <w:jc w:val="left"/>
              <w:rPr>
                <w:rFonts w:cstheme="minorHAnsi"/>
                <w:sz w:val="20"/>
                <w:szCs w:val="20"/>
              </w:rPr>
            </w:pPr>
          </w:p>
        </w:tc>
        <w:tc>
          <w:tcPr>
            <w:tcW w:w="5812" w:type="dxa"/>
            <w:vMerge/>
            <w:vAlign w:val="center"/>
          </w:tcPr>
          <w:p w:rsidR="006633BD" w:rsidRPr="003570C4" w:rsidRDefault="006633BD"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5672" w:type="dxa"/>
          </w:tcPr>
          <w:p w:rsidR="006633BD" w:rsidRPr="006633BD" w:rsidRDefault="006633BD" w:rsidP="006633BD">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6633BD">
              <w:rPr>
                <w:sz w:val="20"/>
                <w:szCs w:val="20"/>
              </w:rPr>
              <w:t>Działania na rzecz opracowania koncepcji rozwoju sieciowego produktu turystycznego</w:t>
            </w:r>
          </w:p>
        </w:tc>
      </w:tr>
    </w:tbl>
    <w:p w:rsidR="003570C4" w:rsidRDefault="003570C4" w:rsidP="00097D26">
      <w:pPr>
        <w:ind w:firstLine="0"/>
        <w:jc w:val="center"/>
      </w:pPr>
    </w:p>
    <w:p w:rsidR="003570C4" w:rsidRDefault="003570C4" w:rsidP="00097D26">
      <w:pPr>
        <w:ind w:firstLine="0"/>
        <w:jc w:val="center"/>
        <w:sectPr w:rsidR="003570C4" w:rsidSect="003570C4">
          <w:pgSz w:w="16838" w:h="11906" w:orient="landscape"/>
          <w:pgMar w:top="1417" w:right="1417" w:bottom="1417" w:left="1417" w:header="708" w:footer="708" w:gutter="0"/>
          <w:cols w:space="708"/>
          <w:docGrid w:linePitch="360"/>
        </w:sectPr>
      </w:pPr>
    </w:p>
    <w:p w:rsidR="00097D26" w:rsidRDefault="00097D26" w:rsidP="00097D26">
      <w:pPr>
        <w:pStyle w:val="Legenda"/>
        <w:keepNext/>
        <w:ind w:firstLine="0"/>
        <w:jc w:val="center"/>
      </w:pPr>
      <w:bookmarkStart w:id="71" w:name="_Toc138068514"/>
      <w:r>
        <w:lastRenderedPageBreak/>
        <w:t xml:space="preserve">Ryc. </w:t>
      </w:r>
      <w:r w:rsidR="00E20FF4">
        <w:fldChar w:fldCharType="begin"/>
      </w:r>
      <w:r w:rsidR="00E20FF4">
        <w:instrText xml:space="preserve"> SEQ Ryc. \* ARABIC </w:instrText>
      </w:r>
      <w:r w:rsidR="00E20FF4">
        <w:fldChar w:fldCharType="separate"/>
      </w:r>
      <w:r w:rsidR="0022657A">
        <w:rPr>
          <w:noProof/>
        </w:rPr>
        <w:t>18</w:t>
      </w:r>
      <w:r w:rsidR="00E20FF4">
        <w:rPr>
          <w:noProof/>
        </w:rPr>
        <w:fldChar w:fldCharType="end"/>
      </w:r>
      <w:r>
        <w:t xml:space="preserve">. </w:t>
      </w:r>
      <w:r w:rsidRPr="00A80777">
        <w:t>Planowane zamierzenia rozwojowe w zakresie gospodarki komunalnej</w:t>
      </w:r>
      <w:r>
        <w:t xml:space="preserve"> i efektywności energetycznej i </w:t>
      </w:r>
      <w:r w:rsidRPr="00A80777">
        <w:t>odnawialne źródła energii</w:t>
      </w:r>
      <w:bookmarkEnd w:id="71"/>
    </w:p>
    <w:p w:rsidR="00097D26" w:rsidRDefault="006633BD" w:rsidP="003570C4">
      <w:pPr>
        <w:spacing w:after="0"/>
        <w:ind w:firstLine="0"/>
        <w:jc w:val="center"/>
      </w:pPr>
      <w:r>
        <w:rPr>
          <w:noProof/>
          <w:lang w:eastAsia="pl-PL"/>
        </w:rPr>
        <w:drawing>
          <wp:inline distT="0" distB="0" distL="0" distR="0" wp14:anchorId="579A068A" wp14:editId="4AF9CF4C">
            <wp:extent cx="5758543" cy="7911198"/>
            <wp:effectExtent l="0" t="0" r="0"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3_poprawiona_29_05_2023.jpg"/>
                    <pic:cNvPicPr/>
                  </pic:nvPicPr>
                  <pic:blipFill rotWithShape="1">
                    <a:blip r:embed="rId92" cstate="print">
                      <a:extLst>
                        <a:ext uri="{28A0092B-C50C-407E-A947-70E740481C1C}">
                          <a14:useLocalDpi xmlns:a14="http://schemas.microsoft.com/office/drawing/2010/main" val="0"/>
                        </a:ext>
                      </a:extLst>
                    </a:blip>
                    <a:srcRect t="2873"/>
                    <a:stretch/>
                  </pic:blipFill>
                  <pic:spPr bwMode="auto">
                    <a:xfrm>
                      <a:off x="0" y="0"/>
                      <a:ext cx="5760720" cy="7914189"/>
                    </a:xfrm>
                    <a:prstGeom prst="rect">
                      <a:avLst/>
                    </a:prstGeom>
                    <a:ln>
                      <a:noFill/>
                    </a:ln>
                    <a:extLst>
                      <a:ext uri="{53640926-AAD7-44D8-BBD7-CCE9431645EC}">
                        <a14:shadowObscured xmlns:a14="http://schemas.microsoft.com/office/drawing/2010/main"/>
                      </a:ext>
                    </a:extLst>
                  </pic:spPr>
                </pic:pic>
              </a:graphicData>
            </a:graphic>
          </wp:inline>
        </w:drawing>
      </w:r>
    </w:p>
    <w:p w:rsidR="003570C4" w:rsidRDefault="003570C4" w:rsidP="003570C4">
      <w:pPr>
        <w:spacing w:before="0"/>
        <w:rPr>
          <w:bCs/>
          <w:i/>
          <w:sz w:val="18"/>
          <w:szCs w:val="18"/>
        </w:rPr>
      </w:pPr>
      <w:r w:rsidRPr="00097D26">
        <w:rPr>
          <w:bCs/>
          <w:i/>
          <w:sz w:val="18"/>
          <w:szCs w:val="18"/>
        </w:rPr>
        <w:t>Źródło: Opracowanie własne</w:t>
      </w:r>
    </w:p>
    <w:p w:rsidR="003570C4" w:rsidRDefault="003570C4" w:rsidP="003570C4">
      <w:pPr>
        <w:spacing w:before="0"/>
        <w:rPr>
          <w:bCs/>
          <w:i/>
          <w:sz w:val="18"/>
          <w:szCs w:val="18"/>
        </w:rPr>
        <w:sectPr w:rsidR="003570C4" w:rsidSect="003E35BE">
          <w:pgSz w:w="11906" w:h="16838"/>
          <w:pgMar w:top="1417" w:right="1417" w:bottom="1417" w:left="1417" w:header="708" w:footer="708" w:gutter="0"/>
          <w:cols w:space="708"/>
          <w:docGrid w:linePitch="360"/>
        </w:sectPr>
      </w:pPr>
    </w:p>
    <w:tbl>
      <w:tblPr>
        <w:tblStyle w:val="Jasnasiatkaakcent21"/>
        <w:tblW w:w="0" w:type="auto"/>
        <w:tblLook w:val="04A0" w:firstRow="1" w:lastRow="0" w:firstColumn="1" w:lastColumn="0" w:noHBand="0" w:noVBand="1"/>
      </w:tblPr>
      <w:tblGrid>
        <w:gridCol w:w="2660"/>
        <w:gridCol w:w="5670"/>
        <w:gridCol w:w="5814"/>
      </w:tblGrid>
      <w:tr w:rsidR="00573B19" w:rsidTr="00D27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tcPr>
          <w:p w:rsidR="00573B19" w:rsidRPr="00573B19" w:rsidRDefault="00573B19" w:rsidP="00B757EA">
            <w:pPr>
              <w:spacing w:before="0"/>
              <w:ind w:firstLine="0"/>
              <w:jc w:val="center"/>
            </w:pPr>
            <w:r w:rsidRPr="00573B19">
              <w:lastRenderedPageBreak/>
              <w:t>Kategoria</w:t>
            </w:r>
          </w:p>
        </w:tc>
        <w:tc>
          <w:tcPr>
            <w:tcW w:w="11484" w:type="dxa"/>
            <w:gridSpan w:val="2"/>
          </w:tcPr>
          <w:p w:rsidR="00573B19" w:rsidRPr="00573B19" w:rsidRDefault="00573B19" w:rsidP="00B757EA">
            <w:pPr>
              <w:spacing w:before="0"/>
              <w:jc w:val="center"/>
              <w:cnfStyle w:val="100000000000" w:firstRow="1" w:lastRow="0" w:firstColumn="0" w:lastColumn="0" w:oddVBand="0" w:evenVBand="0" w:oddHBand="0" w:evenHBand="0" w:firstRowFirstColumn="0" w:firstRowLastColumn="0" w:lastRowFirstColumn="0" w:lastRowLastColumn="0"/>
            </w:pPr>
            <w:r w:rsidRPr="00573B19">
              <w:t>Wykaz zadań rozwojowych</w:t>
            </w:r>
          </w:p>
        </w:tc>
      </w:tr>
      <w:tr w:rsidR="00573B19" w:rsidTr="00D2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tcPr>
          <w:p w:rsidR="00573B19" w:rsidRPr="00573B19" w:rsidRDefault="00573B19" w:rsidP="00573B19">
            <w:pPr>
              <w:spacing w:before="0"/>
              <w:ind w:firstLine="0"/>
              <w:jc w:val="center"/>
              <w:rPr>
                <w:bCs w:val="0"/>
                <w:i/>
                <w:sz w:val="18"/>
                <w:szCs w:val="18"/>
              </w:rPr>
            </w:pPr>
          </w:p>
        </w:tc>
        <w:tc>
          <w:tcPr>
            <w:tcW w:w="5670" w:type="dxa"/>
          </w:tcPr>
          <w:p w:rsidR="00573B19" w:rsidRPr="00573B19" w:rsidRDefault="00573B19" w:rsidP="00573B19">
            <w:pPr>
              <w:spacing w:before="0"/>
              <w:ind w:firstLine="0"/>
              <w:jc w:val="center"/>
              <w:cnfStyle w:val="000000100000" w:firstRow="0" w:lastRow="0" w:firstColumn="0" w:lastColumn="0" w:oddVBand="0" w:evenVBand="0" w:oddHBand="1" w:evenHBand="0" w:firstRowFirstColumn="0" w:firstRowLastColumn="0" w:lastRowFirstColumn="0" w:lastRowLastColumn="0"/>
              <w:rPr>
                <w:b/>
                <w:bCs/>
                <w:i/>
                <w:sz w:val="18"/>
                <w:szCs w:val="18"/>
              </w:rPr>
            </w:pPr>
            <w:r w:rsidRPr="00573B19">
              <w:rPr>
                <w:b/>
              </w:rPr>
              <w:t>Gmina Hrubieszów</w:t>
            </w:r>
          </w:p>
        </w:tc>
        <w:tc>
          <w:tcPr>
            <w:tcW w:w="5814" w:type="dxa"/>
          </w:tcPr>
          <w:p w:rsidR="00573B19" w:rsidRPr="00573B19" w:rsidRDefault="002C1A15" w:rsidP="002C1A15">
            <w:pPr>
              <w:spacing w:before="0"/>
              <w:ind w:firstLine="0"/>
              <w:jc w:val="center"/>
              <w:cnfStyle w:val="000000100000" w:firstRow="0" w:lastRow="0" w:firstColumn="0" w:lastColumn="0" w:oddVBand="0" w:evenVBand="0" w:oddHBand="1" w:evenHBand="0" w:firstRowFirstColumn="0" w:firstRowLastColumn="0" w:lastRowFirstColumn="0" w:lastRowLastColumn="0"/>
              <w:rPr>
                <w:b/>
                <w:bCs/>
                <w:i/>
                <w:sz w:val="18"/>
                <w:szCs w:val="18"/>
              </w:rPr>
            </w:pPr>
            <w:r w:rsidRPr="00097D26">
              <w:rPr>
                <w:b/>
              </w:rPr>
              <w:t>Gmina Miejska Hrubieszów</w:t>
            </w:r>
          </w:p>
        </w:tc>
      </w:tr>
      <w:tr w:rsidR="00573B19" w:rsidTr="00D278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573B19" w:rsidRPr="00FA3E3C" w:rsidRDefault="00573B19" w:rsidP="00D27832">
            <w:pPr>
              <w:spacing w:before="0"/>
              <w:ind w:firstLine="0"/>
              <w:jc w:val="left"/>
              <w:rPr>
                <w:bCs w:val="0"/>
                <w:sz w:val="20"/>
                <w:szCs w:val="20"/>
              </w:rPr>
            </w:pPr>
            <w:r w:rsidRPr="00FA3E3C">
              <w:rPr>
                <w:bCs w:val="0"/>
                <w:sz w:val="20"/>
                <w:szCs w:val="20"/>
              </w:rPr>
              <w:t>Budowa i rozbudowa sieci wodociągowej</w:t>
            </w:r>
          </w:p>
        </w:tc>
        <w:tc>
          <w:tcPr>
            <w:tcW w:w="5670" w:type="dxa"/>
            <w:vAlign w:val="center"/>
          </w:tcPr>
          <w:p w:rsidR="00573B19" w:rsidRPr="00FA3E3C" w:rsidRDefault="00A760C2"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FA3E3C">
              <w:rPr>
                <w:rFonts w:cstheme="minorHAnsi"/>
                <w:bCs/>
                <w:sz w:val="20"/>
                <w:szCs w:val="20"/>
              </w:rPr>
              <w:t>Modernizacja sieci wodociągowej oraz ujęć wody, monitoring sieci wodociągowej, zwiększenie wydajności ujęć wody, budowa zbiorników wody</w:t>
            </w:r>
          </w:p>
        </w:tc>
        <w:tc>
          <w:tcPr>
            <w:tcW w:w="5814" w:type="dxa"/>
            <w:vAlign w:val="center"/>
          </w:tcPr>
          <w:p w:rsidR="00573B19" w:rsidRPr="00FA3E3C" w:rsidRDefault="00A760C2"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FA3E3C">
              <w:rPr>
                <w:rFonts w:cstheme="minorHAnsi"/>
                <w:bCs/>
                <w:sz w:val="20"/>
                <w:szCs w:val="20"/>
              </w:rPr>
              <w:t>Modernizacja/przebudowa sieci wodociągowej w ulicy Kolejowej od skrzyżowania w ul. Basaja do skrzyżowania z ulicą nową, wpięcie wodociągów z ul. Polnej i Listopadowej.</w:t>
            </w:r>
            <w:r w:rsidR="00B757EA" w:rsidRPr="00FA3E3C">
              <w:rPr>
                <w:rFonts w:cstheme="minorHAnsi"/>
                <w:bCs/>
                <w:sz w:val="20"/>
                <w:szCs w:val="20"/>
              </w:rPr>
              <w:t xml:space="preserve"> </w:t>
            </w:r>
            <w:r w:rsidRPr="00FA3E3C">
              <w:rPr>
                <w:rFonts w:cstheme="minorHAnsi"/>
                <w:bCs/>
                <w:sz w:val="20"/>
                <w:szCs w:val="20"/>
              </w:rPr>
              <w:t>Budowa sieci wodociągowej w ulicy Sokolskiej.</w:t>
            </w:r>
            <w:r w:rsidR="00B757EA" w:rsidRPr="00FA3E3C">
              <w:rPr>
                <w:rFonts w:cstheme="minorHAnsi"/>
                <w:bCs/>
                <w:sz w:val="20"/>
                <w:szCs w:val="20"/>
              </w:rPr>
              <w:t xml:space="preserve"> </w:t>
            </w:r>
            <w:r w:rsidRPr="00FA3E3C">
              <w:rPr>
                <w:rFonts w:cstheme="minorHAnsi"/>
                <w:bCs/>
                <w:sz w:val="20"/>
                <w:szCs w:val="20"/>
              </w:rPr>
              <w:t>Budowa sieci wodociągowej oraz budowa i rozbudowa sieci kanalizac</w:t>
            </w:r>
            <w:r w:rsidR="00B757EA" w:rsidRPr="00FA3E3C">
              <w:rPr>
                <w:rFonts w:cstheme="minorHAnsi"/>
                <w:bCs/>
                <w:sz w:val="20"/>
                <w:szCs w:val="20"/>
              </w:rPr>
              <w:t xml:space="preserve">ji sanitarnej w ulicy Dworcowej. </w:t>
            </w:r>
            <w:r w:rsidR="00E065A5" w:rsidRPr="00FA3E3C">
              <w:rPr>
                <w:rFonts w:cstheme="minorHAnsi"/>
                <w:bCs/>
                <w:sz w:val="20"/>
                <w:szCs w:val="20"/>
              </w:rPr>
              <w:t>Budowa sieci wodociągowej w </w:t>
            </w:r>
            <w:r w:rsidRPr="00FA3E3C">
              <w:rPr>
                <w:rFonts w:cstheme="minorHAnsi"/>
                <w:bCs/>
                <w:sz w:val="20"/>
                <w:szCs w:val="20"/>
              </w:rPr>
              <w:t>ulicy Uchańskiej bocznej.</w:t>
            </w:r>
            <w:r w:rsidR="00B757EA" w:rsidRPr="00FA3E3C">
              <w:rPr>
                <w:rFonts w:cstheme="minorHAnsi"/>
                <w:bCs/>
                <w:sz w:val="20"/>
                <w:szCs w:val="20"/>
              </w:rPr>
              <w:t xml:space="preserve"> </w:t>
            </w:r>
            <w:r w:rsidRPr="00FA3E3C">
              <w:rPr>
                <w:rFonts w:cstheme="minorHAnsi"/>
                <w:bCs/>
                <w:sz w:val="20"/>
                <w:szCs w:val="20"/>
              </w:rPr>
              <w:t>Modernizacja sieci wodociągowych na terenie aglomeracji Hrubieszów (odcinek sieci Kom. Krawczyka – Dwernickiego).</w:t>
            </w:r>
            <w:r w:rsidR="00B757EA" w:rsidRPr="00FA3E3C">
              <w:rPr>
                <w:rFonts w:cstheme="minorHAnsi"/>
                <w:bCs/>
                <w:sz w:val="20"/>
                <w:szCs w:val="20"/>
              </w:rPr>
              <w:t xml:space="preserve"> </w:t>
            </w:r>
            <w:r w:rsidRPr="00FA3E3C">
              <w:rPr>
                <w:rFonts w:cstheme="minorHAnsi"/>
                <w:bCs/>
                <w:sz w:val="20"/>
                <w:szCs w:val="20"/>
              </w:rPr>
              <w:t>Budowa sieci wodociągowej w ulicy Michałówka (od ulicy Basaja do ulicy Michałówka).</w:t>
            </w:r>
            <w:r w:rsidR="00B757EA" w:rsidRPr="00FA3E3C">
              <w:rPr>
                <w:rFonts w:cstheme="minorHAnsi"/>
                <w:bCs/>
                <w:sz w:val="20"/>
                <w:szCs w:val="20"/>
              </w:rPr>
              <w:t xml:space="preserve"> </w:t>
            </w:r>
            <w:r w:rsidRPr="00FA3E3C">
              <w:rPr>
                <w:rFonts w:cstheme="minorHAnsi"/>
                <w:bCs/>
                <w:sz w:val="20"/>
                <w:szCs w:val="20"/>
              </w:rPr>
              <w:t>Rozbudowa sieci wodociągowej w ulicy Partyzantów.</w:t>
            </w:r>
          </w:p>
        </w:tc>
      </w:tr>
      <w:tr w:rsidR="00573B19" w:rsidTr="00D2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Align w:val="center"/>
          </w:tcPr>
          <w:p w:rsidR="00573B19" w:rsidRPr="00FA3E3C" w:rsidRDefault="00573B19" w:rsidP="00D27832">
            <w:pPr>
              <w:spacing w:before="0"/>
              <w:ind w:firstLine="0"/>
              <w:jc w:val="left"/>
              <w:rPr>
                <w:bCs w:val="0"/>
                <w:sz w:val="20"/>
                <w:szCs w:val="20"/>
              </w:rPr>
            </w:pPr>
            <w:r w:rsidRPr="00FA3E3C">
              <w:rPr>
                <w:bCs w:val="0"/>
                <w:sz w:val="20"/>
                <w:szCs w:val="20"/>
              </w:rPr>
              <w:t>Budowa zbiorników retencyjnych</w:t>
            </w:r>
          </w:p>
        </w:tc>
        <w:tc>
          <w:tcPr>
            <w:tcW w:w="5670" w:type="dxa"/>
            <w:vAlign w:val="center"/>
          </w:tcPr>
          <w:p w:rsidR="00573B19" w:rsidRPr="00FA3E3C" w:rsidRDefault="00A760C2"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sidRPr="00FA3E3C">
              <w:rPr>
                <w:rFonts w:cstheme="minorHAnsi"/>
                <w:bCs/>
                <w:sz w:val="20"/>
                <w:szCs w:val="20"/>
              </w:rPr>
              <w:t>Budowa zbiorników retencyjnych</w:t>
            </w:r>
          </w:p>
        </w:tc>
        <w:tc>
          <w:tcPr>
            <w:tcW w:w="5814" w:type="dxa"/>
            <w:vAlign w:val="center"/>
          </w:tcPr>
          <w:p w:rsidR="00573B19" w:rsidRPr="00FA3E3C" w:rsidRDefault="00BF69BF"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Pr>
                <w:rFonts w:cstheme="minorHAnsi"/>
                <w:color w:val="000000"/>
                <w:sz w:val="20"/>
                <w:szCs w:val="20"/>
              </w:rPr>
              <w:t>Budowa z</w:t>
            </w:r>
            <w:r w:rsidR="00FA3E3C" w:rsidRPr="00FA3E3C">
              <w:rPr>
                <w:rFonts w:cstheme="minorHAnsi"/>
                <w:color w:val="000000"/>
                <w:sz w:val="20"/>
                <w:szCs w:val="20"/>
              </w:rPr>
              <w:t>biornika retencyjnego – rekreacyjnego na działce nr 2294, obręb Podgórze w dolinie rzeki Huczwy w m. Hrubieszów</w:t>
            </w:r>
          </w:p>
        </w:tc>
      </w:tr>
      <w:tr w:rsidR="009B5601" w:rsidTr="00D278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vAlign w:val="center"/>
          </w:tcPr>
          <w:p w:rsidR="009B5601" w:rsidRPr="00FA3E3C" w:rsidRDefault="009B5601" w:rsidP="00D27832">
            <w:pPr>
              <w:spacing w:before="0"/>
              <w:ind w:firstLine="0"/>
              <w:jc w:val="left"/>
              <w:rPr>
                <w:bCs w:val="0"/>
                <w:sz w:val="20"/>
                <w:szCs w:val="20"/>
              </w:rPr>
            </w:pPr>
            <w:r w:rsidRPr="00FA3E3C">
              <w:rPr>
                <w:bCs w:val="0"/>
                <w:sz w:val="20"/>
                <w:szCs w:val="20"/>
              </w:rPr>
              <w:t>Efektywność energetyczna i OZE</w:t>
            </w:r>
          </w:p>
        </w:tc>
        <w:tc>
          <w:tcPr>
            <w:tcW w:w="5670" w:type="dxa"/>
            <w:vAlign w:val="center"/>
          </w:tcPr>
          <w:p w:rsidR="009B5601" w:rsidRPr="00FA3E3C" w:rsidRDefault="009B5601"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FA3E3C">
              <w:rPr>
                <w:rFonts w:cstheme="minorHAnsi"/>
                <w:bCs/>
                <w:sz w:val="20"/>
                <w:szCs w:val="20"/>
              </w:rPr>
              <w:t>Budowa instalacji OZE i inwestycje w efektywność energetyczną, budowa oświetlenia ulicznego</w:t>
            </w:r>
          </w:p>
        </w:tc>
        <w:tc>
          <w:tcPr>
            <w:tcW w:w="5814" w:type="dxa"/>
            <w:vAlign w:val="center"/>
          </w:tcPr>
          <w:p w:rsidR="009B5601" w:rsidRPr="00FA3E3C" w:rsidRDefault="009B5601"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FA3E3C">
              <w:rPr>
                <w:rFonts w:cstheme="minorHAnsi"/>
                <w:bCs/>
                <w:sz w:val="20"/>
                <w:szCs w:val="20"/>
              </w:rPr>
              <w:t>Przyjazne dla środowiska niskoemisyjne i przystosowane do zmian klimatu Miasto Hrubieszów (gospodarka w obiegu zamkniętym, OZE, magazyny energii, termomodernizacje, wymiany źródła ciepła, PV, kolektory słoneczne, pompy ciepła, modernizacja miejskich systemów grzewczych i eliminacja indywidualnych źródeł ciepła, wymiana oświetlenia na energooszczędne, zagospodarowanie wód opadowych i kształtowanie zieleni miejskiej, w tym: „zielono-niebieska” infrastruktura, likwidacja powierzchni nieprzepuszczalnych, systemy zagospodarowania wód opadowych oraz rozwój terenów zieleni w mieście.</w:t>
            </w:r>
          </w:p>
        </w:tc>
      </w:tr>
      <w:tr w:rsidR="009B5601" w:rsidTr="000A63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9B5601" w:rsidRPr="00FA3E3C" w:rsidRDefault="009B5601" w:rsidP="00D27832">
            <w:pPr>
              <w:spacing w:before="0"/>
              <w:ind w:firstLine="0"/>
              <w:jc w:val="left"/>
              <w:rPr>
                <w:bCs w:val="0"/>
                <w:sz w:val="20"/>
                <w:szCs w:val="20"/>
              </w:rPr>
            </w:pPr>
          </w:p>
        </w:tc>
        <w:tc>
          <w:tcPr>
            <w:tcW w:w="11484" w:type="dxa"/>
            <w:gridSpan w:val="2"/>
            <w:vAlign w:val="center"/>
          </w:tcPr>
          <w:p w:rsidR="009B5601" w:rsidRPr="00FA3E3C" w:rsidRDefault="009B5601"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sidRPr="009B5601">
              <w:rPr>
                <w:rFonts w:cstheme="minorHAnsi"/>
                <w:bCs/>
                <w:sz w:val="20"/>
                <w:szCs w:val="20"/>
              </w:rPr>
              <w:t>HOF przyjazny środowisku - poprawa efektywności energetycznej budynków użyteczności publicznej</w:t>
            </w:r>
            <w:r>
              <w:rPr>
                <w:rFonts w:cstheme="minorHAnsi"/>
                <w:bCs/>
                <w:sz w:val="20"/>
                <w:szCs w:val="20"/>
              </w:rPr>
              <w:t xml:space="preserve"> (ZIT)</w:t>
            </w:r>
          </w:p>
        </w:tc>
      </w:tr>
      <w:tr w:rsidR="009B5601" w:rsidTr="000A6336">
        <w:trPr>
          <w:cnfStyle w:val="000000010000" w:firstRow="0" w:lastRow="0" w:firstColumn="0" w:lastColumn="0" w:oddVBand="0" w:evenVBand="0" w:oddHBand="0" w:evenHBand="1" w:firstRowFirstColumn="0" w:firstRowLastColumn="0" w:lastRowFirstColumn="0" w:lastRowLastColumn="0"/>
          <w:trHeight w:val="732"/>
        </w:trPr>
        <w:tc>
          <w:tcPr>
            <w:cnfStyle w:val="001000000000" w:firstRow="0" w:lastRow="0" w:firstColumn="1" w:lastColumn="0" w:oddVBand="0" w:evenVBand="0" w:oddHBand="0" w:evenHBand="0" w:firstRowFirstColumn="0" w:firstRowLastColumn="0" w:lastRowFirstColumn="0" w:lastRowLastColumn="0"/>
            <w:tcW w:w="2660" w:type="dxa"/>
            <w:vAlign w:val="center"/>
          </w:tcPr>
          <w:p w:rsidR="009B5601" w:rsidRPr="00FA3E3C" w:rsidRDefault="009B5601" w:rsidP="00D27832">
            <w:pPr>
              <w:spacing w:before="0"/>
              <w:ind w:firstLine="0"/>
              <w:jc w:val="left"/>
              <w:rPr>
                <w:bCs w:val="0"/>
                <w:sz w:val="20"/>
                <w:szCs w:val="20"/>
              </w:rPr>
            </w:pPr>
            <w:r w:rsidRPr="00FA3E3C">
              <w:rPr>
                <w:bCs w:val="0"/>
                <w:sz w:val="20"/>
                <w:szCs w:val="20"/>
              </w:rPr>
              <w:t>Rozbudowa systemu bezpieczeństwa publicznego</w:t>
            </w:r>
          </w:p>
        </w:tc>
        <w:tc>
          <w:tcPr>
            <w:tcW w:w="5670" w:type="dxa"/>
            <w:vAlign w:val="center"/>
          </w:tcPr>
          <w:p w:rsidR="009B5601" w:rsidRPr="00FA3E3C" w:rsidRDefault="009B5601"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Pr>
                <w:rFonts w:cstheme="minorHAnsi"/>
                <w:bCs/>
                <w:sz w:val="20"/>
                <w:szCs w:val="20"/>
              </w:rPr>
              <w:t>-</w:t>
            </w:r>
          </w:p>
        </w:tc>
        <w:tc>
          <w:tcPr>
            <w:tcW w:w="5814" w:type="dxa"/>
            <w:vAlign w:val="center"/>
          </w:tcPr>
          <w:p w:rsidR="009B5601" w:rsidRPr="00FA3E3C" w:rsidRDefault="009B5601"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FA3E3C">
              <w:rPr>
                <w:rFonts w:cstheme="minorHAnsi"/>
                <w:bCs/>
                <w:sz w:val="20"/>
                <w:szCs w:val="20"/>
              </w:rPr>
              <w:t>Poprawa systemu bezpieczeństwa publicznego. Budowa monitoringu miejskiego w Hrubieszowie.</w:t>
            </w:r>
          </w:p>
        </w:tc>
      </w:tr>
      <w:tr w:rsidR="00485679" w:rsidTr="00D2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restart"/>
            <w:vAlign w:val="center"/>
          </w:tcPr>
          <w:p w:rsidR="00485679" w:rsidRPr="00FA3E3C" w:rsidRDefault="00485679" w:rsidP="00D27832">
            <w:pPr>
              <w:spacing w:before="0"/>
              <w:ind w:firstLine="0"/>
              <w:jc w:val="left"/>
              <w:rPr>
                <w:bCs w:val="0"/>
                <w:sz w:val="20"/>
                <w:szCs w:val="20"/>
              </w:rPr>
            </w:pPr>
            <w:r w:rsidRPr="00FA3E3C">
              <w:rPr>
                <w:bCs w:val="0"/>
                <w:sz w:val="20"/>
                <w:szCs w:val="20"/>
              </w:rPr>
              <w:t>Rozwój infrastruktury gospodarki odpadami i kanalizacyjnej</w:t>
            </w:r>
          </w:p>
        </w:tc>
        <w:tc>
          <w:tcPr>
            <w:tcW w:w="5670" w:type="dxa"/>
            <w:vAlign w:val="center"/>
          </w:tcPr>
          <w:p w:rsidR="00485679" w:rsidRPr="00FA3E3C" w:rsidRDefault="00485679"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sidRPr="00FA3E3C">
              <w:rPr>
                <w:rFonts w:cstheme="minorHAnsi"/>
                <w:bCs/>
                <w:sz w:val="20"/>
                <w:szCs w:val="20"/>
              </w:rPr>
              <w:t>Modernizacja istniejących oczyszczalni</w:t>
            </w:r>
            <w:r w:rsidR="00E065A5" w:rsidRPr="00FA3E3C">
              <w:rPr>
                <w:rFonts w:cstheme="minorHAnsi"/>
                <w:bCs/>
                <w:sz w:val="20"/>
                <w:szCs w:val="20"/>
              </w:rPr>
              <w:t xml:space="preserve"> ścieków (Mieniany, Dziekanów i </w:t>
            </w:r>
            <w:r w:rsidRPr="00FA3E3C">
              <w:rPr>
                <w:rFonts w:cstheme="minorHAnsi"/>
                <w:bCs/>
                <w:sz w:val="20"/>
                <w:szCs w:val="20"/>
              </w:rPr>
              <w:t>Husynne)</w:t>
            </w:r>
          </w:p>
        </w:tc>
        <w:tc>
          <w:tcPr>
            <w:tcW w:w="5814" w:type="dxa"/>
            <w:vAlign w:val="center"/>
          </w:tcPr>
          <w:p w:rsidR="00485679" w:rsidRPr="00FA3E3C" w:rsidRDefault="00485679"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sidRPr="00FA3E3C">
              <w:rPr>
                <w:rFonts w:cstheme="minorHAnsi"/>
                <w:bCs/>
                <w:sz w:val="20"/>
                <w:szCs w:val="20"/>
              </w:rPr>
              <w:t xml:space="preserve">Modernizacja i wyposażenie SUW ul. </w:t>
            </w:r>
            <w:proofErr w:type="spellStart"/>
            <w:r w:rsidRPr="00FA3E3C">
              <w:rPr>
                <w:rFonts w:cstheme="minorHAnsi"/>
                <w:bCs/>
                <w:sz w:val="20"/>
                <w:szCs w:val="20"/>
              </w:rPr>
              <w:t>Teresówka</w:t>
            </w:r>
            <w:proofErr w:type="spellEnd"/>
            <w:r w:rsidRPr="00FA3E3C">
              <w:rPr>
                <w:rFonts w:cstheme="minorHAnsi"/>
                <w:bCs/>
                <w:sz w:val="20"/>
                <w:szCs w:val="20"/>
              </w:rPr>
              <w:t xml:space="preserve"> 14a (dostawa szaf sterowniczych na studnie głębinowe, remont szachtów studni głębinowych, remonty i modernizacje urządzeń technologicznych, remonty obiektów SUW, zoptymalizowanie pracy urządzeń uczestniczących w procesach technologicznych poboru i uzdatniania wody za pomocą Aparatury Kontrolno-Pomiarowej i Automatyki i systemów SCADA).</w:t>
            </w:r>
          </w:p>
        </w:tc>
      </w:tr>
      <w:tr w:rsidR="00485679" w:rsidTr="00D278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485679" w:rsidRPr="00FA3E3C" w:rsidRDefault="00485679" w:rsidP="00D27832">
            <w:pPr>
              <w:spacing w:before="0"/>
              <w:ind w:firstLine="0"/>
              <w:jc w:val="left"/>
              <w:rPr>
                <w:bCs w:val="0"/>
                <w:i/>
                <w:sz w:val="20"/>
                <w:szCs w:val="20"/>
              </w:rPr>
            </w:pPr>
          </w:p>
        </w:tc>
        <w:tc>
          <w:tcPr>
            <w:tcW w:w="5670" w:type="dxa"/>
            <w:vMerge w:val="restart"/>
            <w:vAlign w:val="center"/>
          </w:tcPr>
          <w:p w:rsidR="00485679" w:rsidRPr="00FA3E3C" w:rsidRDefault="00485679"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FA3E3C">
              <w:rPr>
                <w:rFonts w:cstheme="minorHAnsi"/>
                <w:bCs/>
                <w:sz w:val="20"/>
                <w:szCs w:val="20"/>
              </w:rPr>
              <w:t>Budowa oczyszczalni ścieków oraz przydomowych oczyszczalni ścieków</w:t>
            </w:r>
          </w:p>
        </w:tc>
        <w:tc>
          <w:tcPr>
            <w:tcW w:w="5814" w:type="dxa"/>
            <w:vAlign w:val="center"/>
          </w:tcPr>
          <w:p w:rsidR="00485679" w:rsidRPr="00FA3E3C" w:rsidRDefault="00485679"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FA3E3C">
              <w:rPr>
                <w:rFonts w:cstheme="minorHAnsi"/>
                <w:bCs/>
                <w:sz w:val="20"/>
                <w:szCs w:val="20"/>
              </w:rPr>
              <w:t>Modernizacja oczyszczalni ścieków ul. Gródecka 116 (modernizacja kolektora odprowadzającego ścieki do odbiornika, modernizacja pompowni osadu wstępnego, Modernizacja mieszad</w:t>
            </w:r>
            <w:r w:rsidR="00E065A5" w:rsidRPr="00FA3E3C">
              <w:rPr>
                <w:rFonts w:cstheme="minorHAnsi"/>
                <w:bCs/>
                <w:sz w:val="20"/>
                <w:szCs w:val="20"/>
              </w:rPr>
              <w:t>eł na komorach denitryfikacji i </w:t>
            </w:r>
            <w:proofErr w:type="spellStart"/>
            <w:r w:rsidRPr="00FA3E3C">
              <w:rPr>
                <w:rFonts w:cstheme="minorHAnsi"/>
                <w:bCs/>
                <w:sz w:val="20"/>
                <w:szCs w:val="20"/>
              </w:rPr>
              <w:t>defosfatacjii</w:t>
            </w:r>
            <w:proofErr w:type="spellEnd"/>
            <w:r w:rsidRPr="00FA3E3C">
              <w:rPr>
                <w:rFonts w:cstheme="minorHAnsi"/>
                <w:bCs/>
                <w:sz w:val="20"/>
                <w:szCs w:val="20"/>
              </w:rPr>
              <w:t xml:space="preserve"> odtleniania, zakup dmuchawy zbiorowej, zoptymalizowanie pracy urządzeń uczestniczących w procesach technologicznych oczyszczania ścieków za pomocą Aparatury Kontrolno-Pomiarowej i</w:t>
            </w:r>
            <w:r w:rsidR="00E065A5" w:rsidRPr="00FA3E3C">
              <w:rPr>
                <w:rFonts w:cstheme="minorHAnsi"/>
                <w:bCs/>
                <w:sz w:val="20"/>
                <w:szCs w:val="20"/>
              </w:rPr>
              <w:t xml:space="preserve"> Automatyki i </w:t>
            </w:r>
            <w:r w:rsidRPr="00FA3E3C">
              <w:rPr>
                <w:rFonts w:cstheme="minorHAnsi"/>
                <w:bCs/>
                <w:sz w:val="20"/>
                <w:szCs w:val="20"/>
              </w:rPr>
              <w:t>systemów SCADA, modernizacja zbiornika retencyjnego na zbiornik buforowy przepływowy oraz wymiana separatora piasku na piaskownik wirowy)</w:t>
            </w:r>
          </w:p>
        </w:tc>
      </w:tr>
      <w:tr w:rsidR="00485679" w:rsidTr="00D278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485679" w:rsidRPr="00FA3E3C" w:rsidRDefault="00485679" w:rsidP="00D27832">
            <w:pPr>
              <w:spacing w:before="0"/>
              <w:ind w:firstLine="0"/>
              <w:jc w:val="left"/>
              <w:rPr>
                <w:bCs w:val="0"/>
                <w:i/>
                <w:sz w:val="20"/>
                <w:szCs w:val="20"/>
              </w:rPr>
            </w:pPr>
          </w:p>
        </w:tc>
        <w:tc>
          <w:tcPr>
            <w:tcW w:w="5670" w:type="dxa"/>
            <w:vMerge/>
            <w:vAlign w:val="center"/>
          </w:tcPr>
          <w:p w:rsidR="00485679" w:rsidRPr="00FA3E3C" w:rsidRDefault="00485679"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bCs/>
                <w:sz w:val="20"/>
                <w:szCs w:val="20"/>
              </w:rPr>
            </w:pPr>
          </w:p>
        </w:tc>
        <w:tc>
          <w:tcPr>
            <w:tcW w:w="5814" w:type="dxa"/>
            <w:vAlign w:val="center"/>
          </w:tcPr>
          <w:p w:rsidR="00485679" w:rsidRPr="00FA3E3C" w:rsidRDefault="00485679" w:rsidP="00D27832">
            <w:pPr>
              <w:spacing w:before="0"/>
              <w:ind w:firstLine="0"/>
              <w:jc w:val="left"/>
              <w:cnfStyle w:val="000000100000" w:firstRow="0" w:lastRow="0" w:firstColumn="0" w:lastColumn="0" w:oddVBand="0" w:evenVBand="0" w:oddHBand="1" w:evenHBand="0" w:firstRowFirstColumn="0" w:firstRowLastColumn="0" w:lastRowFirstColumn="0" w:lastRowLastColumn="0"/>
              <w:rPr>
                <w:rFonts w:cstheme="minorHAnsi"/>
                <w:bCs/>
                <w:sz w:val="20"/>
                <w:szCs w:val="20"/>
              </w:rPr>
            </w:pPr>
            <w:r w:rsidRPr="00FA3E3C">
              <w:rPr>
                <w:rFonts w:cstheme="minorHAnsi"/>
                <w:bCs/>
                <w:sz w:val="20"/>
                <w:szCs w:val="20"/>
              </w:rPr>
              <w:t>Modernizacja sieci kanalizacyjnej Gródecka – oś Jagiellońskie. Budowa sieci kanalizacji sanitarnej w ulicy Michałówka. Modernizacja sieci kanalizacyjnej w ulicy Piłsudskiego. Budowa sieci kanalizacyjnej w ulicy Uchańskiej bocznej. Budowa sieci kanalizacji sanitarnej w ulicy Michałówka (od ulicy Basaja do ulicy Michałówka). Modernizacja sieci kanalizacji sanitarnej w ulicy Gródeckiej (metoda rękawa z włókna szklanego utwardzanego promieniami UV) Modernizacja sieci kanalizacji sanitarnej w ulicy Kościelnej.</w:t>
            </w:r>
          </w:p>
        </w:tc>
      </w:tr>
      <w:tr w:rsidR="00485679" w:rsidTr="00D278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0" w:type="dxa"/>
            <w:vMerge/>
            <w:vAlign w:val="center"/>
          </w:tcPr>
          <w:p w:rsidR="00485679" w:rsidRPr="00FA3E3C" w:rsidRDefault="00485679" w:rsidP="00D27832">
            <w:pPr>
              <w:spacing w:before="0"/>
              <w:ind w:firstLine="0"/>
              <w:jc w:val="left"/>
              <w:rPr>
                <w:bCs w:val="0"/>
                <w:i/>
                <w:sz w:val="20"/>
                <w:szCs w:val="20"/>
              </w:rPr>
            </w:pPr>
          </w:p>
        </w:tc>
        <w:tc>
          <w:tcPr>
            <w:tcW w:w="5670" w:type="dxa"/>
            <w:vMerge/>
            <w:vAlign w:val="center"/>
          </w:tcPr>
          <w:p w:rsidR="00485679" w:rsidRPr="00FA3E3C" w:rsidRDefault="00485679" w:rsidP="00D27832">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p>
        </w:tc>
        <w:tc>
          <w:tcPr>
            <w:tcW w:w="5814" w:type="dxa"/>
            <w:vAlign w:val="center"/>
          </w:tcPr>
          <w:p w:rsidR="00485679" w:rsidRPr="00FA3E3C" w:rsidRDefault="00485679" w:rsidP="00FD265C">
            <w:pPr>
              <w:spacing w:before="0"/>
              <w:ind w:firstLine="0"/>
              <w:jc w:val="left"/>
              <w:cnfStyle w:val="000000010000" w:firstRow="0" w:lastRow="0" w:firstColumn="0" w:lastColumn="0" w:oddVBand="0" w:evenVBand="0" w:oddHBand="0" w:evenHBand="1" w:firstRowFirstColumn="0" w:firstRowLastColumn="0" w:lastRowFirstColumn="0" w:lastRowLastColumn="0"/>
              <w:rPr>
                <w:rFonts w:cstheme="minorHAnsi"/>
                <w:bCs/>
                <w:sz w:val="20"/>
                <w:szCs w:val="20"/>
              </w:rPr>
            </w:pPr>
            <w:r w:rsidRPr="00FA3E3C">
              <w:rPr>
                <w:rFonts w:cstheme="minorHAnsi"/>
                <w:bCs/>
                <w:sz w:val="20"/>
                <w:szCs w:val="20"/>
              </w:rPr>
              <w:t xml:space="preserve">Wspieranie przechodzenia na gospodarkę o obiegu zamkniętym (budowa stacji segregacji odpadów selektywnie zebranych wraz z linią do produkcji </w:t>
            </w:r>
            <w:proofErr w:type="spellStart"/>
            <w:r w:rsidRPr="00FA3E3C">
              <w:rPr>
                <w:rFonts w:cstheme="minorHAnsi"/>
                <w:bCs/>
                <w:sz w:val="20"/>
                <w:szCs w:val="20"/>
              </w:rPr>
              <w:t>regranulatu</w:t>
            </w:r>
            <w:proofErr w:type="spellEnd"/>
            <w:r w:rsidRPr="00FA3E3C">
              <w:rPr>
                <w:rFonts w:cstheme="minorHAnsi"/>
                <w:bCs/>
                <w:sz w:val="20"/>
                <w:szCs w:val="20"/>
              </w:rPr>
              <w:t xml:space="preserve"> oraz wielokomorow</w:t>
            </w:r>
            <w:r w:rsidR="00FD265C">
              <w:rPr>
                <w:rFonts w:cstheme="minorHAnsi"/>
                <w:bCs/>
                <w:sz w:val="20"/>
                <w:szCs w:val="20"/>
              </w:rPr>
              <w:t>ą</w:t>
            </w:r>
            <w:r w:rsidRPr="00FA3E3C">
              <w:rPr>
                <w:rFonts w:cstheme="minorHAnsi"/>
                <w:bCs/>
                <w:sz w:val="20"/>
                <w:szCs w:val="20"/>
              </w:rPr>
              <w:t xml:space="preserve"> prasą do zgniatania i paczkowania odpadów, budowa stacji zbiórki odpad</w:t>
            </w:r>
            <w:r w:rsidR="00E065A5" w:rsidRPr="00FA3E3C">
              <w:rPr>
                <w:rFonts w:cstheme="minorHAnsi"/>
                <w:bCs/>
                <w:sz w:val="20"/>
                <w:szCs w:val="20"/>
              </w:rPr>
              <w:t>ów selektywnie zebranych wraz z </w:t>
            </w:r>
            <w:r w:rsidRPr="00FA3E3C">
              <w:rPr>
                <w:rFonts w:cstheme="minorHAnsi"/>
                <w:bCs/>
                <w:sz w:val="20"/>
                <w:szCs w:val="20"/>
              </w:rPr>
              <w:t>punktem, ich ponownego wykorzystania, budowa kompostowni odpadów biodegradowalnych oraz osadu ściekowego wraz z zakupem niezbędnego sprzętu, zakup mobilnego rozdr</w:t>
            </w:r>
            <w:r w:rsidR="00E065A5" w:rsidRPr="00FA3E3C">
              <w:rPr>
                <w:rFonts w:cstheme="minorHAnsi"/>
                <w:bCs/>
                <w:sz w:val="20"/>
                <w:szCs w:val="20"/>
              </w:rPr>
              <w:t>abniacza wolnoobrotowego wraz z </w:t>
            </w:r>
            <w:r w:rsidRPr="00FA3E3C">
              <w:rPr>
                <w:rFonts w:cstheme="minorHAnsi"/>
                <w:bCs/>
                <w:sz w:val="20"/>
                <w:szCs w:val="20"/>
              </w:rPr>
              <w:t>separatorem metalu, do odpadów budowlanych i wielkogabarytowych).</w:t>
            </w:r>
          </w:p>
        </w:tc>
      </w:tr>
    </w:tbl>
    <w:p w:rsidR="00E63483" w:rsidRDefault="00E63483" w:rsidP="00E63483"/>
    <w:p w:rsidR="00E63483" w:rsidRDefault="00E63483" w:rsidP="00E63483">
      <w:pPr>
        <w:ind w:firstLine="0"/>
        <w:sectPr w:rsidR="00E63483" w:rsidSect="003570C4">
          <w:pgSz w:w="16838" w:h="11906" w:orient="landscape"/>
          <w:pgMar w:top="1417" w:right="1417" w:bottom="1417" w:left="1417" w:header="708" w:footer="708" w:gutter="0"/>
          <w:cols w:space="708"/>
          <w:docGrid w:linePitch="360"/>
        </w:sectPr>
      </w:pPr>
    </w:p>
    <w:p w:rsidR="00104E15" w:rsidRDefault="00104E15" w:rsidP="00104E15">
      <w:pPr>
        <w:rPr>
          <w:bCs/>
        </w:rPr>
      </w:pPr>
      <w:r w:rsidRPr="00036D9E">
        <w:rPr>
          <w:bCs/>
        </w:rPr>
        <w:lastRenderedPageBreak/>
        <w:t xml:space="preserve">Rozwój przestrzenny </w:t>
      </w:r>
      <w:r>
        <w:rPr>
          <w:bCs/>
        </w:rPr>
        <w:t xml:space="preserve">Hrubieszowskiego Obszaru Funkcjonalnego </w:t>
      </w:r>
      <w:r w:rsidRPr="00036D9E">
        <w:rPr>
          <w:bCs/>
        </w:rPr>
        <w:t xml:space="preserve">odbywać się będzie przy bezwzględnym przestrzeganiu zasad ochrony przyrody i krajobrazu oraz zachowaniu właściwych standardów funkcjonalnych, technicznych i estetycznych zabudowy. Będzie obejmował przede wszystkim utrzymanie istniejącej zabudowy oraz budowę nowych obiektów </w:t>
      </w:r>
      <w:r>
        <w:rPr>
          <w:bCs/>
        </w:rPr>
        <w:t xml:space="preserve">technicznych, </w:t>
      </w:r>
      <w:r w:rsidRPr="00036D9E">
        <w:rPr>
          <w:bCs/>
        </w:rPr>
        <w:t xml:space="preserve">mieszkalnych, usługowych, gospodarczych i produkcyjnych. Funkcja turystyczna </w:t>
      </w:r>
      <w:r>
        <w:rPr>
          <w:bCs/>
        </w:rPr>
        <w:t>HOF</w:t>
      </w:r>
      <w:r w:rsidRPr="00036D9E">
        <w:rPr>
          <w:bCs/>
        </w:rPr>
        <w:t xml:space="preserve"> zostanie wzmocniona </w:t>
      </w:r>
      <w:r w:rsidRPr="00607890">
        <w:rPr>
          <w:bCs/>
        </w:rPr>
        <w:t xml:space="preserve">poprzez </w:t>
      </w:r>
      <w:r w:rsidR="00EF71D0" w:rsidRPr="00607890">
        <w:rPr>
          <w:bCs/>
        </w:rPr>
        <w:t xml:space="preserve">budowę oraz </w:t>
      </w:r>
      <w:r w:rsidRPr="00607890">
        <w:rPr>
          <w:bCs/>
        </w:rPr>
        <w:t>rozbudowę obiektów turystycznych</w:t>
      </w:r>
      <w:r w:rsidR="00EF71D0" w:rsidRPr="00607890">
        <w:rPr>
          <w:bCs/>
        </w:rPr>
        <w:t xml:space="preserve"> jak również budowę</w:t>
      </w:r>
      <w:r w:rsidRPr="00607890">
        <w:rPr>
          <w:bCs/>
        </w:rPr>
        <w:t xml:space="preserve"> oraz rozbudowę istniejącego układu szlaków i ścieżek rowerowych wraz z zagospodarowaniem punktów widokowych i miejsc odpoczynku. Dalszy rozwój lokalnej gospodarki zostanie umożliwiony dzięki rozbudowie i modernizacji</w:t>
      </w:r>
      <w:r w:rsidR="00EF71D0" w:rsidRPr="00607890">
        <w:rPr>
          <w:bCs/>
        </w:rPr>
        <w:t>, budowie, rozbudowie oraz remontom</w:t>
      </w:r>
      <w:r w:rsidRPr="00036D9E">
        <w:rPr>
          <w:bCs/>
        </w:rPr>
        <w:t xml:space="preserve"> istniejącego układu dróg lokalnych</w:t>
      </w:r>
      <w:r>
        <w:rPr>
          <w:bCs/>
        </w:rPr>
        <w:t xml:space="preserve"> i dróg wyższego rzędu, oraz rozwoju odnawialnych źródeł energii</w:t>
      </w:r>
      <w:r w:rsidR="00E065A5">
        <w:rPr>
          <w:bCs/>
        </w:rPr>
        <w:t xml:space="preserve"> oraz „zielono-niebieskiej” infrastruktury</w:t>
      </w:r>
      <w:r w:rsidRPr="00036D9E">
        <w:rPr>
          <w:bCs/>
        </w:rPr>
        <w:t>.</w:t>
      </w:r>
      <w:r>
        <w:rPr>
          <w:bCs/>
        </w:rPr>
        <w:t xml:space="preserve"> Wpływ będą miały również działania zmierzające do uzbrojenia terenów inwestycyjnych i zapleczy produkcyjnych, utworzenie i rozwój Kreatywnego Centrum Edukacji i Współpracy Gospodarczej oraz </w:t>
      </w:r>
      <w:r w:rsidRPr="00104E15">
        <w:rPr>
          <w:rFonts w:cstheme="minorHAnsi"/>
        </w:rPr>
        <w:t>r</w:t>
      </w:r>
      <w:r w:rsidR="00E065A5">
        <w:rPr>
          <w:rFonts w:cstheme="minorHAnsi"/>
        </w:rPr>
        <w:t>ozwój kompetencji i innowacji w </w:t>
      </w:r>
      <w:r w:rsidRPr="00104E15">
        <w:rPr>
          <w:rFonts w:cstheme="minorHAnsi"/>
        </w:rPr>
        <w:t>edukacji</w:t>
      </w:r>
      <w:r w:rsidRPr="00104E15">
        <w:rPr>
          <w:bCs/>
        </w:rPr>
        <w:t xml:space="preserve">. </w:t>
      </w:r>
      <w:r>
        <w:rPr>
          <w:bCs/>
        </w:rPr>
        <w:t>Rozbudowie i </w:t>
      </w:r>
      <w:r w:rsidRPr="00036D9E">
        <w:rPr>
          <w:bCs/>
        </w:rPr>
        <w:t xml:space="preserve">modernizacji podlegać będzie sieć infrastruktury </w:t>
      </w:r>
      <w:r>
        <w:rPr>
          <w:bCs/>
        </w:rPr>
        <w:t>wodno-kanalizacyjnej towarzyszącej istniejącej i </w:t>
      </w:r>
      <w:r w:rsidRPr="00036D9E">
        <w:rPr>
          <w:bCs/>
        </w:rPr>
        <w:t xml:space="preserve">projektowanej zabudowie. Obszar </w:t>
      </w:r>
      <w:r>
        <w:rPr>
          <w:bCs/>
        </w:rPr>
        <w:t>HOF</w:t>
      </w:r>
      <w:r w:rsidRPr="00036D9E">
        <w:rPr>
          <w:bCs/>
        </w:rPr>
        <w:t xml:space="preserve"> zostanie także dostos</w:t>
      </w:r>
      <w:r>
        <w:rPr>
          <w:bCs/>
        </w:rPr>
        <w:t>o</w:t>
      </w:r>
      <w:r w:rsidRPr="00036D9E">
        <w:rPr>
          <w:bCs/>
        </w:rPr>
        <w:t>wany do</w:t>
      </w:r>
      <w:r w:rsidR="00E065A5">
        <w:t> </w:t>
      </w:r>
      <w:r w:rsidRPr="005C5EB0">
        <w:rPr>
          <w:bCs/>
        </w:rPr>
        <w:t>wymogów dostępności wyznaczonych dla osób ze szczególnymi potrzebami</w:t>
      </w:r>
      <w:r>
        <w:rPr>
          <w:bCs/>
        </w:rPr>
        <w:t>. Rozbudowany zostanie również system infrastruktury mieszkaniowej. Rozwój HOF obejmuje również działania zmierzające do poprawy bezpieczeństwa mieszkańców i turystów.</w:t>
      </w:r>
      <w:r w:rsidR="00607890">
        <w:rPr>
          <w:bCs/>
        </w:rPr>
        <w:t xml:space="preserve"> Ważnym kierunkiem zadań prorozwojowych jest również utrzymani czystego </w:t>
      </w:r>
      <w:r w:rsidR="00607890" w:rsidRPr="00607890">
        <w:rPr>
          <w:bCs/>
        </w:rPr>
        <w:t>środowiska oraz prowadzenie działań ada</w:t>
      </w:r>
      <w:r w:rsidR="00A34C14">
        <w:rPr>
          <w:bCs/>
        </w:rPr>
        <w:t>ptacyjnych do zmian klimatu. Tu </w:t>
      </w:r>
      <w:r w:rsidR="00607890" w:rsidRPr="00607890">
        <w:rPr>
          <w:bCs/>
        </w:rPr>
        <w:t xml:space="preserve">priorytetowym działaniem jest </w:t>
      </w:r>
      <w:r w:rsidR="00607890" w:rsidRPr="00607890">
        <w:t>budowa zbiornika retencyjnego – rekreacyjnego na działce nr 2294, obręb Podgórze w dolinie rzeki Huczwy w m. Hrubieszów</w:t>
      </w:r>
      <w:r w:rsidR="00607890">
        <w:t xml:space="preserve"> oraz zadbanie o prowadzenie edukacji ekologicznej wśród mieszkańców i turystów. Temu zagadnieniu ma sprostać planowane centrum edukacji ekologicznej w Ślipczu.</w:t>
      </w:r>
    </w:p>
    <w:p w:rsidR="00BA74B7" w:rsidRPr="00330BC8" w:rsidRDefault="00BA74B7" w:rsidP="00BA74B7">
      <w:pPr>
        <w:spacing w:after="120"/>
        <w:rPr>
          <w:b/>
          <w:bCs/>
          <w:u w:val="single"/>
        </w:rPr>
      </w:pPr>
      <w:r w:rsidRPr="00330BC8">
        <w:rPr>
          <w:b/>
          <w:bCs/>
          <w:u w:val="single"/>
        </w:rPr>
        <w:t xml:space="preserve">Zasady kształtowania struktury obszarów o znaczących walorach przyrodniczych i kulturowych w tym w aspekcie ich ochrony </w:t>
      </w:r>
      <w:r w:rsidR="00BE271F" w:rsidRPr="00330BC8">
        <w:rPr>
          <w:b/>
          <w:bCs/>
          <w:u w:val="single"/>
        </w:rPr>
        <w:t>oraz struktury turystyki i rekreacji</w:t>
      </w:r>
    </w:p>
    <w:p w:rsidR="00BA74B7" w:rsidRDefault="00BA74B7" w:rsidP="00BA74B7">
      <w:pPr>
        <w:spacing w:after="120"/>
        <w:rPr>
          <w:bCs/>
        </w:rPr>
      </w:pPr>
      <w:r w:rsidRPr="007C1786">
        <w:rPr>
          <w:bCs/>
        </w:rPr>
        <w:t>Obszar HOF wyznaczając nowe kierunki rozwoju kieruje się zasadą zachowania</w:t>
      </w:r>
      <w:r w:rsidR="003059AD">
        <w:rPr>
          <w:bCs/>
        </w:rPr>
        <w:t xml:space="preserve"> i </w:t>
      </w:r>
      <w:r w:rsidRPr="007C1786">
        <w:rPr>
          <w:bCs/>
        </w:rPr>
        <w:t xml:space="preserve">ochrony systemu przyrodniczego oraz krajobrazu, w tym ich elementów: obszarów chronionych, kompleksów leśnych wraz z innymi terenami zielonymi i korytarzami ekologicznymi. Istotne dla struktury przestrzennej </w:t>
      </w:r>
      <w:r w:rsidR="00022885" w:rsidRPr="007C1786">
        <w:rPr>
          <w:bCs/>
        </w:rPr>
        <w:t>HOF są działania</w:t>
      </w:r>
      <w:r w:rsidRPr="007C1786">
        <w:rPr>
          <w:bCs/>
        </w:rPr>
        <w:t xml:space="preserve"> związane z przeciwdziałaniem degradacji środowiska czy też wprowadzania sposobu użytkowania niezgodnego z funkcjami systemu przyrodniczego</w:t>
      </w:r>
      <w:r w:rsidR="00BE271F" w:rsidRPr="007C1786">
        <w:rPr>
          <w:bCs/>
        </w:rPr>
        <w:t>, jak również</w:t>
      </w:r>
      <w:r w:rsidRPr="007C1786">
        <w:rPr>
          <w:bCs/>
        </w:rPr>
        <w:t xml:space="preserve"> zachowanie obszarów chronionych przed zjawiskiem antropopresji.</w:t>
      </w:r>
      <w:r w:rsidR="00374BB7">
        <w:rPr>
          <w:bCs/>
        </w:rPr>
        <w:t xml:space="preserve"> </w:t>
      </w:r>
      <w:r w:rsidR="005E18D8">
        <w:rPr>
          <w:bCs/>
        </w:rPr>
        <w:t>Odcinek doliny Huczwy w </w:t>
      </w:r>
      <w:r w:rsidR="00374BB7" w:rsidRPr="00374BB7">
        <w:rPr>
          <w:bCs/>
        </w:rPr>
        <w:t xml:space="preserve">obrębie miasta Hrubieszów wskazany jest do rewaloryzacji biologicznej. </w:t>
      </w:r>
      <w:r w:rsidR="005E18D8">
        <w:rPr>
          <w:bCs/>
        </w:rPr>
        <w:t>Zagospodarowanie i </w:t>
      </w:r>
      <w:r w:rsidR="00F8059B" w:rsidRPr="007C1786">
        <w:rPr>
          <w:bCs/>
        </w:rPr>
        <w:t>użytkowanie terenu powinno być zgodne z predyspozycjami przyrodniczymi terenu</w:t>
      </w:r>
      <w:r w:rsidR="005E18D8">
        <w:rPr>
          <w:bCs/>
        </w:rPr>
        <w:t xml:space="preserve"> z </w:t>
      </w:r>
      <w:r w:rsidR="00BE271F" w:rsidRPr="007C1786">
        <w:rPr>
          <w:bCs/>
        </w:rPr>
        <w:t>poszanowaniem środowiska</w:t>
      </w:r>
      <w:r w:rsidR="00F8059B" w:rsidRPr="007C1786">
        <w:rPr>
          <w:bCs/>
        </w:rPr>
        <w:t xml:space="preserve"> oraz </w:t>
      </w:r>
      <w:r w:rsidR="00BE271F" w:rsidRPr="007C1786">
        <w:rPr>
          <w:bCs/>
        </w:rPr>
        <w:t>z zasadą zachowania ciągłości przestrzennej i powiązań przyrodniczych</w:t>
      </w:r>
      <w:r w:rsidR="00F8059B" w:rsidRPr="007C1786">
        <w:rPr>
          <w:bCs/>
        </w:rPr>
        <w:t xml:space="preserve">. </w:t>
      </w:r>
      <w:r w:rsidRPr="007C1786">
        <w:rPr>
          <w:bCs/>
        </w:rPr>
        <w:t xml:space="preserve">Ma to znaczenie przy wykorzystaniu potencjału </w:t>
      </w:r>
      <w:r w:rsidR="00F8059B" w:rsidRPr="007C1786">
        <w:rPr>
          <w:bCs/>
        </w:rPr>
        <w:t xml:space="preserve">Hrubieszowskiego Obszaru Funkcjonalnego </w:t>
      </w:r>
      <w:r w:rsidRPr="007C1786">
        <w:rPr>
          <w:bCs/>
        </w:rPr>
        <w:t>do stworzenia atrakcyjnej oferty turystycznej i aktywnego spędzania czasu wolnego</w:t>
      </w:r>
      <w:r w:rsidR="00BE271F" w:rsidRPr="007C1786">
        <w:rPr>
          <w:bCs/>
        </w:rPr>
        <w:t>, pr</w:t>
      </w:r>
      <w:r w:rsidR="00EC7AE6">
        <w:rPr>
          <w:bCs/>
        </w:rPr>
        <w:t>zy rozwoju funkcji związanych z </w:t>
      </w:r>
      <w:r w:rsidR="00BE271F" w:rsidRPr="007C1786">
        <w:rPr>
          <w:bCs/>
        </w:rPr>
        <w:t>Żywicielskim Obszarem Strategicznym,</w:t>
      </w:r>
      <w:r w:rsidR="00F8059B" w:rsidRPr="007C1786">
        <w:rPr>
          <w:bCs/>
        </w:rPr>
        <w:t xml:space="preserve"> jak również przy działaniach zmierzających do </w:t>
      </w:r>
      <w:proofErr w:type="gramStart"/>
      <w:r w:rsidR="00F8059B" w:rsidRPr="007C1786">
        <w:rPr>
          <w:bCs/>
        </w:rPr>
        <w:t>podniesienia jakości</w:t>
      </w:r>
      <w:proofErr w:type="gramEnd"/>
      <w:r w:rsidR="00F8059B" w:rsidRPr="007C1786">
        <w:rPr>
          <w:bCs/>
        </w:rPr>
        <w:t xml:space="preserve"> życia mieszkańców oraz</w:t>
      </w:r>
      <w:r w:rsidR="0032798F" w:rsidRPr="007C1786">
        <w:rPr>
          <w:bCs/>
        </w:rPr>
        <w:t xml:space="preserve"> przywrócenia i utrzymania czystego środowiska</w:t>
      </w:r>
      <w:r w:rsidR="00BE271F" w:rsidRPr="007C1786">
        <w:rPr>
          <w:bCs/>
        </w:rPr>
        <w:t xml:space="preserve"> i rozwojem „niebieskiej i zielonej” infrastruktury</w:t>
      </w:r>
      <w:r w:rsidR="00F8059B" w:rsidRPr="007C1786">
        <w:rPr>
          <w:bCs/>
        </w:rPr>
        <w:t>.</w:t>
      </w:r>
    </w:p>
    <w:p w:rsidR="00330BC8" w:rsidRPr="00463AF0" w:rsidRDefault="00330BC8" w:rsidP="00330BC8">
      <w:pPr>
        <w:rPr>
          <w:rFonts w:cstheme="minorHAnsi"/>
        </w:rPr>
      </w:pPr>
      <w:r w:rsidRPr="00463AF0">
        <w:rPr>
          <w:rFonts w:cstheme="minorHAnsi"/>
        </w:rPr>
        <w:t>Tereny otwarte powinny podlegać ochronie przed nieracjonalnym użytkowaniem, w tym przed nieplanową, rozproszoną zabudową.</w:t>
      </w:r>
      <w:r>
        <w:rPr>
          <w:rFonts w:cstheme="minorHAnsi"/>
        </w:rPr>
        <w:t xml:space="preserve"> Należy także zachować przestrzenie wolne od zabudowy, szczególnie w gr</w:t>
      </w:r>
      <w:r w:rsidR="0099446A">
        <w:rPr>
          <w:rFonts w:cstheme="minorHAnsi"/>
        </w:rPr>
        <w:t xml:space="preserve">anicach korytarzy ekologicznych. Największe to doliny rzeczne (mi.in. </w:t>
      </w:r>
      <w:r w:rsidR="0099446A">
        <w:t>międzynarodowy korytarz ekologiczny rzeki Bug, regionalny korytarz ekologiczny Huczwy)</w:t>
      </w:r>
      <w:r w:rsidR="0099446A">
        <w:rPr>
          <w:rFonts w:cstheme="minorHAnsi"/>
        </w:rPr>
        <w:t xml:space="preserve"> na </w:t>
      </w:r>
      <w:proofErr w:type="gramStart"/>
      <w:r w:rsidR="0099446A">
        <w:rPr>
          <w:rFonts w:cstheme="minorHAnsi"/>
        </w:rPr>
        <w:t xml:space="preserve">terenie </w:t>
      </w:r>
      <w:r w:rsidR="0099446A">
        <w:rPr>
          <w:rFonts w:cstheme="minorHAnsi"/>
        </w:rPr>
        <w:lastRenderedPageBreak/>
        <w:t>których</w:t>
      </w:r>
      <w:proofErr w:type="gramEnd"/>
      <w:r w:rsidR="0099446A">
        <w:rPr>
          <w:rFonts w:cstheme="minorHAnsi"/>
        </w:rPr>
        <w:t xml:space="preserve"> najważniejsze jest utrzymanie funkcji ekologicznych. Istotne są równie korytarze ekologiczne suchych dolin rozcinających zbocza </w:t>
      </w:r>
      <w:r w:rsidR="0099446A">
        <w:t>wierzchowin oraz wąwozy pełniące funkcje sięgaczy ekologicznych.</w:t>
      </w:r>
      <w:r>
        <w:rPr>
          <w:rFonts w:cstheme="minorHAnsi"/>
        </w:rPr>
        <w:t xml:space="preserve"> </w:t>
      </w:r>
      <w:r w:rsidR="00633DE1">
        <w:rPr>
          <w:rFonts w:cstheme="minorHAnsi"/>
        </w:rPr>
        <w:t xml:space="preserve">Należy kształtować pasmowe struktury przyrodnicze (łąki, zadrzewienia i zakrzewienia śródpolne). Wskazane jest uwzględnienie zwiększenia ciągłości leśnych korytarzy ekologicznych poprzez zalesienia. Przeznaczenie lasów na cele turystyczne powinno być uzależnione od utrzymania funkcji ekologicznej (mikroklimatu, biologicznej, ekosystemu). </w:t>
      </w:r>
      <w:r>
        <w:rPr>
          <w:rFonts w:cstheme="minorHAnsi"/>
        </w:rPr>
        <w:t>Systemy przyrodnicze Gminy Miejskiej Hrubieszów oraz Gminy Hrubieszów powinny być wzajemne spójne i uwzględniać elementy regionalnej sieci ekologicznej.</w:t>
      </w:r>
    </w:p>
    <w:p w:rsidR="00330BC8" w:rsidRPr="007C1786" w:rsidRDefault="00633DE1" w:rsidP="00BA74B7">
      <w:pPr>
        <w:spacing w:after="120"/>
        <w:rPr>
          <w:bCs/>
        </w:rPr>
      </w:pPr>
      <w:r w:rsidRPr="00633DE1">
        <w:rPr>
          <w:bCs/>
        </w:rPr>
        <w:t xml:space="preserve">W celu ochrony krajobrazu należy osłaniać wielopiętrowymi </w:t>
      </w:r>
      <w:proofErr w:type="spellStart"/>
      <w:r w:rsidRPr="00633DE1">
        <w:rPr>
          <w:bCs/>
        </w:rPr>
        <w:t>zadrzewieniami</w:t>
      </w:r>
      <w:proofErr w:type="spellEnd"/>
      <w:r w:rsidRPr="00633DE1">
        <w:rPr>
          <w:bCs/>
        </w:rPr>
        <w:t xml:space="preserve"> obiekty dysharmonijne, ograniczać lub całkowicie eliminować obiekty ob</w:t>
      </w:r>
      <w:r w:rsidR="00EC7AE6">
        <w:rPr>
          <w:bCs/>
        </w:rPr>
        <w:t>niżające walory krajobrazowe, w </w:t>
      </w:r>
      <w:r w:rsidRPr="00633DE1">
        <w:rPr>
          <w:bCs/>
        </w:rPr>
        <w:t>szczególności wieże bazowe stacji telefonii komórkowej oraz lokalizację elektrowni wiatrowych.</w:t>
      </w:r>
    </w:p>
    <w:p w:rsidR="00B31DCC" w:rsidRDefault="00BE271F" w:rsidP="003059AD">
      <w:pPr>
        <w:rPr>
          <w:bCs/>
        </w:rPr>
      </w:pPr>
      <w:r w:rsidRPr="007C1786">
        <w:rPr>
          <w:bCs/>
        </w:rPr>
        <w:t xml:space="preserve">W Hrubieszowskim Obszarze Funkcjonalnym </w:t>
      </w:r>
      <w:r w:rsidR="00BA74B7" w:rsidRPr="007C1786">
        <w:rPr>
          <w:bCs/>
        </w:rPr>
        <w:t>zakłada się z</w:t>
      </w:r>
      <w:r w:rsidR="00EC7AE6">
        <w:rPr>
          <w:bCs/>
        </w:rPr>
        <w:t xml:space="preserve">achowanie historycznej tkanki </w:t>
      </w:r>
      <w:r w:rsidR="00EC7AE6" w:rsidRPr="00EC7AE6">
        <w:t>i</w:t>
      </w:r>
      <w:r w:rsidR="00EC7AE6">
        <w:t> </w:t>
      </w:r>
      <w:r w:rsidR="00BA74B7" w:rsidRPr="00EC7AE6">
        <w:t>struktury</w:t>
      </w:r>
      <w:r w:rsidR="00BA74B7" w:rsidRPr="007C1786">
        <w:rPr>
          <w:bCs/>
        </w:rPr>
        <w:t xml:space="preserve"> przestrzennej oraz elementów charakterystycznych</w:t>
      </w:r>
      <w:r w:rsidRPr="007C1786">
        <w:rPr>
          <w:bCs/>
        </w:rPr>
        <w:t xml:space="preserve"> zwi</w:t>
      </w:r>
      <w:r w:rsidR="00B31DCC">
        <w:rPr>
          <w:bCs/>
        </w:rPr>
        <w:t xml:space="preserve">ązanych z kolorytem, tożsamością </w:t>
      </w:r>
      <w:r w:rsidR="005E18D8">
        <w:rPr>
          <w:bCs/>
        </w:rPr>
        <w:t>i </w:t>
      </w:r>
      <w:r w:rsidRPr="007C1786">
        <w:rPr>
          <w:bCs/>
        </w:rPr>
        <w:t>tradycją miejsca</w:t>
      </w:r>
      <w:r w:rsidR="00BA74B7" w:rsidRPr="007C1786">
        <w:rPr>
          <w:bCs/>
        </w:rPr>
        <w:t xml:space="preserve"> i zakorzenionych w świadomości społeczności lok</w:t>
      </w:r>
      <w:r w:rsidR="00EC7AE6">
        <w:rPr>
          <w:bCs/>
        </w:rPr>
        <w:t xml:space="preserve">alnej. </w:t>
      </w:r>
      <w:r w:rsidR="00B31DCC">
        <w:rPr>
          <w:bCs/>
        </w:rPr>
        <w:t>Funkcje i sposób użytkowania obiektów zabytkowych powinien być właściwie dostosowany do ich architektonicznego charakteru.</w:t>
      </w:r>
    </w:p>
    <w:p w:rsidR="00192FCA" w:rsidRDefault="007C1786" w:rsidP="00192FCA">
      <w:r w:rsidRPr="007C1786">
        <w:t>W Gminie Miejskiej Hrubieszów zakłada się dalszą rewaloryzację terenów Śródmieścia w jego strefie zabytkowej</w:t>
      </w:r>
      <w:r w:rsidR="003C385C">
        <w:t xml:space="preserve"> i utrz</w:t>
      </w:r>
      <w:r w:rsidR="00B31DCC">
        <w:t>ymanie jego czytelnej odrębności architektonicznej</w:t>
      </w:r>
      <w:r w:rsidRPr="007C1786">
        <w:t xml:space="preserve">, utrzymanie regionalnego korytarza ekologicznego rzeki Huczwy i jej </w:t>
      </w:r>
      <w:proofErr w:type="gramStart"/>
      <w:r w:rsidRPr="007C1786">
        <w:t>doliny jako</w:t>
      </w:r>
      <w:proofErr w:type="gramEnd"/>
      <w:r w:rsidRPr="007C1786">
        <w:t xml:space="preserve"> terenu o szczególnych walorach przyrodniczych w krajobrazie miasta.</w:t>
      </w:r>
      <w:r w:rsidR="00EF4C27">
        <w:t xml:space="preserve"> Zaleca się również utrzymanie istnie</w:t>
      </w:r>
      <w:r w:rsidR="005E18D8">
        <w:t>jących dominant historycznych w </w:t>
      </w:r>
      <w:r w:rsidR="00EF4C27">
        <w:t>panoramie Miasta Hrubieszów poprzez utrzymanie właściwej skali i formy architektoniczno-przestrzennej nowej zabudowy.</w:t>
      </w:r>
    </w:p>
    <w:p w:rsidR="00B31DCC" w:rsidRPr="00463AF0" w:rsidRDefault="00B31DCC" w:rsidP="00B31DCC">
      <w:pPr>
        <w:rPr>
          <w:rFonts w:cstheme="minorHAnsi"/>
        </w:rPr>
      </w:pPr>
      <w:r>
        <w:rPr>
          <w:bCs/>
        </w:rPr>
        <w:t>Planowany rozwój usług i </w:t>
      </w:r>
      <w:r w:rsidRPr="007C1786">
        <w:rPr>
          <w:bCs/>
        </w:rPr>
        <w:t>infrastruktury turystyki będzie miał w</w:t>
      </w:r>
      <w:r w:rsidR="005E18D8">
        <w:rPr>
          <w:bCs/>
        </w:rPr>
        <w:t>pływ na poprawę atrakcyjności i </w:t>
      </w:r>
      <w:r w:rsidRPr="007C1786">
        <w:rPr>
          <w:bCs/>
        </w:rPr>
        <w:t>funkcjonalności przestrzeni zarówno dla mieszkańców, jak i turystów. W układzie przestrzennym należy uwzględnić również przestrzeń dla organizacji wydarzeń o charakterze kulturalny</w:t>
      </w:r>
      <w:r>
        <w:rPr>
          <w:bCs/>
        </w:rPr>
        <w:t>m, rozrywkowym, integracyjnym i </w:t>
      </w:r>
      <w:r w:rsidRPr="007C1786">
        <w:rPr>
          <w:bCs/>
        </w:rPr>
        <w:t>wystawienniczym.</w:t>
      </w:r>
      <w:r>
        <w:rPr>
          <w:bCs/>
        </w:rPr>
        <w:t xml:space="preserve"> </w:t>
      </w:r>
    </w:p>
    <w:p w:rsidR="003059AD" w:rsidRPr="00CA058B" w:rsidRDefault="003059AD" w:rsidP="003059AD">
      <w:r>
        <w:t>Hrubieszowski Obszar Funkcjonalny</w:t>
      </w:r>
      <w:r w:rsidRPr="00CA058B">
        <w:t xml:space="preserve"> ma duży potencjał przyrodniczy, krajobrazowy i kulturowy, sprzyjający rozwojowi różnych form turystyki. Potencjalne warunki </w:t>
      </w:r>
      <w:r w:rsidR="00EC7AE6">
        <w:t>rozwoju funkcji turystycznych i </w:t>
      </w:r>
      <w:r w:rsidRPr="00CA058B">
        <w:t xml:space="preserve">rekreacyjnych można znaleźć </w:t>
      </w:r>
      <w:r>
        <w:t>na całym obszarze</w:t>
      </w:r>
      <w:r w:rsidRPr="00CA058B">
        <w:t xml:space="preserve">, </w:t>
      </w:r>
      <w:r>
        <w:t>lecz nie są one równomiernie rozłożone</w:t>
      </w:r>
      <w:r w:rsidRPr="00CA058B">
        <w:t>. Najwięcej walorów w tym za</w:t>
      </w:r>
      <w:r>
        <w:t>kresie zawiera część wschodnia G</w:t>
      </w:r>
      <w:r w:rsidRPr="00CA058B">
        <w:t>miny</w:t>
      </w:r>
      <w:r>
        <w:t xml:space="preserve"> Hrubieszów</w:t>
      </w:r>
      <w:r w:rsidRPr="00CA058B">
        <w:t xml:space="preserve"> - pas </w:t>
      </w:r>
      <w:r w:rsidRPr="00CA058B">
        <w:rPr>
          <w:b/>
        </w:rPr>
        <w:t xml:space="preserve">(rejon) nadbużański - teren Nadbużańskiego Obszaru Chronionego Krajobrazu </w:t>
      </w:r>
      <w:r w:rsidRPr="00CA058B">
        <w:t xml:space="preserve">(A1-A4 na mapie), o randze korytarza ekologicznego o znaczeniu międzynarodowym. Podobnie nasilona potencjalnymi walorami turystyczno-rekreacyjnymi, choć o nieco odmiennym charakterze jest część północna gminy - </w:t>
      </w:r>
      <w:r w:rsidRPr="00CA058B">
        <w:rPr>
          <w:b/>
        </w:rPr>
        <w:t xml:space="preserve">rejon Strzeleckiego Parku Krajobrazowego i jego otuliny </w:t>
      </w:r>
      <w:r w:rsidRPr="00CA058B">
        <w:t xml:space="preserve">(B1-B3) – także o randze międzynarodowego węzła ekologicznego. Stosunkowo pod tym względem najuboższy jest </w:t>
      </w:r>
      <w:r w:rsidRPr="00CA058B">
        <w:rPr>
          <w:b/>
        </w:rPr>
        <w:t xml:space="preserve">rejon południowy – obszar Kotliny Hrubieszowskiej </w:t>
      </w:r>
      <w:r w:rsidRPr="00CA058B">
        <w:t xml:space="preserve">(C1-C2), ale i tu można znaleźć cenne walory i elementy dziedzictwa kulturowego (np. w zakresie archeologii) stanowiące dobrą bazę do rozwoju turystyki kwalifikowanej (np. na bazie infrastruktury rozwijającej się w </w:t>
      </w:r>
      <w:proofErr w:type="spellStart"/>
      <w:r w:rsidRPr="00CA058B">
        <w:t>Masłomęczu</w:t>
      </w:r>
      <w:proofErr w:type="spellEnd"/>
      <w:r w:rsidRPr="00CA058B">
        <w:t>).</w:t>
      </w:r>
      <w:r w:rsidRPr="00CA058B">
        <w:rPr>
          <w:u w:val="single"/>
        </w:rPr>
        <w:t xml:space="preserve"> </w:t>
      </w:r>
      <w:r w:rsidR="00586AFE" w:rsidRPr="00586AFE">
        <w:t>Dużym nagromadzeniem wartości kulturowych cechuje się również Miasto Hrubieszów.</w:t>
      </w:r>
      <w:r w:rsidR="00586AFE">
        <w:t xml:space="preserve"> Dokładny opis wartości kulturowo-przyrodniczych i obiektów, które mogą zostać wykorzystane przy rozszerzaniu oferty produktu turystycznego znajduje się w</w:t>
      </w:r>
      <w:r w:rsidR="00683363">
        <w:t xml:space="preserve"> „diagnozie </w:t>
      </w:r>
      <w:r w:rsidR="00683363" w:rsidRPr="00683363">
        <w:t>sytuacji społecznej, gospodarczej i przestrzennej Hrubieszowskiego Obszaru Funkcjonalnego</w:t>
      </w:r>
      <w:r w:rsidR="00683363">
        <w:t>”</w:t>
      </w:r>
      <w:r w:rsidR="00586AFE">
        <w:t xml:space="preserve">. </w:t>
      </w:r>
      <w:r w:rsidR="00586AFE" w:rsidRPr="007808A7">
        <w:rPr>
          <w:rFonts w:cstheme="minorHAnsi"/>
        </w:rPr>
        <w:t>Ważnym elementem infrastruktury turystycznej</w:t>
      </w:r>
      <w:r w:rsidR="00586AFE">
        <w:rPr>
          <w:rFonts w:cstheme="minorHAnsi"/>
        </w:rPr>
        <w:t xml:space="preserve"> </w:t>
      </w:r>
      <w:r w:rsidR="00A34C14">
        <w:rPr>
          <w:rFonts w:cstheme="minorHAnsi"/>
        </w:rPr>
        <w:lastRenderedPageBreak/>
        <w:t>na </w:t>
      </w:r>
      <w:r w:rsidR="00586AFE" w:rsidRPr="007808A7">
        <w:rPr>
          <w:rFonts w:cstheme="minorHAnsi"/>
        </w:rPr>
        <w:t>obszarze HOF, którego potencjalny rozwój wiąże się z walorami przyrodniczymi, są szlaki rowerowe i turystyczne</w:t>
      </w:r>
      <w:r w:rsidR="00586AFE">
        <w:rPr>
          <w:rFonts w:cstheme="minorHAnsi"/>
        </w:rPr>
        <w:t xml:space="preserve"> oraz ścieżki piesze</w:t>
      </w:r>
      <w:r w:rsidR="00586AFE" w:rsidRPr="007808A7">
        <w:rPr>
          <w:rFonts w:cstheme="minorHAnsi"/>
        </w:rPr>
        <w:t>.</w:t>
      </w:r>
      <w:r w:rsidR="00586AFE">
        <w:rPr>
          <w:rFonts w:cstheme="minorHAnsi"/>
        </w:rPr>
        <w:t xml:space="preserve"> </w:t>
      </w:r>
      <w:r w:rsidR="00586AFE" w:rsidRPr="00994277">
        <w:t>Na ofertę turystyczną Hrubieszowskiego Obszaru Funkcjonalnego</w:t>
      </w:r>
      <w:r w:rsidR="00586AFE">
        <w:t xml:space="preserve"> składają się również imprezy o </w:t>
      </w:r>
      <w:r w:rsidR="00586AFE" w:rsidRPr="00994277">
        <w:t>zasięgu lokalnym, regionalnym, krajowym a nawet międzynarodowym</w:t>
      </w:r>
      <w:r w:rsidR="00586AFE">
        <w:t xml:space="preserve"> oraz twórczość ludowa mieszkańców.</w:t>
      </w:r>
    </w:p>
    <w:p w:rsidR="003059AD" w:rsidRPr="00CA058B" w:rsidRDefault="003059AD" w:rsidP="003059AD">
      <w:r w:rsidRPr="00CA058B">
        <w:t xml:space="preserve">Walory rekreacyjne wzmocnić można poprzez tworzenie wielofunkcyjnych zbiorników wodnych – tworzonych na bazie istniejących cieków wodnych w celu nie tylko retencjonowania wód powierzchniowych, ale </w:t>
      </w:r>
      <w:proofErr w:type="gramStart"/>
      <w:r w:rsidRPr="00CA058B">
        <w:t>również jako</w:t>
      </w:r>
      <w:proofErr w:type="gramEnd"/>
      <w:r>
        <w:t xml:space="preserve"> obiektu</w:t>
      </w:r>
      <w:r w:rsidRPr="00CA058B">
        <w:t xml:space="preserve"> o funkcjach rekreacyjno-turystycznych. </w:t>
      </w:r>
    </w:p>
    <w:p w:rsidR="003059AD" w:rsidRPr="00CA058B" w:rsidRDefault="003059AD" w:rsidP="003059AD">
      <w:r w:rsidRPr="00CA058B">
        <w:t xml:space="preserve">Poniżej dokonano krótkiej charakterystyki ośrodków w poszczególnych rejonach, wokół których powinien być koncentrowany rozwój funkcji turystyczno-rekreacyjnych: </w:t>
      </w:r>
    </w:p>
    <w:p w:rsidR="003059AD" w:rsidRPr="001D1AC1" w:rsidRDefault="003059AD" w:rsidP="003059AD">
      <w:pPr>
        <w:ind w:firstLine="360"/>
        <w:rPr>
          <w:rFonts w:cstheme="minorHAnsi"/>
          <w:b/>
        </w:rPr>
      </w:pPr>
      <w:r w:rsidRPr="001D1AC1">
        <w:rPr>
          <w:rFonts w:cstheme="minorHAnsi"/>
          <w:b/>
        </w:rPr>
        <w:t>A: Rejon nadbużański: Nadbużański Obszar Chronionego Krajobrazu</w:t>
      </w:r>
    </w:p>
    <w:tbl>
      <w:tblPr>
        <w:tblStyle w:val="Jasnasiatkaakcent2"/>
        <w:tblW w:w="9180" w:type="dxa"/>
        <w:tblLayout w:type="fixed"/>
        <w:tblLook w:val="04A0" w:firstRow="1" w:lastRow="0" w:firstColumn="1" w:lastColumn="0" w:noHBand="0" w:noVBand="1"/>
      </w:tblPr>
      <w:tblGrid>
        <w:gridCol w:w="1809"/>
        <w:gridCol w:w="7371"/>
      </w:tblGrid>
      <w:tr w:rsidR="003059AD" w:rsidRPr="001D1AC1" w:rsidTr="00D27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ind w:firstLine="0"/>
              <w:jc w:val="left"/>
              <w:rPr>
                <w:rFonts w:asciiTheme="minorHAnsi" w:hAnsiTheme="minorHAnsi" w:cstheme="minorHAnsi"/>
                <w:sz w:val="20"/>
              </w:rPr>
            </w:pPr>
            <w:r w:rsidRPr="001D1AC1">
              <w:rPr>
                <w:rFonts w:asciiTheme="minorHAnsi" w:hAnsiTheme="minorHAnsi" w:cstheme="minorHAnsi"/>
                <w:sz w:val="20"/>
              </w:rPr>
              <w:t>Ośrodek/strefa rozwoju</w:t>
            </w:r>
          </w:p>
        </w:tc>
        <w:tc>
          <w:tcPr>
            <w:tcW w:w="7371" w:type="dxa"/>
          </w:tcPr>
          <w:p w:rsidR="003059AD" w:rsidRPr="001D1AC1" w:rsidRDefault="003059AD" w:rsidP="00FD2955">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1D1AC1">
              <w:rPr>
                <w:rFonts w:asciiTheme="minorHAnsi" w:hAnsiTheme="minorHAnsi" w:cstheme="minorHAnsi"/>
                <w:sz w:val="20"/>
              </w:rPr>
              <w:t>Planowana funkcja oraz powiązania funkcjonalne z innymi ośrodkami/obszarami</w:t>
            </w:r>
          </w:p>
        </w:tc>
      </w:tr>
      <w:tr w:rsidR="003059AD" w:rsidRPr="001D1AC1" w:rsidTr="00D2783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ind w:firstLine="0"/>
              <w:jc w:val="left"/>
              <w:rPr>
                <w:rFonts w:asciiTheme="minorHAnsi" w:hAnsiTheme="minorHAnsi" w:cstheme="minorHAnsi"/>
                <w:b w:val="0"/>
                <w:sz w:val="20"/>
              </w:rPr>
            </w:pPr>
            <w:r w:rsidRPr="001D1AC1">
              <w:rPr>
                <w:rFonts w:asciiTheme="minorHAnsi" w:hAnsiTheme="minorHAnsi" w:cstheme="minorHAnsi"/>
                <w:b w:val="0"/>
                <w:sz w:val="20"/>
              </w:rPr>
              <w:t>Teptiuków - Husynne (A1)</w:t>
            </w:r>
          </w:p>
        </w:tc>
        <w:tc>
          <w:tcPr>
            <w:tcW w:w="7371" w:type="dxa"/>
          </w:tcPr>
          <w:p w:rsidR="003059AD" w:rsidRPr="001D1AC1" w:rsidRDefault="003059AD" w:rsidP="003059AD">
            <w:pPr>
              <w:spacing w:before="0"/>
              <w:ind w:firstLine="0"/>
              <w:cnfStyle w:val="000000100000" w:firstRow="0" w:lastRow="0" w:firstColumn="0" w:lastColumn="0" w:oddVBand="0" w:evenVBand="0" w:oddHBand="1" w:evenHBand="0" w:firstRowFirstColumn="0" w:firstRowLastColumn="0" w:lastRowFirstColumn="0" w:lastRowLastColumn="0"/>
              <w:rPr>
                <w:rFonts w:cstheme="minorHAnsi"/>
                <w:sz w:val="20"/>
              </w:rPr>
            </w:pPr>
            <w:r w:rsidRPr="001D1AC1">
              <w:rPr>
                <w:rFonts w:cstheme="minorHAnsi"/>
                <w:sz w:val="20"/>
              </w:rPr>
              <w:t>Funkcje turystyczno-rekreacyjne ośrodka rozwijane w oparciu o rzekę Bug, planowany duży zbiornik wodny, unikalny krajobraz nadbużański i bliskość miasta Hrubieszowa. Bezpośrednią bazą ośrodka powinny być dwie miejscowości: Teptiuków i Husynne, które pozwolą na utworzeni</w:t>
            </w:r>
            <w:r>
              <w:rPr>
                <w:rFonts w:cstheme="minorHAnsi"/>
                <w:sz w:val="20"/>
              </w:rPr>
              <w:t xml:space="preserve">e tu ośrodka </w:t>
            </w:r>
            <w:proofErr w:type="spellStart"/>
            <w:r>
              <w:rPr>
                <w:rFonts w:cstheme="minorHAnsi"/>
                <w:sz w:val="20"/>
              </w:rPr>
              <w:t>dwucentrycznego</w:t>
            </w:r>
            <w:proofErr w:type="spellEnd"/>
            <w:r>
              <w:rPr>
                <w:rFonts w:cstheme="minorHAnsi"/>
                <w:sz w:val="20"/>
              </w:rPr>
              <w:t xml:space="preserve"> (z </w:t>
            </w:r>
            <w:r w:rsidRPr="001D1AC1">
              <w:rPr>
                <w:rFonts w:cstheme="minorHAnsi"/>
                <w:sz w:val="20"/>
              </w:rPr>
              <w:t>głównym ośrodkiem w Teptiukowie). Zakłada się utworzenie sieci ciągów turystyczno-rekreacyjnych - dróg rowerowych i pieszych, wiążących ośrodek z miastem, doliną Bugu i Strzeleckim Parkiem Krajobrazowym, w tym sąsiednimi ośrodkami (A2 i B3).</w:t>
            </w:r>
          </w:p>
        </w:tc>
      </w:tr>
      <w:tr w:rsidR="003059AD" w:rsidRPr="001D1AC1" w:rsidTr="00D2783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ind w:firstLine="0"/>
              <w:jc w:val="left"/>
              <w:rPr>
                <w:rFonts w:asciiTheme="minorHAnsi" w:hAnsiTheme="minorHAnsi" w:cstheme="minorHAnsi"/>
                <w:b w:val="0"/>
                <w:sz w:val="20"/>
              </w:rPr>
            </w:pPr>
            <w:r w:rsidRPr="001D1AC1">
              <w:rPr>
                <w:rFonts w:asciiTheme="minorHAnsi" w:hAnsiTheme="minorHAnsi" w:cstheme="minorHAnsi"/>
                <w:b w:val="0"/>
                <w:sz w:val="20"/>
              </w:rPr>
              <w:t>Czumów - Gródek Kolonia (A2)</w:t>
            </w:r>
          </w:p>
        </w:tc>
        <w:tc>
          <w:tcPr>
            <w:tcW w:w="7371" w:type="dxa"/>
          </w:tcPr>
          <w:p w:rsidR="003059AD" w:rsidRPr="001D1AC1" w:rsidRDefault="003059AD" w:rsidP="003059AD">
            <w:pPr>
              <w:spacing w:before="0"/>
              <w:ind w:firstLine="0"/>
              <w:cnfStyle w:val="000000010000" w:firstRow="0" w:lastRow="0" w:firstColumn="0" w:lastColumn="0" w:oddVBand="0" w:evenVBand="0" w:oddHBand="0" w:evenHBand="1" w:firstRowFirstColumn="0" w:firstRowLastColumn="0" w:lastRowFirstColumn="0" w:lastRowLastColumn="0"/>
              <w:rPr>
                <w:rFonts w:cstheme="minorHAnsi"/>
                <w:sz w:val="20"/>
              </w:rPr>
            </w:pPr>
            <w:r w:rsidRPr="001D1AC1">
              <w:rPr>
                <w:rFonts w:cstheme="minorHAnsi"/>
                <w:sz w:val="20"/>
              </w:rPr>
              <w:t xml:space="preserve">Podobnie jak A1, funkcje turystyczno-rekreacyjne tego ośrodka można rozwijać wykorzystując rzekę Bug, krajobraz nadbużański, projektowany zbiornik wodny oraz bliskość miasta Hrubieszowa. Osadnictwo ośrodka może się koncentrować w obu miejscowościach, tworząc stopniowo </w:t>
            </w:r>
            <w:proofErr w:type="spellStart"/>
            <w:r w:rsidRPr="001D1AC1">
              <w:rPr>
                <w:rFonts w:cstheme="minorHAnsi"/>
                <w:sz w:val="20"/>
              </w:rPr>
              <w:t>dwucentryczną</w:t>
            </w:r>
            <w:proofErr w:type="spellEnd"/>
            <w:r w:rsidRPr="001D1AC1">
              <w:rPr>
                <w:rFonts w:cstheme="minorHAnsi"/>
                <w:sz w:val="20"/>
              </w:rPr>
              <w:t xml:space="preserve"> jego strukturę, z centrum usługowym w Czumowie. Trasy turystyczne - głównie rowerowe i piesze - powinny go łączyć z miastem Hrubieszowem i doliną Bugu, w tym sąsiednimi ośrodkami (A1, A4).</w:t>
            </w:r>
          </w:p>
        </w:tc>
      </w:tr>
      <w:tr w:rsidR="003059AD" w:rsidRPr="001D1AC1" w:rsidTr="00D2783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ind w:firstLine="0"/>
              <w:jc w:val="left"/>
              <w:rPr>
                <w:rFonts w:asciiTheme="minorHAnsi" w:hAnsiTheme="minorHAnsi" w:cstheme="minorHAnsi"/>
                <w:b w:val="0"/>
                <w:sz w:val="20"/>
              </w:rPr>
            </w:pPr>
            <w:r w:rsidRPr="001D1AC1">
              <w:rPr>
                <w:rFonts w:asciiTheme="minorHAnsi" w:hAnsiTheme="minorHAnsi" w:cstheme="minorHAnsi"/>
                <w:b w:val="0"/>
                <w:sz w:val="20"/>
              </w:rPr>
              <w:t>Cichobórz - Kosmów (A3)</w:t>
            </w:r>
          </w:p>
        </w:tc>
        <w:tc>
          <w:tcPr>
            <w:tcW w:w="7371" w:type="dxa"/>
          </w:tcPr>
          <w:p w:rsidR="003059AD" w:rsidRPr="001D1AC1" w:rsidRDefault="003059AD" w:rsidP="003059AD">
            <w:pPr>
              <w:spacing w:before="0"/>
              <w:ind w:firstLine="0"/>
              <w:cnfStyle w:val="000000100000" w:firstRow="0" w:lastRow="0" w:firstColumn="0" w:lastColumn="0" w:oddVBand="0" w:evenVBand="0" w:oddHBand="1" w:evenHBand="0" w:firstRowFirstColumn="0" w:firstRowLastColumn="0" w:lastRowFirstColumn="0" w:lastRowLastColumn="0"/>
              <w:rPr>
                <w:rFonts w:cstheme="minorHAnsi"/>
                <w:sz w:val="20"/>
              </w:rPr>
            </w:pPr>
            <w:r w:rsidRPr="001D1AC1">
              <w:rPr>
                <w:rFonts w:cstheme="minorHAnsi"/>
                <w:sz w:val="20"/>
              </w:rPr>
              <w:t xml:space="preserve">Potencjalny ośrodek rozwoju, który ma szanse kształtować się w oparciu </w:t>
            </w:r>
            <w:r w:rsidRPr="001D1AC1">
              <w:rPr>
                <w:rFonts w:cstheme="minorHAnsi"/>
                <w:sz w:val="20"/>
              </w:rPr>
              <w:br/>
              <w:t xml:space="preserve">o dolinę Bugu oraz rzeki Bukowej w rejonie jej dopływu, wzbogacone projektowanym zbiornikiem (na rzece Bukowej) i istniejącym kompleksem leśnym. Osadnictwo turystyczno-rekreacyjne ma się rozwijać w obu miejscowościach, tworząc ośrodek </w:t>
            </w:r>
            <w:proofErr w:type="spellStart"/>
            <w:r w:rsidRPr="001D1AC1">
              <w:rPr>
                <w:rFonts w:cstheme="minorHAnsi"/>
                <w:sz w:val="20"/>
              </w:rPr>
              <w:t>dwucentryczny</w:t>
            </w:r>
            <w:proofErr w:type="spellEnd"/>
            <w:r w:rsidRPr="001D1AC1">
              <w:rPr>
                <w:rFonts w:cstheme="minorHAnsi"/>
                <w:sz w:val="20"/>
              </w:rPr>
              <w:t>, z centrum usługowym w Cichoborzu. Trasy turystyczne — rowerowe i piesze - powinny wiązać ośrodek z miastem Hrubieszowem, doliną Bugu i doliną Bukowej, w tym</w:t>
            </w:r>
            <w:r>
              <w:rPr>
                <w:rFonts w:cstheme="minorHAnsi"/>
                <w:sz w:val="20"/>
              </w:rPr>
              <w:t xml:space="preserve"> </w:t>
            </w:r>
            <w:r w:rsidRPr="001D1AC1">
              <w:rPr>
                <w:rFonts w:cstheme="minorHAnsi"/>
                <w:sz w:val="20"/>
              </w:rPr>
              <w:t>z sąsiednimi ośrodkami (A4 i C2).</w:t>
            </w:r>
          </w:p>
        </w:tc>
      </w:tr>
      <w:tr w:rsidR="003059AD" w:rsidRPr="001D1AC1" w:rsidTr="00D2783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ind w:firstLine="0"/>
              <w:jc w:val="left"/>
              <w:rPr>
                <w:rFonts w:asciiTheme="minorHAnsi" w:hAnsiTheme="minorHAnsi" w:cstheme="minorHAnsi"/>
                <w:b w:val="0"/>
                <w:sz w:val="20"/>
              </w:rPr>
            </w:pPr>
            <w:r w:rsidRPr="001D1AC1">
              <w:rPr>
                <w:rFonts w:asciiTheme="minorHAnsi" w:hAnsiTheme="minorHAnsi" w:cstheme="minorHAnsi"/>
                <w:b w:val="0"/>
                <w:sz w:val="20"/>
              </w:rPr>
              <w:t>Ślipcze (A4)</w:t>
            </w:r>
          </w:p>
        </w:tc>
        <w:tc>
          <w:tcPr>
            <w:tcW w:w="7371" w:type="dxa"/>
          </w:tcPr>
          <w:p w:rsidR="003059AD" w:rsidRPr="001D1AC1" w:rsidRDefault="003059AD" w:rsidP="003059AD">
            <w:pPr>
              <w:spacing w:before="0"/>
              <w:ind w:firstLine="0"/>
              <w:cnfStyle w:val="000000010000" w:firstRow="0" w:lastRow="0" w:firstColumn="0" w:lastColumn="0" w:oddVBand="0" w:evenVBand="0" w:oddHBand="0" w:evenHBand="1" w:firstRowFirstColumn="0" w:firstRowLastColumn="0" w:lastRowFirstColumn="0" w:lastRowLastColumn="0"/>
              <w:rPr>
                <w:rFonts w:cstheme="minorHAnsi"/>
                <w:sz w:val="20"/>
              </w:rPr>
            </w:pPr>
            <w:r w:rsidRPr="001D1AC1">
              <w:rPr>
                <w:rFonts w:cstheme="minorHAnsi"/>
                <w:sz w:val="20"/>
              </w:rPr>
              <w:t>Potencjalnie ośrodek o mniejszej skali rozwoju, oparty o wyjątkowo atrakcyjny przyrodniczo i kulturowo krajobraz nadbużański -bliskość rzeki, lasu i cieku Ślipcze-Metelin. Osadnictwo turystyczne może się rozwijać w obszarze i rejonie miejscowości Ślipcze. Pożądane powiązanie turystyczno-rekreacyjne z doliną Bugu oraz ciekiem wodnym Ślipcze-</w:t>
            </w:r>
            <w:proofErr w:type="spellStart"/>
            <w:r w:rsidRPr="001D1AC1">
              <w:rPr>
                <w:rFonts w:cstheme="minorHAnsi"/>
                <w:sz w:val="20"/>
              </w:rPr>
              <w:t>Masłomęcz</w:t>
            </w:r>
            <w:proofErr w:type="spellEnd"/>
            <w:r w:rsidRPr="001D1AC1">
              <w:rPr>
                <w:rFonts w:cstheme="minorHAnsi"/>
                <w:sz w:val="20"/>
              </w:rPr>
              <w:t>, w tym z sąsiednimi ośrodkami.</w:t>
            </w:r>
          </w:p>
        </w:tc>
      </w:tr>
    </w:tbl>
    <w:p w:rsidR="003059AD" w:rsidRPr="001D1AC1" w:rsidRDefault="003059AD" w:rsidP="003059AD">
      <w:pPr>
        <w:rPr>
          <w:rFonts w:cstheme="minorHAnsi"/>
          <w:b/>
        </w:rPr>
      </w:pPr>
      <w:r w:rsidRPr="001D1AC1">
        <w:rPr>
          <w:rFonts w:cstheme="minorHAnsi"/>
          <w:b/>
        </w:rPr>
        <w:t>B: Rejon północny: w strefie Strzeleckiego Parku Krajobrazowego</w:t>
      </w:r>
    </w:p>
    <w:tbl>
      <w:tblPr>
        <w:tblStyle w:val="Jasnasiatkaakcent2"/>
        <w:tblW w:w="0" w:type="auto"/>
        <w:tblLook w:val="04A0" w:firstRow="1" w:lastRow="0" w:firstColumn="1" w:lastColumn="0" w:noHBand="0" w:noVBand="1"/>
      </w:tblPr>
      <w:tblGrid>
        <w:gridCol w:w="1809"/>
        <w:gridCol w:w="7403"/>
      </w:tblGrid>
      <w:tr w:rsidR="003059AD" w:rsidRPr="001D1AC1" w:rsidTr="00D27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3059AD" w:rsidRPr="001D1AC1" w:rsidRDefault="003059AD" w:rsidP="00FD2955">
            <w:pPr>
              <w:ind w:firstLine="0"/>
              <w:jc w:val="center"/>
              <w:rPr>
                <w:rFonts w:asciiTheme="minorHAnsi" w:hAnsiTheme="minorHAnsi" w:cstheme="minorHAnsi"/>
                <w:sz w:val="20"/>
              </w:rPr>
            </w:pPr>
            <w:r w:rsidRPr="001D1AC1">
              <w:rPr>
                <w:rFonts w:asciiTheme="minorHAnsi" w:hAnsiTheme="minorHAnsi" w:cstheme="minorHAnsi"/>
                <w:sz w:val="20"/>
              </w:rPr>
              <w:t>Ośrodek/strefa rozwoju</w:t>
            </w:r>
          </w:p>
        </w:tc>
        <w:tc>
          <w:tcPr>
            <w:tcW w:w="7403" w:type="dxa"/>
          </w:tcPr>
          <w:p w:rsidR="003059AD" w:rsidRPr="001D1AC1" w:rsidRDefault="003059AD" w:rsidP="00FD2955">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1D1AC1">
              <w:rPr>
                <w:rFonts w:asciiTheme="minorHAnsi" w:hAnsiTheme="minorHAnsi" w:cstheme="minorHAnsi"/>
                <w:sz w:val="20"/>
              </w:rPr>
              <w:t>Planowana funkcja oraz powiązania funkcjonalne z innymi ośrodkami/obszarami</w:t>
            </w:r>
          </w:p>
        </w:tc>
      </w:tr>
      <w:tr w:rsidR="003059AD" w:rsidRPr="001D1AC1" w:rsidTr="00D2783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line="276" w:lineRule="auto"/>
              <w:ind w:firstLine="0"/>
              <w:jc w:val="left"/>
              <w:rPr>
                <w:rFonts w:asciiTheme="minorHAnsi" w:hAnsiTheme="minorHAnsi" w:cstheme="minorHAnsi"/>
                <w:b w:val="0"/>
                <w:sz w:val="20"/>
              </w:rPr>
            </w:pPr>
            <w:r w:rsidRPr="001D1AC1">
              <w:rPr>
                <w:rFonts w:asciiTheme="minorHAnsi" w:hAnsiTheme="minorHAnsi" w:cstheme="minorHAnsi"/>
                <w:b w:val="0"/>
                <w:sz w:val="20"/>
              </w:rPr>
              <w:t>Stefankowice (B1)</w:t>
            </w:r>
          </w:p>
        </w:tc>
        <w:tc>
          <w:tcPr>
            <w:tcW w:w="7403" w:type="dxa"/>
          </w:tcPr>
          <w:p w:rsidR="003059AD" w:rsidRPr="001D1AC1" w:rsidRDefault="003059AD" w:rsidP="003059AD">
            <w:pPr>
              <w:spacing w:before="0"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 w:val="20"/>
              </w:rPr>
            </w:pPr>
            <w:r w:rsidRPr="001D1AC1">
              <w:rPr>
                <w:rFonts w:cstheme="minorHAnsi"/>
                <w:sz w:val="20"/>
              </w:rPr>
              <w:t xml:space="preserve">Ośrodek rekreacyjny, który może się rozwijać na bazie proponowanego zbiornika retencyjnego na rzece Lipnicy, bliskich lasów Strzeleckiego Parku Krajobrazowego, dolin cieków wodnych oraz zachowanych zabytków. Osadnictwo rekreacyjne może być lokowane w granicach: rejonu wsi Stefankowice i kolonii Stefankowice. Trasy turystyczne - rowerowe i piesze - powinny wiązać ten ośrodek z miastem Hrubieszów, Strzeleckim Parkiem Krajobrazowym i terenami nadbużańskimi, w tym - sąsiednimi </w:t>
            </w:r>
            <w:r w:rsidRPr="001D1AC1">
              <w:rPr>
                <w:rFonts w:cstheme="minorHAnsi"/>
                <w:sz w:val="20"/>
              </w:rPr>
              <w:lastRenderedPageBreak/>
              <w:t>ośrodkami turystyczno-rekreacyjnymi (B2, B3).</w:t>
            </w:r>
          </w:p>
        </w:tc>
      </w:tr>
      <w:tr w:rsidR="003059AD" w:rsidRPr="001D1AC1" w:rsidTr="00D2783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line="276" w:lineRule="auto"/>
              <w:ind w:firstLine="0"/>
              <w:jc w:val="left"/>
              <w:rPr>
                <w:rFonts w:asciiTheme="minorHAnsi" w:hAnsiTheme="minorHAnsi" w:cstheme="minorHAnsi"/>
                <w:b w:val="0"/>
                <w:sz w:val="20"/>
              </w:rPr>
            </w:pPr>
            <w:r w:rsidRPr="001D1AC1">
              <w:rPr>
                <w:rFonts w:asciiTheme="minorHAnsi" w:hAnsiTheme="minorHAnsi" w:cstheme="minorHAnsi"/>
                <w:b w:val="0"/>
                <w:sz w:val="20"/>
              </w:rPr>
              <w:lastRenderedPageBreak/>
              <w:t>Moniatycze (B2)</w:t>
            </w:r>
          </w:p>
        </w:tc>
        <w:tc>
          <w:tcPr>
            <w:tcW w:w="7403" w:type="dxa"/>
          </w:tcPr>
          <w:p w:rsidR="003059AD" w:rsidRPr="001D1AC1" w:rsidRDefault="003059AD" w:rsidP="003059AD">
            <w:pPr>
              <w:spacing w:before="0" w:line="276" w:lineRule="auto"/>
              <w:ind w:firstLine="0"/>
              <w:cnfStyle w:val="000000010000" w:firstRow="0" w:lastRow="0" w:firstColumn="0" w:lastColumn="0" w:oddVBand="0" w:evenVBand="0" w:oddHBand="0" w:evenHBand="1" w:firstRowFirstColumn="0" w:firstRowLastColumn="0" w:lastRowFirstColumn="0" w:lastRowLastColumn="0"/>
              <w:rPr>
                <w:rFonts w:cstheme="minorHAnsi"/>
                <w:sz w:val="20"/>
              </w:rPr>
            </w:pPr>
            <w:r w:rsidRPr="001D1AC1">
              <w:rPr>
                <w:rFonts w:cstheme="minorHAnsi"/>
                <w:sz w:val="20"/>
              </w:rPr>
              <w:t>Bazą rozwoju ośrodka turystyczno-rekreacyjnego w tym rejonie może być również zbiornik wodny utworzony na istniejącym cieku, istniejące doliny cieków oraz zachowane zabytki. Osadnictwo i usługi rekreacyjne w granicach i rejonie wsi Moniatycze. Wskazane jest powiązanie ośrodka trasami turystyczno-rekreacyjnymi - głównie rowerowymi i pieszymi - z miastem Hrubieszowem, terenami Strzeleckiego Parku Krajobrazowego Bugu, w tym - z sąsiednimi ośrodkami (B 1, B3).</w:t>
            </w:r>
          </w:p>
        </w:tc>
      </w:tr>
      <w:tr w:rsidR="003059AD" w:rsidRPr="001D1AC1" w:rsidTr="00D2783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line="276" w:lineRule="auto"/>
              <w:ind w:firstLine="0"/>
              <w:jc w:val="left"/>
              <w:rPr>
                <w:rFonts w:asciiTheme="minorHAnsi" w:hAnsiTheme="minorHAnsi" w:cstheme="minorHAnsi"/>
                <w:b w:val="0"/>
                <w:sz w:val="20"/>
              </w:rPr>
            </w:pPr>
            <w:r w:rsidRPr="001D1AC1">
              <w:rPr>
                <w:rFonts w:asciiTheme="minorHAnsi" w:hAnsiTheme="minorHAnsi" w:cstheme="minorHAnsi"/>
                <w:b w:val="0"/>
                <w:sz w:val="20"/>
              </w:rPr>
              <w:t>Dziekanów (B3)</w:t>
            </w:r>
          </w:p>
        </w:tc>
        <w:tc>
          <w:tcPr>
            <w:tcW w:w="7403" w:type="dxa"/>
          </w:tcPr>
          <w:p w:rsidR="003059AD" w:rsidRPr="001D1AC1" w:rsidRDefault="003059AD" w:rsidP="003059AD">
            <w:pPr>
              <w:spacing w:before="0"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 w:val="20"/>
              </w:rPr>
            </w:pPr>
            <w:r w:rsidRPr="001D1AC1">
              <w:rPr>
                <w:rFonts w:cstheme="minorHAnsi"/>
                <w:sz w:val="20"/>
              </w:rPr>
              <w:t>Możliwość rozwoju ośrodka turystyczno-rekreacyjnego na bazie istniejącego i możliwego do utworzenia drugiego, niewielkiego zbiornika retencyjnego oraz bogatej sieci dolin cieków wodnych, powiązanych z doliną Bugu, jak tez obiektów kultury -zachowanych zabytków podworskich. Osadnictwo rekreacyjne możliwe jest w rejonie wsi Dziekanów. Wskazane powiązanie turystyczno-rekreacyjne, głównie rowerowe i piesze, z sąsiadującym miastem Hrubieszowem i doliną Bugu, jak też terenami Strzeleckiego Parku Krajobrazowego (otuliny), w tym sąsiednimi ośrodkami (B2 i A</w:t>
            </w:r>
            <w:r>
              <w:rPr>
                <w:rFonts w:cstheme="minorHAnsi"/>
                <w:sz w:val="20"/>
              </w:rPr>
              <w:t>1</w:t>
            </w:r>
            <w:r w:rsidRPr="001D1AC1">
              <w:rPr>
                <w:rFonts w:cstheme="minorHAnsi"/>
                <w:sz w:val="20"/>
              </w:rPr>
              <w:t>).</w:t>
            </w:r>
          </w:p>
        </w:tc>
      </w:tr>
    </w:tbl>
    <w:p w:rsidR="003059AD" w:rsidRPr="001D1AC1" w:rsidRDefault="003059AD" w:rsidP="003059AD">
      <w:pPr>
        <w:rPr>
          <w:rFonts w:cstheme="minorHAnsi"/>
          <w:b/>
        </w:rPr>
      </w:pPr>
      <w:r w:rsidRPr="001D1AC1">
        <w:rPr>
          <w:rFonts w:cstheme="minorHAnsi"/>
          <w:b/>
        </w:rPr>
        <w:t>C: Rejon południowy: w obszarze Kotliny Hrubieszowskiej</w:t>
      </w:r>
    </w:p>
    <w:tbl>
      <w:tblPr>
        <w:tblStyle w:val="Jasnasiatkaakcent2"/>
        <w:tblW w:w="0" w:type="auto"/>
        <w:tblLook w:val="04A0" w:firstRow="1" w:lastRow="0" w:firstColumn="1" w:lastColumn="0" w:noHBand="0" w:noVBand="1"/>
      </w:tblPr>
      <w:tblGrid>
        <w:gridCol w:w="1809"/>
        <w:gridCol w:w="7403"/>
      </w:tblGrid>
      <w:tr w:rsidR="003059AD" w:rsidRPr="001D1AC1" w:rsidTr="00D278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Pr>
          <w:p w:rsidR="003059AD" w:rsidRPr="001D1AC1" w:rsidRDefault="003059AD" w:rsidP="00FD2955">
            <w:pPr>
              <w:ind w:firstLine="0"/>
              <w:jc w:val="center"/>
              <w:rPr>
                <w:rFonts w:asciiTheme="minorHAnsi" w:hAnsiTheme="minorHAnsi" w:cstheme="minorHAnsi"/>
                <w:sz w:val="20"/>
              </w:rPr>
            </w:pPr>
            <w:r w:rsidRPr="001D1AC1">
              <w:rPr>
                <w:rFonts w:asciiTheme="minorHAnsi" w:hAnsiTheme="minorHAnsi" w:cstheme="minorHAnsi"/>
                <w:sz w:val="20"/>
              </w:rPr>
              <w:t>Ośrodek/strefa rozwoju</w:t>
            </w:r>
          </w:p>
        </w:tc>
        <w:tc>
          <w:tcPr>
            <w:tcW w:w="7403" w:type="dxa"/>
          </w:tcPr>
          <w:p w:rsidR="003059AD" w:rsidRPr="001D1AC1" w:rsidRDefault="003059AD" w:rsidP="00FD2955">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rPr>
            </w:pPr>
            <w:r w:rsidRPr="001D1AC1">
              <w:rPr>
                <w:rFonts w:asciiTheme="minorHAnsi" w:hAnsiTheme="minorHAnsi" w:cstheme="minorHAnsi"/>
                <w:sz w:val="20"/>
              </w:rPr>
              <w:t>Planowana funkcja oraz powiązania funkcjonalne z innymi ośrodkami/obszarami</w:t>
            </w:r>
          </w:p>
        </w:tc>
      </w:tr>
      <w:tr w:rsidR="003059AD" w:rsidRPr="001D1AC1" w:rsidTr="00D2783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line="276" w:lineRule="auto"/>
              <w:ind w:firstLine="0"/>
              <w:jc w:val="left"/>
              <w:rPr>
                <w:rFonts w:asciiTheme="minorHAnsi" w:hAnsiTheme="minorHAnsi" w:cstheme="minorHAnsi"/>
                <w:b w:val="0"/>
                <w:sz w:val="20"/>
              </w:rPr>
            </w:pPr>
            <w:r w:rsidRPr="001D1AC1">
              <w:rPr>
                <w:rFonts w:asciiTheme="minorHAnsi" w:hAnsiTheme="minorHAnsi" w:cstheme="minorHAnsi"/>
                <w:b w:val="0"/>
                <w:sz w:val="20"/>
              </w:rPr>
              <w:t>Wolica – Obrowiec (C1)</w:t>
            </w:r>
          </w:p>
        </w:tc>
        <w:tc>
          <w:tcPr>
            <w:tcW w:w="7403" w:type="dxa"/>
          </w:tcPr>
          <w:p w:rsidR="003059AD" w:rsidRPr="001D1AC1" w:rsidRDefault="003059AD" w:rsidP="003059AD">
            <w:pPr>
              <w:spacing w:before="0"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 w:val="20"/>
              </w:rPr>
            </w:pPr>
            <w:r w:rsidRPr="001D1AC1">
              <w:rPr>
                <w:rFonts w:cstheme="minorHAnsi"/>
                <w:sz w:val="20"/>
              </w:rPr>
              <w:t>Ośrodek rekreacyjny możliwy do powstania w przypadku realizacji dużego zbiornik</w:t>
            </w:r>
            <w:r>
              <w:rPr>
                <w:rFonts w:cstheme="minorHAnsi"/>
                <w:sz w:val="20"/>
              </w:rPr>
              <w:t>a retencyjnego na rzece Huczwie w Mieście Hrubieszów.</w:t>
            </w:r>
            <w:r w:rsidRPr="001D1AC1">
              <w:rPr>
                <w:rFonts w:cstheme="minorHAnsi"/>
                <w:sz w:val="20"/>
              </w:rPr>
              <w:t xml:space="preserve"> Część zbiornika znalazłaby się w granicach gminy, w sąsiedztwie wsi Wolica. Bazą rekreacyjną ośrodka </w:t>
            </w:r>
            <w:proofErr w:type="gramStart"/>
            <w:r w:rsidRPr="001D1AC1">
              <w:rPr>
                <w:rFonts w:cstheme="minorHAnsi"/>
                <w:sz w:val="20"/>
              </w:rPr>
              <w:t>byłby więc</w:t>
            </w:r>
            <w:proofErr w:type="gramEnd"/>
            <w:r w:rsidRPr="001D1AC1">
              <w:rPr>
                <w:rFonts w:cstheme="minorHAnsi"/>
                <w:sz w:val="20"/>
              </w:rPr>
              <w:t xml:space="preserve"> zbiornik wodny i dolina Huczwy. Osadnictwo rekreacyjne ośrodka byłoby zlokalizowane w rejonie wsi Wolica. Ośrodek miałby charakter podmiejski. Wskazane powiązanie rekreacyjne - rowerowe i piesze z centrum miasta oraz doliną Huczwy. </w:t>
            </w:r>
          </w:p>
        </w:tc>
      </w:tr>
      <w:tr w:rsidR="003059AD" w:rsidRPr="001D1AC1" w:rsidTr="00D27832">
        <w:trPr>
          <w:cnfStyle w:val="000000010000" w:firstRow="0" w:lastRow="0" w:firstColumn="0" w:lastColumn="0" w:oddVBand="0" w:evenVBand="0" w:oddHBand="0" w:evenHBand="1"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line="276" w:lineRule="auto"/>
              <w:ind w:firstLine="0"/>
              <w:jc w:val="left"/>
              <w:rPr>
                <w:rFonts w:asciiTheme="minorHAnsi" w:hAnsiTheme="minorHAnsi" w:cstheme="minorHAnsi"/>
                <w:b w:val="0"/>
                <w:sz w:val="20"/>
              </w:rPr>
            </w:pPr>
            <w:r w:rsidRPr="001D1AC1">
              <w:rPr>
                <w:rFonts w:asciiTheme="minorHAnsi" w:hAnsiTheme="minorHAnsi" w:cstheme="minorHAnsi"/>
                <w:b w:val="0"/>
                <w:sz w:val="20"/>
              </w:rPr>
              <w:t>Metelin (C2)</w:t>
            </w:r>
          </w:p>
        </w:tc>
        <w:tc>
          <w:tcPr>
            <w:tcW w:w="7403" w:type="dxa"/>
          </w:tcPr>
          <w:p w:rsidR="003059AD" w:rsidRPr="001D1AC1" w:rsidRDefault="003059AD" w:rsidP="003059AD">
            <w:pPr>
              <w:spacing w:before="0" w:line="276" w:lineRule="auto"/>
              <w:ind w:firstLine="0"/>
              <w:cnfStyle w:val="000000010000" w:firstRow="0" w:lastRow="0" w:firstColumn="0" w:lastColumn="0" w:oddVBand="0" w:evenVBand="0" w:oddHBand="0" w:evenHBand="1" w:firstRowFirstColumn="0" w:firstRowLastColumn="0" w:lastRowFirstColumn="0" w:lastRowLastColumn="0"/>
              <w:rPr>
                <w:rFonts w:cstheme="minorHAnsi"/>
                <w:sz w:val="20"/>
              </w:rPr>
            </w:pPr>
            <w:r w:rsidRPr="001D1AC1">
              <w:rPr>
                <w:rFonts w:cstheme="minorHAnsi"/>
                <w:sz w:val="20"/>
              </w:rPr>
              <w:t>Mały ośrodek rekreacyjny, jaki tu jest wskazywany, mógłby powstać w oparciu o zachowane obiekty zabytkowe - budynek dworski, pozostałości parku, młyn drewniany i in. - a także niedaleki las i dolinę cieku Metelin – ujście do Bugu. Wskazane powiązanie rekreacyjne, rowerowe i piesze, z miastem Hrubieszowem oraz doliną Bugu poprzez ciąg Metelin - Ślipcze, w tym powiązania z ośrodkami sąsiednimi (A4, A3 i C</w:t>
            </w:r>
            <w:r>
              <w:rPr>
                <w:rFonts w:cstheme="minorHAnsi"/>
                <w:sz w:val="20"/>
              </w:rPr>
              <w:t>1</w:t>
            </w:r>
            <w:r w:rsidRPr="001D1AC1">
              <w:rPr>
                <w:rFonts w:cstheme="minorHAnsi"/>
                <w:sz w:val="20"/>
              </w:rPr>
              <w:t>).</w:t>
            </w:r>
          </w:p>
        </w:tc>
      </w:tr>
      <w:tr w:rsidR="003059AD" w:rsidRPr="001D1AC1" w:rsidTr="00D27832">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809" w:type="dxa"/>
            <w:vAlign w:val="center"/>
          </w:tcPr>
          <w:p w:rsidR="003059AD" w:rsidRPr="001D1AC1" w:rsidRDefault="003059AD" w:rsidP="00D27832">
            <w:pPr>
              <w:spacing w:before="0" w:line="276" w:lineRule="auto"/>
              <w:ind w:firstLine="0"/>
              <w:jc w:val="left"/>
              <w:rPr>
                <w:rFonts w:asciiTheme="minorHAnsi" w:hAnsiTheme="minorHAnsi" w:cstheme="minorHAnsi"/>
                <w:b w:val="0"/>
                <w:sz w:val="20"/>
              </w:rPr>
            </w:pPr>
            <w:proofErr w:type="spellStart"/>
            <w:r w:rsidRPr="001D1AC1">
              <w:rPr>
                <w:rFonts w:asciiTheme="minorHAnsi" w:hAnsiTheme="minorHAnsi" w:cstheme="minorHAnsi"/>
                <w:b w:val="0"/>
                <w:sz w:val="20"/>
              </w:rPr>
              <w:t>Masłomęcz</w:t>
            </w:r>
            <w:proofErr w:type="spellEnd"/>
            <w:r w:rsidRPr="001D1AC1">
              <w:rPr>
                <w:rFonts w:asciiTheme="minorHAnsi" w:hAnsiTheme="minorHAnsi" w:cstheme="minorHAnsi"/>
                <w:b w:val="0"/>
                <w:sz w:val="20"/>
              </w:rPr>
              <w:t xml:space="preserve"> (C3)</w:t>
            </w:r>
          </w:p>
        </w:tc>
        <w:tc>
          <w:tcPr>
            <w:tcW w:w="7403" w:type="dxa"/>
          </w:tcPr>
          <w:p w:rsidR="003059AD" w:rsidRPr="001D1AC1" w:rsidRDefault="003059AD" w:rsidP="003059AD">
            <w:pPr>
              <w:spacing w:before="0" w:line="276" w:lineRule="auto"/>
              <w:ind w:firstLine="0"/>
              <w:cnfStyle w:val="000000100000" w:firstRow="0" w:lastRow="0" w:firstColumn="0" w:lastColumn="0" w:oddVBand="0" w:evenVBand="0" w:oddHBand="1" w:evenHBand="0" w:firstRowFirstColumn="0" w:firstRowLastColumn="0" w:lastRowFirstColumn="0" w:lastRowLastColumn="0"/>
              <w:rPr>
                <w:rFonts w:cstheme="minorHAnsi"/>
                <w:sz w:val="20"/>
              </w:rPr>
            </w:pPr>
            <w:r w:rsidRPr="001D1AC1">
              <w:rPr>
                <w:rFonts w:cstheme="minorHAnsi"/>
                <w:sz w:val="20"/>
              </w:rPr>
              <w:t xml:space="preserve">Rozwijający się ośrodek turystyki kulturowej wykorzystujący bogate dziedzictwo archeologiczne Kotliny Hrubieszowskiej i okolic. Miejsce organizowania cyklicznych imprez poświęconej kulturze gockiej i badaniom archeologicznym. Wskazane jest lepsze powiązanie </w:t>
            </w:r>
            <w:proofErr w:type="spellStart"/>
            <w:r w:rsidRPr="001D1AC1">
              <w:rPr>
                <w:rFonts w:cstheme="minorHAnsi"/>
                <w:sz w:val="20"/>
              </w:rPr>
              <w:t>Masłomęcza</w:t>
            </w:r>
            <w:proofErr w:type="spellEnd"/>
            <w:r w:rsidRPr="001D1AC1">
              <w:rPr>
                <w:rFonts w:cstheme="minorHAnsi"/>
                <w:sz w:val="20"/>
              </w:rPr>
              <w:t xml:space="preserve"> z innymi ośrodkami rozwoju turystyki w gminie i mieście (m.in. poprzez układ szlaków turystycznych oraz tras rowerowych). </w:t>
            </w:r>
          </w:p>
        </w:tc>
      </w:tr>
    </w:tbl>
    <w:p w:rsidR="003059AD" w:rsidRDefault="003059AD" w:rsidP="003059AD">
      <w:pPr>
        <w:rPr>
          <w:i/>
          <w:sz w:val="18"/>
          <w:szCs w:val="18"/>
        </w:rPr>
      </w:pPr>
      <w:r w:rsidRPr="001D1AC1">
        <w:rPr>
          <w:i/>
          <w:sz w:val="18"/>
          <w:szCs w:val="18"/>
        </w:rPr>
        <w:t>Źródło</w:t>
      </w:r>
      <w:r w:rsidRPr="001D1AC1">
        <w:rPr>
          <w:rFonts w:cs="Times New Roman"/>
          <w:i/>
          <w:sz w:val="18"/>
          <w:szCs w:val="18"/>
        </w:rPr>
        <w:t xml:space="preserve">: </w:t>
      </w:r>
      <w:r w:rsidRPr="001D1AC1">
        <w:rPr>
          <w:i/>
          <w:sz w:val="18"/>
          <w:szCs w:val="18"/>
        </w:rPr>
        <w:t>Opracowanie własne na podstawie zapisów SUIKZP</w:t>
      </w:r>
    </w:p>
    <w:p w:rsidR="00A34C14" w:rsidRDefault="00A34C14" w:rsidP="00A34C14">
      <w:r>
        <w:t>HOF posiada bogate zasoby dziedzictwa kulturowego i unikaln</w:t>
      </w:r>
      <w:r>
        <w:rPr>
          <w:rFonts w:hint="eastAsia"/>
        </w:rPr>
        <w:t>ą</w:t>
      </w:r>
      <w:r>
        <w:t xml:space="preserve"> to</w:t>
      </w:r>
      <w:r>
        <w:rPr>
          <w:rFonts w:hint="eastAsia"/>
        </w:rPr>
        <w:t>ż</w:t>
      </w:r>
      <w:r>
        <w:t>samo</w:t>
      </w:r>
      <w:r>
        <w:rPr>
          <w:rFonts w:hint="eastAsia"/>
        </w:rPr>
        <w:t>ść</w:t>
      </w:r>
      <w:r>
        <w:t>. Dlatego kontynuacja rozwoju turystyki przy wsp</w:t>
      </w:r>
      <w:r>
        <w:rPr>
          <w:rFonts w:hint="eastAsia"/>
        </w:rPr>
        <w:t>ół</w:t>
      </w:r>
      <w:r>
        <w:t>udziale instytucji kultury i sztuki, medi</w:t>
      </w:r>
      <w:r>
        <w:rPr>
          <w:rFonts w:hint="eastAsia"/>
        </w:rPr>
        <w:t>ó</w:t>
      </w:r>
      <w:r>
        <w:t>w, przedsi</w:t>
      </w:r>
      <w:r>
        <w:rPr>
          <w:rFonts w:hint="eastAsia"/>
        </w:rPr>
        <w:t>ę</w:t>
      </w:r>
      <w:r>
        <w:t>biorstw   dzia</w:t>
      </w:r>
      <w:r>
        <w:rPr>
          <w:rFonts w:hint="eastAsia"/>
        </w:rPr>
        <w:t>ł</w:t>
      </w:r>
      <w:r>
        <w:t>a</w:t>
      </w:r>
      <w:r>
        <w:rPr>
          <w:rFonts w:hint="eastAsia"/>
        </w:rPr>
        <w:t>ń</w:t>
      </w:r>
      <w:r>
        <w:t xml:space="preserve"> promocyjnych to kierunek o du</w:t>
      </w:r>
      <w:r>
        <w:rPr>
          <w:rFonts w:hint="eastAsia"/>
        </w:rPr>
        <w:t>ż</w:t>
      </w:r>
      <w:r>
        <w:t xml:space="preserve">ym potencjale rozwoju. Konieczny jest dalszy rozwój oferty sieci szlaków i ścieżek rowerowych. </w:t>
      </w:r>
      <w:r w:rsidRPr="00396B77">
        <w:rPr>
          <w:bCs/>
        </w:rPr>
        <w:t>Dalszemu rozwojowi podlegać będzie sieć szlaków i ścieżek rowerowych. Realizacji tych inwestycji towarzyszyć będzie zagospodarowanie rekreacyjne terenów przyległych.</w:t>
      </w:r>
      <w:r>
        <w:rPr>
          <w:bCs/>
        </w:rPr>
        <w:t xml:space="preserve"> </w:t>
      </w:r>
      <w:r w:rsidRPr="00E75201">
        <w:t xml:space="preserve">Zakłada się realizację ścieżek rowerowych wzdłuż głównych ulic miejskich </w:t>
      </w:r>
      <w:r>
        <w:t>układu podstawowego oraz ścieżki rowerowe turystyczne</w:t>
      </w:r>
      <w:r w:rsidRPr="00E75201">
        <w:t xml:space="preserve">, w terenie miasta </w:t>
      </w:r>
      <w:r w:rsidRPr="00151747">
        <w:t>(</w:t>
      </w:r>
      <w:r w:rsidRPr="00151747">
        <w:rPr>
          <w:rFonts w:cstheme="minorHAnsi"/>
        </w:rPr>
        <w:t xml:space="preserve">ul. Nowa, </w:t>
      </w:r>
      <w:r>
        <w:rPr>
          <w:rFonts w:cstheme="minorHAnsi"/>
        </w:rPr>
        <w:t>ul. Gródecka, ul. Zamojska, ul. </w:t>
      </w:r>
      <w:r w:rsidRPr="00151747">
        <w:rPr>
          <w:rFonts w:cstheme="minorHAnsi"/>
        </w:rPr>
        <w:t>Wyzwolenia, ul. Basaja, ul. Żeromskiego, droga na Dziekanów, Grabowiecka</w:t>
      </w:r>
      <w:r>
        <w:rPr>
          <w:rFonts w:cstheme="minorHAnsi"/>
          <w:sz w:val="20"/>
          <w:szCs w:val="20"/>
        </w:rPr>
        <w:t>)</w:t>
      </w:r>
      <w:r w:rsidRPr="00E75201">
        <w:t xml:space="preserve"> </w:t>
      </w:r>
      <w:r>
        <w:t>z ich kontynuacją na terenie Gminy Hrubieszów. Wskazane są również działania zmierzające do poszerzenia oferty miejsc noclegowych i punktów gastronomicznych skierowanych do osób przyjeżdzających w celu wypoczynkowo-rekreacyjnym. Dzia</w:t>
      </w:r>
      <w:r>
        <w:rPr>
          <w:rFonts w:hint="eastAsia"/>
        </w:rPr>
        <w:t>ł</w:t>
      </w:r>
      <w:r>
        <w:t>ania integracyjne i zwi</w:t>
      </w:r>
      <w:r>
        <w:rPr>
          <w:rFonts w:hint="eastAsia"/>
        </w:rPr>
        <w:t>ą</w:t>
      </w:r>
      <w:r>
        <w:t xml:space="preserve">zane </w:t>
      </w:r>
      <w:r>
        <w:lastRenderedPageBreak/>
        <w:t>z przemys</w:t>
      </w:r>
      <w:r>
        <w:rPr>
          <w:rFonts w:hint="eastAsia"/>
        </w:rPr>
        <w:t>ł</w:t>
      </w:r>
      <w:r>
        <w:t xml:space="preserve">em czasu wolnego, rozwój turystyki to kierunki nie tylko przekładające się na </w:t>
      </w:r>
      <w:proofErr w:type="gramStart"/>
      <w:r>
        <w:t>wzrost jakości</w:t>
      </w:r>
      <w:proofErr w:type="gramEnd"/>
      <w:r>
        <w:t xml:space="preserve"> życia, ale też decydujące o atrakcyjności HOF dla osób z zewnątrz, w tym m.in. osób studiujących i migrujących zarobkowo, przedsiębiorców, inwestorów.</w:t>
      </w:r>
    </w:p>
    <w:p w:rsidR="003059AD" w:rsidRPr="00633DE1" w:rsidRDefault="00633DE1" w:rsidP="007C1786">
      <w:pPr>
        <w:rPr>
          <w:rFonts w:cstheme="minorHAnsi"/>
          <w:b/>
        </w:rPr>
      </w:pPr>
      <w:r w:rsidRPr="00633DE1">
        <w:rPr>
          <w:b/>
          <w:bCs/>
          <w:u w:val="single"/>
        </w:rPr>
        <w:t xml:space="preserve">Zasady kształtowania struktury </w:t>
      </w:r>
      <w:r w:rsidR="005656D5">
        <w:rPr>
          <w:b/>
          <w:bCs/>
          <w:u w:val="single"/>
        </w:rPr>
        <w:t xml:space="preserve">układu </w:t>
      </w:r>
      <w:r w:rsidRPr="00633DE1">
        <w:rPr>
          <w:b/>
          <w:bCs/>
          <w:u w:val="single"/>
        </w:rPr>
        <w:t>osadniczego</w:t>
      </w:r>
    </w:p>
    <w:p w:rsidR="003059AD" w:rsidRDefault="00633DE1" w:rsidP="007C1786">
      <w:pPr>
        <w:rPr>
          <w:bCs/>
        </w:rPr>
      </w:pPr>
      <w:r>
        <w:rPr>
          <w:rFonts w:cstheme="minorHAnsi"/>
        </w:rPr>
        <w:t xml:space="preserve">Na terenie Hrubieszowskiego Obszaru Funkcjonalnego zakłada się </w:t>
      </w:r>
      <w:r w:rsidRPr="00D95557">
        <w:rPr>
          <w:bCs/>
        </w:rPr>
        <w:t xml:space="preserve">dalszy rozwój przestrzenny zainwestowania osadniczego, w tym zabudowy mieszkaniowej i zagrodowej </w:t>
      </w:r>
      <w:r>
        <w:rPr>
          <w:bCs/>
        </w:rPr>
        <w:t xml:space="preserve">(Gmina Hrubieszów) </w:t>
      </w:r>
      <w:r w:rsidRPr="00D95557">
        <w:rPr>
          <w:bCs/>
        </w:rPr>
        <w:t>oraz służących im usług i działalności gospodarczej.</w:t>
      </w:r>
      <w:r>
        <w:rPr>
          <w:bCs/>
        </w:rPr>
        <w:t xml:space="preserve"> </w:t>
      </w:r>
      <w:r w:rsidR="005656D5">
        <w:rPr>
          <w:bCs/>
        </w:rPr>
        <w:t>W procesie planowania należy uwzględnić potrzebę porządkowania struktur przestrzennych z zachowaniem skali i form zabudowy charakterystycznych dla tych terenów (zabudowa wiejska, zabudowa miejska).</w:t>
      </w:r>
      <w:r w:rsidR="009F7B47">
        <w:t xml:space="preserve"> Podczas realizacji nowej zabudowy należy uwzględnić zasady kształtowania formy nawiązującej do historycznej kompozycji urbanistycznej jednostek osadniczych i budownictwa tradycyjnego. Zakazuje się wznoszenia budowli przesłaniających i dysharmonizujących otoczenie w sąsiedztwie obiektów o wyraźnych dominantach architektonicznych w krajobrazie (np. wieże kościołów). </w:t>
      </w:r>
      <w:r w:rsidR="00832249">
        <w:t xml:space="preserve">Istotne jest </w:t>
      </w:r>
      <w:r w:rsidR="00832249" w:rsidRPr="005F4CB4">
        <w:t>zachowanie</w:t>
      </w:r>
      <w:r w:rsidR="00832249">
        <w:t xml:space="preserve"> </w:t>
      </w:r>
      <w:r w:rsidR="00832249" w:rsidRPr="005F4CB4">
        <w:t xml:space="preserve">zabytkowej zabudowy murowanej oraz przeciwdziałanie zjawisku zastępowania dawnej zabudowy obiektami </w:t>
      </w:r>
      <w:proofErr w:type="gramStart"/>
      <w:r w:rsidR="00832249" w:rsidRPr="005F4CB4">
        <w:t>nie zharmonizowanymi</w:t>
      </w:r>
      <w:proofErr w:type="gramEnd"/>
      <w:r w:rsidR="00832249" w:rsidRPr="005F4CB4">
        <w:t xml:space="preserve"> z lokalną tradycją zabudowy historycznej.</w:t>
      </w:r>
      <w:r w:rsidR="009F7B47">
        <w:t xml:space="preserve"> </w:t>
      </w:r>
      <w:r w:rsidR="00A276F7">
        <w:rPr>
          <w:bCs/>
        </w:rPr>
        <w:t xml:space="preserve">Wyklucza się lub ogranicza do minimum powstawanie nowej zabudowy na gruntach </w:t>
      </w:r>
      <w:r w:rsidR="00A276F7">
        <w:t>ornych chronionych poza istniejącymi obszarami zabudowy rolniczej siedliskowej oraz istniejącymi obszarami zabudowy mieszkaniowej przemysłowej i usługowej.</w:t>
      </w:r>
    </w:p>
    <w:p w:rsidR="001A47FE" w:rsidRDefault="001A47FE" w:rsidP="007C1786">
      <w:pPr>
        <w:rPr>
          <w:bCs/>
        </w:rPr>
      </w:pPr>
      <w:r>
        <w:rPr>
          <w:bCs/>
        </w:rPr>
        <w:t xml:space="preserve">Na terenie Gminy Miejskiej Hrubieszów </w:t>
      </w:r>
      <w:r w:rsidRPr="001A47FE">
        <w:t>utrzymuje się wyznaczone już kierunki potencjalnej ekspansji terenów zurbanizowanych w obrębach Sławęcin i Podgórze. Zachowuje też ich główne funkcje.</w:t>
      </w:r>
      <w:r w:rsidR="00CA7A3C">
        <w:t xml:space="preserve"> </w:t>
      </w:r>
      <w:r w:rsidR="00CA7A3C" w:rsidRPr="00CA7A3C">
        <w:t>Dla budownictwa wielorodzinnego pozostają tereny osiedli mieszkaniowych w obrębie Śródmieścia, osiedla Basaja, Polna, Mickiewicza, Piłsudskieg</w:t>
      </w:r>
      <w:r w:rsidR="005E18D8">
        <w:t>o oraz w części miasta przy ul. </w:t>
      </w:r>
      <w:r w:rsidR="00CA7A3C" w:rsidRPr="00CA7A3C">
        <w:t>Dwernickiego i Żeromskiego. Pozostałe tereny o funkcjach mieszkaniowych będą miały przewagę zabudowy jednorodzinnej.</w:t>
      </w:r>
      <w:r w:rsidRPr="001A47FE">
        <w:t xml:space="preserve"> Gmina Miejska Hrubieszów posiada duże rezerwy terenowe w swoich granicach administracyjnych. Tereny osiedleńcze </w:t>
      </w:r>
      <w:r>
        <w:t>rozwijają się</w:t>
      </w:r>
      <w:r w:rsidRPr="001A47FE">
        <w:t xml:space="preserve"> wzdłuż szlaków komunikacyjnych koncentrycznie do centrum, a nowe jednostki urbanistyczne powstają w znacznym oddaleniu od centrum wzdłuż dawnych dróg dojazdowych do niego, głównie na północy i południu od centrum, po obu stronach doliny rzeki. W północnej części miasta znajdują się tereny o znacznym areale, które mają status specjalny, są to tereny wojskowe zamknięte (na Sławęcinie). W południowej części miasta zlokalizowane są tereny kolejowe dwóch stacji rozrządowych oraz tereny przemysłowo-składowe z elementami działalności usługowej (na Podgórzu).</w:t>
      </w:r>
      <w:r w:rsidR="00CA7A3C">
        <w:t xml:space="preserve"> </w:t>
      </w:r>
      <w:r w:rsidR="00CA7A3C" w:rsidRPr="005F4CB4">
        <w:rPr>
          <w:bCs/>
          <w:color w:val="000000"/>
        </w:rPr>
        <w:t>Na terenach rolniczych miasta dopuszcza się możliwość lokalizacji zabudowy zagrodowej.</w:t>
      </w:r>
    </w:p>
    <w:p w:rsidR="00724210" w:rsidRDefault="00633DE1" w:rsidP="007C1786">
      <w:pPr>
        <w:rPr>
          <w:bCs/>
        </w:rPr>
      </w:pPr>
      <w:r>
        <w:rPr>
          <w:bCs/>
        </w:rPr>
        <w:t xml:space="preserve">Na terenie Gminy Hrubieszów nowe osadnictwo powinno być lokowane w pierwszej kolejności z zasadą dopełniania i intensyfikacji </w:t>
      </w:r>
      <w:r w:rsidRPr="00D95557">
        <w:rPr>
          <w:bCs/>
        </w:rPr>
        <w:t xml:space="preserve">zagospodarowania istniejących układów, a </w:t>
      </w:r>
      <w:r>
        <w:rPr>
          <w:bCs/>
        </w:rPr>
        <w:t>dopiero w dalszej kolejności</w:t>
      </w:r>
      <w:r w:rsidRPr="00D95557">
        <w:rPr>
          <w:bCs/>
        </w:rPr>
        <w:t xml:space="preserve"> na dodawaniu nowych terenów</w:t>
      </w:r>
      <w:r>
        <w:rPr>
          <w:bCs/>
        </w:rPr>
        <w:t xml:space="preserve"> w bezpośrednim sąsiedztwie </w:t>
      </w:r>
      <w:r w:rsidR="001A47FE">
        <w:rPr>
          <w:bCs/>
        </w:rPr>
        <w:t>granic istniejących układów osadniczych. Należy podjąć działania ograniczające rozproszenie zabudowy. Z</w:t>
      </w:r>
      <w:r>
        <w:rPr>
          <w:bCs/>
        </w:rPr>
        <w:t xml:space="preserve">akłada się </w:t>
      </w:r>
      <w:r w:rsidRPr="00633DE1">
        <w:rPr>
          <w:bCs/>
        </w:rPr>
        <w:t xml:space="preserve">kontynuację rozwoju zabudowy usługowej i mieszkaniowej przede wszystkim w miejscowościach znajdujących się w bezpośrednim sąsiedztwie </w:t>
      </w:r>
      <w:r>
        <w:rPr>
          <w:bCs/>
        </w:rPr>
        <w:t>Gminy Miejskiej</w:t>
      </w:r>
      <w:r w:rsidRPr="00633DE1">
        <w:rPr>
          <w:bCs/>
        </w:rPr>
        <w:t xml:space="preserve"> Hrubieszów.</w:t>
      </w:r>
    </w:p>
    <w:p w:rsidR="00724210" w:rsidRDefault="00724210" w:rsidP="00724210">
      <w:pPr>
        <w:spacing w:after="0"/>
      </w:pPr>
      <w:r>
        <w:t>Funkcja mieszkaniowa powinna być lokalizowana w obszarach:</w:t>
      </w:r>
    </w:p>
    <w:p w:rsidR="00724210" w:rsidRDefault="00724210" w:rsidP="00A13FA7">
      <w:pPr>
        <w:pStyle w:val="Akapitzlist"/>
        <w:numPr>
          <w:ilvl w:val="0"/>
          <w:numId w:val="42"/>
        </w:numPr>
        <w:spacing w:before="0"/>
        <w:ind w:left="709"/>
      </w:pPr>
      <w:proofErr w:type="gramStart"/>
      <w:r>
        <w:t>nieużytków</w:t>
      </w:r>
      <w:proofErr w:type="gramEnd"/>
      <w:r>
        <w:t xml:space="preserve"> i użytków rolnych o najniższych klasach bonitacyjnych (klasa V-VI), z wyłączeniem gruntów organicznych. Wyższe klasy bonitacyjne mogą być przeznaczane pod zabudowę tylko </w:t>
      </w:r>
      <w:r>
        <w:lastRenderedPageBreak/>
        <w:t>w przypadku braku gruntów najniższych klas o odpowiedniej nośności oraz na powiększenie już istniejących terenów budownictwa mieszkaniowego;</w:t>
      </w:r>
    </w:p>
    <w:p w:rsidR="00724210" w:rsidRDefault="00724210" w:rsidP="00A13FA7">
      <w:pPr>
        <w:pStyle w:val="Akapitzlist"/>
        <w:numPr>
          <w:ilvl w:val="0"/>
          <w:numId w:val="42"/>
        </w:numPr>
        <w:spacing w:before="0"/>
        <w:ind w:left="709"/>
      </w:pPr>
      <w:proofErr w:type="gramStart"/>
      <w:r>
        <w:t>w</w:t>
      </w:r>
      <w:proofErr w:type="gramEnd"/>
      <w:r>
        <w:t xml:space="preserve"> których wody gruntowe zalegają głębiej niż 2 m pod powierzchnią z uwzględnieniem wahań poziomu w </w:t>
      </w:r>
      <w:proofErr w:type="spellStart"/>
      <w:r>
        <w:t>wieloleciu</w:t>
      </w:r>
      <w:proofErr w:type="spellEnd"/>
      <w:r>
        <w:t>;</w:t>
      </w:r>
    </w:p>
    <w:p w:rsidR="00724210" w:rsidRDefault="00724210" w:rsidP="00A13FA7">
      <w:pPr>
        <w:pStyle w:val="Akapitzlist"/>
        <w:numPr>
          <w:ilvl w:val="0"/>
          <w:numId w:val="42"/>
        </w:numPr>
        <w:spacing w:before="0"/>
        <w:ind w:left="709"/>
      </w:pPr>
      <w:proofErr w:type="gramStart"/>
      <w:r>
        <w:t>poza</w:t>
      </w:r>
      <w:proofErr w:type="gramEnd"/>
      <w:r>
        <w:t xml:space="preserve"> obszarem zagrożonym wodą 100-letnią;</w:t>
      </w:r>
    </w:p>
    <w:p w:rsidR="00724210" w:rsidRDefault="00724210" w:rsidP="00A13FA7">
      <w:pPr>
        <w:pStyle w:val="Akapitzlist"/>
        <w:numPr>
          <w:ilvl w:val="0"/>
          <w:numId w:val="42"/>
        </w:numPr>
        <w:spacing w:before="0"/>
        <w:ind w:left="709"/>
      </w:pPr>
      <w:proofErr w:type="gramStart"/>
      <w:r>
        <w:t>z</w:t>
      </w:r>
      <w:proofErr w:type="gramEnd"/>
      <w:r>
        <w:t xml:space="preserve"> korzystnym </w:t>
      </w:r>
      <w:proofErr w:type="spellStart"/>
      <w:r>
        <w:t>topoklimatem</w:t>
      </w:r>
      <w:proofErr w:type="spellEnd"/>
      <w:r>
        <w:t>, czyli obszary wierzchowinowe, na łagodnych stokach o ekspozycji południowej i południowo-zachodniej;</w:t>
      </w:r>
    </w:p>
    <w:p w:rsidR="00724210" w:rsidRDefault="00724210" w:rsidP="00A13FA7">
      <w:pPr>
        <w:pStyle w:val="Akapitzlist"/>
        <w:numPr>
          <w:ilvl w:val="0"/>
          <w:numId w:val="42"/>
        </w:numPr>
        <w:spacing w:before="0"/>
        <w:ind w:left="709"/>
      </w:pPr>
      <w:proofErr w:type="gramStart"/>
      <w:r>
        <w:t>poza</w:t>
      </w:r>
      <w:proofErr w:type="gramEnd"/>
      <w:r>
        <w:t xml:space="preserve"> dnami dolin rzecznych i suchych dolin, poza wylotami suchych dolin ze względu na niekorzystny </w:t>
      </w:r>
      <w:proofErr w:type="spellStart"/>
      <w:r>
        <w:t>topoklimat</w:t>
      </w:r>
      <w:proofErr w:type="spellEnd"/>
      <w:r>
        <w:t xml:space="preserve"> (zaburzenia spływu mas powietrza i przewietrzania dolin);</w:t>
      </w:r>
    </w:p>
    <w:p w:rsidR="00724210" w:rsidRPr="00724210" w:rsidRDefault="00724210" w:rsidP="00A13FA7">
      <w:pPr>
        <w:pStyle w:val="Akapitzlist"/>
        <w:numPr>
          <w:ilvl w:val="0"/>
          <w:numId w:val="42"/>
        </w:numPr>
        <w:spacing w:before="0"/>
        <w:ind w:left="709"/>
      </w:pPr>
      <w:proofErr w:type="gramStart"/>
      <w:r>
        <w:t>poza</w:t>
      </w:r>
      <w:proofErr w:type="gramEnd"/>
      <w:r>
        <w:t xml:space="preserve"> systemem przyrodniczym HOF.</w:t>
      </w:r>
    </w:p>
    <w:p w:rsidR="00633DE1" w:rsidRDefault="00633DE1" w:rsidP="007C1786">
      <w:pPr>
        <w:rPr>
          <w:rFonts w:cstheme="minorHAnsi"/>
        </w:rPr>
      </w:pPr>
      <w:r w:rsidRPr="00633DE1">
        <w:rPr>
          <w:bCs/>
        </w:rPr>
        <w:t>Rozwój funkcji gospodarczej dotyczyć będzie przede wszystkim terenów położonych wzdłuż drogi krajowej i wojewódzkiej. Wyznaczone zostaną także nowe tereny przeznaczone pod zainwestowanie instalacji odnawialnych źródeł energii (głównie elektrowni fotowoltaicznych). Niezwykle istotne jest również wybudowanie zbiorników retencyjnych, których prawdopodobna lokalizacja aktualni</w:t>
      </w:r>
      <w:r w:rsidR="00EC7AE6">
        <w:rPr>
          <w:bCs/>
        </w:rPr>
        <w:t>e jest elementem konsultacji ze </w:t>
      </w:r>
      <w:r w:rsidRPr="00633DE1">
        <w:rPr>
          <w:bCs/>
        </w:rPr>
        <w:t>społecznością lokaln</w:t>
      </w:r>
      <w:r w:rsidR="00B36D48">
        <w:rPr>
          <w:bCs/>
        </w:rPr>
        <w:t>ą</w:t>
      </w:r>
      <w:r w:rsidRPr="00633DE1">
        <w:rPr>
          <w:bCs/>
        </w:rPr>
        <w:t xml:space="preserve"> oraz organami odpowiedzialny za gospodarkę wodami.</w:t>
      </w:r>
      <w:r w:rsidR="00B36D48">
        <w:rPr>
          <w:bCs/>
        </w:rPr>
        <w:t xml:space="preserve"> Tereny zagrożone </w:t>
      </w:r>
      <w:r w:rsidR="007C6645">
        <w:rPr>
          <w:bCs/>
        </w:rPr>
        <w:t>powodzią są</w:t>
      </w:r>
      <w:r w:rsidR="00B36D48">
        <w:rPr>
          <w:bCs/>
        </w:rPr>
        <w:t xml:space="preserve"> wyłączone z zabudowy.</w:t>
      </w:r>
    </w:p>
    <w:p w:rsidR="001A47FE" w:rsidRPr="00EC7AE6" w:rsidRDefault="001A47FE" w:rsidP="00EC7AE6">
      <w:pPr>
        <w:rPr>
          <w:rFonts w:cstheme="minorHAnsi"/>
          <w:u w:val="single"/>
        </w:rPr>
      </w:pPr>
      <w:r w:rsidRPr="00EC7AE6">
        <w:rPr>
          <w:rFonts w:cstheme="minorHAnsi"/>
          <w:u w:val="single"/>
        </w:rPr>
        <w:t>Strefa podmiejska:</w:t>
      </w:r>
    </w:p>
    <w:p w:rsidR="001A47FE" w:rsidRDefault="001A47FE" w:rsidP="00EC7AE6">
      <w:pPr>
        <w:rPr>
          <w:rFonts w:cstheme="minorHAnsi"/>
        </w:rPr>
      </w:pPr>
      <w:r w:rsidRPr="00EC7AE6">
        <w:rPr>
          <w:rFonts w:cstheme="minorHAnsi"/>
        </w:rPr>
        <w:t>Z uwagi na pierścieniowe położenie gminy względem miasta Hrubieszów, stanowi ona naturalną strefą podmiejską dla tego miasta, co może stanowić istotny potencjał rozwoju gminy, a co za tym idzie obszaru HOF. Ze względu na niewielki rozwój przestrzenny miasta Hrubieszów (duże rezerwy terenowe w granicach miasta) rozbudowa strefy podmiejskiej jest ograniczona</w:t>
      </w:r>
      <w:r w:rsidR="00EC7AE6">
        <w:rPr>
          <w:rFonts w:cstheme="minorHAnsi"/>
        </w:rPr>
        <w:t xml:space="preserve"> i </w:t>
      </w:r>
      <w:r w:rsidRPr="00EC7AE6">
        <w:rPr>
          <w:rFonts w:cstheme="minorHAnsi"/>
        </w:rPr>
        <w:t>spowolniona. Tym niemniej trzeba się liczyć z urbanizacją części Gminy Hrubieszów w bezpośrednim sąsiedztwie z miastem, szczególnie w jej wschodnich częściach (Gródek, Teptiuków, Świerszczów). Można zakładać, że część zabudowy wskazanych ośrodków rekreacyjnych będzie związana z Miastem Hrubieszów, dotyczy to zabudowy mieszkaniowej podmiejskiej, niektórych usług, itp. Należy również liczyć się z lokalizacj</w:t>
      </w:r>
      <w:r w:rsidR="00381D92" w:rsidRPr="00EC7AE6">
        <w:rPr>
          <w:rFonts w:cstheme="minorHAnsi"/>
        </w:rPr>
        <w:t xml:space="preserve">ą w strefie podmiejskiej </w:t>
      </w:r>
      <w:r w:rsidRPr="00EC7AE6">
        <w:rPr>
          <w:rFonts w:cstheme="minorHAnsi"/>
        </w:rPr>
        <w:t>niektórych elementów infrastruktury technicznej będącej w bezpośrednim użytkowaniu przez miasto.</w:t>
      </w:r>
    </w:p>
    <w:p w:rsidR="00A276F7" w:rsidRPr="00A276F7" w:rsidRDefault="00A276F7" w:rsidP="00A276F7">
      <w:pPr>
        <w:rPr>
          <w:rFonts w:cstheme="minorHAnsi"/>
          <w:u w:val="single"/>
        </w:rPr>
      </w:pPr>
      <w:r w:rsidRPr="00A276F7">
        <w:rPr>
          <w:rFonts w:cstheme="minorHAnsi"/>
          <w:u w:val="single"/>
        </w:rPr>
        <w:t>Obszary cenne przyrodniczo oraz tworzące system przyrodniczy HOF</w:t>
      </w:r>
    </w:p>
    <w:p w:rsidR="004F330F" w:rsidRDefault="004F330F" w:rsidP="00A276F7">
      <w:r>
        <w:rPr>
          <w:rFonts w:cstheme="minorHAnsi"/>
        </w:rPr>
        <w:t xml:space="preserve">Ze względu na konieczność ochrony zasobów środowiska na obszarach cennych przyrodniczo oraz tworzących system przyrodniczy HOF zabrania się lokalizacji inwestycji mogących w znaczący sposób oddziaływać na środowisko. </w:t>
      </w:r>
      <w:r w:rsidR="00A276F7">
        <w:rPr>
          <w:rFonts w:cstheme="minorHAnsi"/>
        </w:rPr>
        <w:t xml:space="preserve">W dolinach rzecznych nie można umieszczać zabudowy z wyjątkiem koniecznej infrastruktury technicznej i komunalnej oraz nasypów ziemnych usytuowanych poprzecznie do przebiegu doliny. Zabrania się zmiany </w:t>
      </w:r>
      <w:r w:rsidR="00A276F7">
        <w:t>przeznaczenia gruntów leśnych na cele nieleśne, za wyjątkiem koniecznej infrastruktury technicznej i komunalnej.</w:t>
      </w:r>
    </w:p>
    <w:p w:rsidR="00A276F7" w:rsidRDefault="00A276F7" w:rsidP="00A276F7">
      <w:pPr>
        <w:spacing w:after="0"/>
      </w:pPr>
      <w:r>
        <w:t>Na obszarach tych dopuszcza się:</w:t>
      </w:r>
    </w:p>
    <w:p w:rsidR="00A276F7" w:rsidRDefault="00A276F7" w:rsidP="00A13FA7">
      <w:pPr>
        <w:pStyle w:val="Akapitzlist"/>
        <w:numPr>
          <w:ilvl w:val="0"/>
          <w:numId w:val="43"/>
        </w:numPr>
        <w:ind w:left="567"/>
      </w:pPr>
      <w:proofErr w:type="gramStart"/>
      <w:r>
        <w:t>lokalizację</w:t>
      </w:r>
      <w:proofErr w:type="gramEnd"/>
      <w:r>
        <w:t xml:space="preserve"> małych zbiorników wodnych dla potrzeb energetycznych, agroturystyki i rekreacji lub gospodarki rybackiej z pozostawieniem znaczącego udziału obrzeży z obudową biologiczną.</w:t>
      </w:r>
    </w:p>
    <w:p w:rsidR="00A276F7" w:rsidRDefault="00A276F7" w:rsidP="00A13FA7">
      <w:pPr>
        <w:pStyle w:val="Akapitzlist"/>
        <w:numPr>
          <w:ilvl w:val="0"/>
          <w:numId w:val="43"/>
        </w:numPr>
        <w:ind w:left="567"/>
      </w:pPr>
      <w:proofErr w:type="gramStart"/>
      <w:r>
        <w:t>lokalizację</w:t>
      </w:r>
      <w:proofErr w:type="gramEnd"/>
      <w:r>
        <w:t xml:space="preserve"> ścieżek przyrodniczo-krajoznawczych dla potrzeb agroturystyki oraz szlaków rowerowych i miejsc wypoczynku, poza obszarami kompleksów leśnych, które pełnią funkcje lokalnych węzłów ekologicznych</w:t>
      </w:r>
    </w:p>
    <w:p w:rsidR="00A276F7" w:rsidRDefault="00A276F7" w:rsidP="00A13FA7">
      <w:pPr>
        <w:pStyle w:val="Akapitzlist"/>
        <w:numPr>
          <w:ilvl w:val="0"/>
          <w:numId w:val="43"/>
        </w:numPr>
        <w:ind w:left="567"/>
      </w:pPr>
      <w:proofErr w:type="gramStart"/>
      <w:r>
        <w:lastRenderedPageBreak/>
        <w:t>zwiększanie</w:t>
      </w:r>
      <w:proofErr w:type="gramEnd"/>
      <w:r>
        <w:t xml:space="preserve"> zasobów środowiska i bioróżnorodności terenu poprzez zalesienia gruntów nieprzydatnych do produkcji rolniczej oraz utrzymanie istniejących </w:t>
      </w:r>
      <w:proofErr w:type="spellStart"/>
      <w:r>
        <w:t>zadrzewień</w:t>
      </w:r>
      <w:proofErr w:type="spellEnd"/>
      <w:r>
        <w:t xml:space="preserve"> i </w:t>
      </w:r>
      <w:proofErr w:type="spellStart"/>
      <w:r>
        <w:t>zakrzaczeń</w:t>
      </w:r>
      <w:proofErr w:type="spellEnd"/>
      <w:r>
        <w:t xml:space="preserve"> śródpolnych, utrzymanie oraz odtwarzanie </w:t>
      </w:r>
      <w:proofErr w:type="spellStart"/>
      <w:r>
        <w:t>zadrzewień</w:t>
      </w:r>
      <w:proofErr w:type="spellEnd"/>
      <w:r>
        <w:t xml:space="preserve"> przydrożnych</w:t>
      </w:r>
    </w:p>
    <w:p w:rsidR="00A276F7" w:rsidRPr="00A276F7" w:rsidRDefault="00A276F7" w:rsidP="00A13FA7">
      <w:pPr>
        <w:pStyle w:val="Akapitzlist"/>
        <w:numPr>
          <w:ilvl w:val="0"/>
          <w:numId w:val="43"/>
        </w:numPr>
        <w:ind w:left="567"/>
        <w:rPr>
          <w:rFonts w:cstheme="minorHAnsi"/>
        </w:rPr>
      </w:pPr>
      <w:proofErr w:type="gramStart"/>
      <w:r>
        <w:t>przeznaczenie</w:t>
      </w:r>
      <w:proofErr w:type="gramEnd"/>
      <w:r>
        <w:t xml:space="preserve"> pod budownictwo letniskowe gruntów pod warunkiem rozwiązania problemów zaopatrzenia w wodę, odprowadzania i oczyszczania ścieków o</w:t>
      </w:r>
      <w:r w:rsidR="00A34C14">
        <w:t>raz realizacji nowej zabudowy z </w:t>
      </w:r>
      <w:r>
        <w:t>zachowaniem lokalnych tradycji budowlanych.</w:t>
      </w:r>
    </w:p>
    <w:p w:rsidR="007C7160" w:rsidRDefault="007C7160" w:rsidP="00381D92">
      <w:pPr>
        <w:rPr>
          <w:b/>
          <w:bCs/>
          <w:u w:val="single"/>
        </w:rPr>
      </w:pPr>
      <w:r w:rsidRPr="00633DE1">
        <w:rPr>
          <w:b/>
          <w:bCs/>
          <w:u w:val="single"/>
        </w:rPr>
        <w:t>Zasady kształtowania struktury</w:t>
      </w:r>
      <w:r>
        <w:rPr>
          <w:b/>
          <w:bCs/>
          <w:u w:val="single"/>
        </w:rPr>
        <w:t xml:space="preserve"> terenów rolniczej przestrzeni produkcyjnej</w:t>
      </w:r>
    </w:p>
    <w:p w:rsidR="007C7160" w:rsidRDefault="007C7160" w:rsidP="007C7160">
      <w:r w:rsidRPr="007C7160">
        <w:t>Tereny rolniczej przestrzeni produkcyjnej stanowią przeważająca część Hrubieszowskiego Obszaru Produkcyjnego. Są to tereny zapewniające bazę pod funkcjonowanie rolnictwa i leśnictwa, stanowiące podstawę produkcyjną, pełniąc jednocześnie zadania ekologiczne i krajobrazowe.</w:t>
      </w:r>
      <w:r w:rsidR="00230A2E">
        <w:t xml:space="preserve"> Zaleca się zachowanie dotychczasowego sposobu użytkowania terenów</w:t>
      </w:r>
      <w:r w:rsidR="005E18D8">
        <w:t xml:space="preserve"> rolnych (uprawy polowe, łąki i </w:t>
      </w:r>
      <w:r w:rsidR="00230A2E">
        <w:t xml:space="preserve">pastwiska). </w:t>
      </w:r>
      <w:r w:rsidR="000C1320">
        <w:t xml:space="preserve">Konieczne jest zachowanie śródpolnych enklaw naturalnych ekosystemów stepowych, </w:t>
      </w:r>
      <w:proofErr w:type="spellStart"/>
      <w:r w:rsidR="000C1320">
        <w:t>zadrzewień</w:t>
      </w:r>
      <w:proofErr w:type="spellEnd"/>
      <w:r w:rsidR="000C1320">
        <w:t xml:space="preserve"> śródpolnych i </w:t>
      </w:r>
      <w:proofErr w:type="spellStart"/>
      <w:r w:rsidR="000C1320">
        <w:t>śródłąkowych</w:t>
      </w:r>
      <w:proofErr w:type="spellEnd"/>
      <w:r w:rsidR="000C1320">
        <w:t xml:space="preserve"> oraz odpowiednie kształtowanie stref przejściowych /</w:t>
      </w:r>
      <w:proofErr w:type="spellStart"/>
      <w:r w:rsidR="000C1320">
        <w:t>ekotonowych</w:t>
      </w:r>
      <w:proofErr w:type="spellEnd"/>
      <w:r w:rsidR="000C1320">
        <w:t>/ na granicy z lasami oraz z wodami.</w:t>
      </w:r>
    </w:p>
    <w:p w:rsidR="007C7160" w:rsidRPr="00463AF0" w:rsidRDefault="007C7160" w:rsidP="007C7160">
      <w:pPr>
        <w:spacing w:before="0"/>
        <w:rPr>
          <w:rFonts w:cstheme="minorHAnsi"/>
        </w:rPr>
      </w:pPr>
      <w:r w:rsidRPr="00463AF0">
        <w:rPr>
          <w:rFonts w:cstheme="minorHAnsi"/>
        </w:rPr>
        <w:t xml:space="preserve">Z uwagi na dalszy rozwój funkcji rolniczych w </w:t>
      </w:r>
      <w:r>
        <w:rPr>
          <w:rFonts w:cstheme="minorHAnsi"/>
        </w:rPr>
        <w:t>G</w:t>
      </w:r>
      <w:r w:rsidRPr="00463AF0">
        <w:rPr>
          <w:rFonts w:cstheme="minorHAnsi"/>
        </w:rPr>
        <w:t>minie</w:t>
      </w:r>
      <w:r>
        <w:rPr>
          <w:rFonts w:cstheme="minorHAnsi"/>
        </w:rPr>
        <w:t xml:space="preserve"> Hrubieszów</w:t>
      </w:r>
      <w:r w:rsidRPr="00463AF0">
        <w:rPr>
          <w:rFonts w:cstheme="minorHAnsi"/>
        </w:rPr>
        <w:t xml:space="preserve"> (również w kontekście rozwoju OSI Żywicielski), proponuje się stworzenie warunkó</w:t>
      </w:r>
      <w:r w:rsidR="005E18D8">
        <w:rPr>
          <w:rFonts w:cstheme="minorHAnsi"/>
        </w:rPr>
        <w:t xml:space="preserve">w przestrzennych dla </w:t>
      </w:r>
      <w:proofErr w:type="gramStart"/>
      <w:r w:rsidR="005E18D8">
        <w:rPr>
          <w:rFonts w:cstheme="minorHAnsi"/>
        </w:rPr>
        <w:t>rozwoju co</w:t>
      </w:r>
      <w:proofErr w:type="gramEnd"/>
      <w:r w:rsidR="005E18D8">
        <w:rPr>
          <w:rFonts w:cstheme="minorHAnsi"/>
        </w:rPr>
        <w:t> </w:t>
      </w:r>
      <w:r w:rsidRPr="00463AF0">
        <w:rPr>
          <w:rFonts w:cstheme="minorHAnsi"/>
        </w:rPr>
        <w:t>najmniej dwóch ośrodków obsługi rolni</w:t>
      </w:r>
      <w:r>
        <w:rPr>
          <w:rFonts w:cstheme="minorHAnsi"/>
        </w:rPr>
        <w:t>ctwa i funkcji towarzyszących zlokalizowanych w </w:t>
      </w:r>
      <w:proofErr w:type="spellStart"/>
      <w:r w:rsidRPr="00463AF0">
        <w:rPr>
          <w:rFonts w:cstheme="minorHAnsi"/>
        </w:rPr>
        <w:t>Moniatyczach</w:t>
      </w:r>
      <w:proofErr w:type="spellEnd"/>
      <w:r w:rsidRPr="00463AF0">
        <w:rPr>
          <w:rFonts w:cstheme="minorHAnsi"/>
        </w:rPr>
        <w:t xml:space="preserve"> (ośrodek R</w:t>
      </w:r>
      <w:r>
        <w:rPr>
          <w:rFonts w:cstheme="minorHAnsi"/>
        </w:rPr>
        <w:t>1</w:t>
      </w:r>
      <w:r w:rsidRPr="00463AF0">
        <w:rPr>
          <w:rFonts w:cstheme="minorHAnsi"/>
        </w:rPr>
        <w:t xml:space="preserve">) – dla obsługi północnej części </w:t>
      </w:r>
      <w:r>
        <w:rPr>
          <w:rFonts w:cstheme="minorHAnsi"/>
        </w:rPr>
        <w:t>G</w:t>
      </w:r>
      <w:r w:rsidRPr="00463AF0">
        <w:rPr>
          <w:rFonts w:cstheme="minorHAnsi"/>
        </w:rPr>
        <w:t xml:space="preserve">miny – oraz Czerniczynie (ośrodek R2) – </w:t>
      </w:r>
      <w:r>
        <w:rPr>
          <w:rFonts w:cstheme="minorHAnsi"/>
        </w:rPr>
        <w:t>dla obsługi południowej części G</w:t>
      </w:r>
      <w:r w:rsidRPr="00463AF0">
        <w:rPr>
          <w:rFonts w:cstheme="minorHAnsi"/>
        </w:rPr>
        <w:t xml:space="preserve">miny. Oba ośrodki są już dość dobrze rozwinięte łatwo dostępne od strony komunikacyjnej – leżą przy głównej osi komunikacyjnej </w:t>
      </w:r>
      <w:r>
        <w:rPr>
          <w:rFonts w:cstheme="minorHAnsi"/>
        </w:rPr>
        <w:t>G</w:t>
      </w:r>
      <w:r w:rsidRPr="00463AF0">
        <w:rPr>
          <w:rFonts w:cstheme="minorHAnsi"/>
        </w:rPr>
        <w:t xml:space="preserve">miny (drogi nr 844), która też wiąże je z centrum </w:t>
      </w:r>
      <w:r>
        <w:rPr>
          <w:rFonts w:cstheme="minorHAnsi"/>
        </w:rPr>
        <w:t>M</w:t>
      </w:r>
      <w:r w:rsidRPr="00463AF0">
        <w:rPr>
          <w:rFonts w:cstheme="minorHAnsi"/>
        </w:rPr>
        <w:t xml:space="preserve">iasta. </w:t>
      </w:r>
      <w:r>
        <w:rPr>
          <w:rFonts w:cstheme="minorHAnsi"/>
        </w:rPr>
        <w:t>Na terenie Gminy Miejskiej Hrubieszów również powinny zostać wzbogacone funkcje otoczenia rolnictwa.</w:t>
      </w:r>
    </w:p>
    <w:p w:rsidR="007C7160" w:rsidRDefault="007C7160" w:rsidP="007C7160">
      <w:pPr>
        <w:spacing w:before="0"/>
        <w:rPr>
          <w:rFonts w:cstheme="minorHAnsi"/>
        </w:rPr>
      </w:pPr>
      <w:r w:rsidRPr="00463AF0">
        <w:rPr>
          <w:rFonts w:cstheme="minorHAnsi"/>
        </w:rPr>
        <w:t xml:space="preserve">Na obszarze </w:t>
      </w:r>
      <w:r>
        <w:rPr>
          <w:rFonts w:cstheme="minorHAnsi"/>
        </w:rPr>
        <w:t>G</w:t>
      </w:r>
      <w:r w:rsidRPr="00463AF0">
        <w:rPr>
          <w:rFonts w:cstheme="minorHAnsi"/>
        </w:rPr>
        <w:t>miny</w:t>
      </w:r>
      <w:r>
        <w:rPr>
          <w:rFonts w:cstheme="minorHAnsi"/>
        </w:rPr>
        <w:t xml:space="preserve"> Hrubieszów</w:t>
      </w:r>
      <w:r w:rsidRPr="00463AF0">
        <w:rPr>
          <w:rFonts w:cstheme="minorHAnsi"/>
        </w:rPr>
        <w:t>, szczególnie w rejonie Strzele</w:t>
      </w:r>
      <w:r>
        <w:rPr>
          <w:rFonts w:cstheme="minorHAnsi"/>
        </w:rPr>
        <w:t>ckiego Parku Krajobrazowego i w </w:t>
      </w:r>
      <w:r w:rsidRPr="00463AF0">
        <w:rPr>
          <w:rFonts w:cstheme="minorHAnsi"/>
        </w:rPr>
        <w:t>paśmie korytarza ekologicznego doliny Bugu wskazane jest również rozwijanie rolnictwa ekologicznego.</w:t>
      </w:r>
    </w:p>
    <w:p w:rsidR="00230A2E" w:rsidRDefault="00230A2E" w:rsidP="007C7160">
      <w:pPr>
        <w:spacing w:before="0"/>
        <w:rPr>
          <w:rFonts w:cstheme="minorHAnsi"/>
        </w:rPr>
      </w:pPr>
      <w:r>
        <w:rPr>
          <w:rFonts w:cstheme="minorHAnsi"/>
        </w:rPr>
        <w:t xml:space="preserve">W celu </w:t>
      </w:r>
      <w:r w:rsidR="00EF0A46">
        <w:rPr>
          <w:rFonts w:cstheme="minorHAnsi"/>
        </w:rPr>
        <w:t>ochrony walorów przestrzeni rolniczej zaleca się minimalizowanie negatywnego wpływu na krajobraz ruralistyczny obiektów kubaturowych poprzez ograniczenie zajmowanych przez nie powierzchni i wysokości obiektów.</w:t>
      </w:r>
    </w:p>
    <w:p w:rsidR="00381D92" w:rsidRDefault="00381D92" w:rsidP="00381D92">
      <w:pPr>
        <w:rPr>
          <w:b/>
          <w:bCs/>
          <w:u w:val="single"/>
        </w:rPr>
      </w:pPr>
      <w:r w:rsidRPr="00381D92">
        <w:rPr>
          <w:b/>
          <w:bCs/>
          <w:u w:val="single"/>
        </w:rPr>
        <w:t>Zasady kształtowania struktury układu komunikacji</w:t>
      </w:r>
    </w:p>
    <w:p w:rsidR="00823015" w:rsidRDefault="00381D92" w:rsidP="00381D92">
      <w:pPr>
        <w:rPr>
          <w:bCs/>
        </w:rPr>
      </w:pPr>
      <w:r w:rsidRPr="00396B77">
        <w:rPr>
          <w:bCs/>
        </w:rPr>
        <w:t xml:space="preserve">W najbliższym czasie nie są przewidywane istotne zmiany w układzie komunikacyjnym dróg gminnych i powiatowych. W planach jest budowa obwodnicy dla Miasta Hrubieszów zmieniająca przebieg drogi wojewódzkiej – projektowane zmiany zostały ujęte na </w:t>
      </w:r>
      <w:r>
        <w:rPr>
          <w:bCs/>
        </w:rPr>
        <w:t>rycinie:</w:t>
      </w:r>
      <w:r w:rsidRPr="00396B77">
        <w:rPr>
          <w:bCs/>
        </w:rPr>
        <w:t xml:space="preserve"> Model funkcjonalno-przestrzenny </w:t>
      </w:r>
      <w:r>
        <w:rPr>
          <w:bCs/>
        </w:rPr>
        <w:t>HOF</w:t>
      </w:r>
      <w:r w:rsidRPr="00396B77">
        <w:rPr>
          <w:bCs/>
        </w:rPr>
        <w:t xml:space="preserve"> wynikający z obowiązujących dokumentów planistycznych w okolicy miejscowości Świerszczów oraz Teptiuków.</w:t>
      </w:r>
      <w:r>
        <w:rPr>
          <w:bCs/>
        </w:rPr>
        <w:t xml:space="preserve"> </w:t>
      </w:r>
      <w:r w:rsidRPr="00396B77">
        <w:rPr>
          <w:bCs/>
        </w:rPr>
        <w:t>Dodatkowo zakłada się niezbędne modernizacje dróg i ulic oraz budowę nowych odcinków dróg i ulic, w miarę pojawiania się potrzeb w tym zakresie</w:t>
      </w:r>
      <w:r w:rsidR="005E18D8">
        <w:rPr>
          <w:bCs/>
        </w:rPr>
        <w:t>, szczególnie na </w:t>
      </w:r>
      <w:r>
        <w:rPr>
          <w:bCs/>
        </w:rPr>
        <w:t xml:space="preserve">granicy Gminy Miejskiej Hrubieszów oraz Gminy Hrubieszów w celu poprawienia komunikacji </w:t>
      </w:r>
      <w:r w:rsidR="00EC7AE6">
        <w:rPr>
          <w:bCs/>
        </w:rPr>
        <w:t>wewnętrznej.</w:t>
      </w:r>
      <w:r w:rsidRPr="00396B77">
        <w:rPr>
          <w:bCs/>
        </w:rPr>
        <w:t xml:space="preserve"> </w:t>
      </w:r>
      <w:r w:rsidR="001F3C88">
        <w:rPr>
          <w:bCs/>
        </w:rPr>
        <w:t xml:space="preserve"> W celu </w:t>
      </w:r>
      <w:proofErr w:type="gramStart"/>
      <w:r w:rsidR="001F3C88">
        <w:rPr>
          <w:bCs/>
        </w:rPr>
        <w:t>poprawy jakości</w:t>
      </w:r>
      <w:proofErr w:type="gramEnd"/>
      <w:r w:rsidR="001F3C88">
        <w:rPr>
          <w:bCs/>
        </w:rPr>
        <w:t xml:space="preserve"> powiązań transport</w:t>
      </w:r>
      <w:r w:rsidR="005E18D8">
        <w:rPr>
          <w:bCs/>
        </w:rPr>
        <w:t>owych oraz poprawy sprawności i </w:t>
      </w:r>
      <w:r w:rsidR="001F3C88">
        <w:rPr>
          <w:bCs/>
        </w:rPr>
        <w:t>bezpieczeństwa ruchu zaleca się wprowadzenie lub utrzymanie r</w:t>
      </w:r>
      <w:r w:rsidR="005E18D8">
        <w:rPr>
          <w:bCs/>
        </w:rPr>
        <w:t>ezerw terenowych niezbędnych do </w:t>
      </w:r>
      <w:r w:rsidR="001F3C88">
        <w:rPr>
          <w:bCs/>
        </w:rPr>
        <w:t>realizacji kluczowych zamierzeń inwestycyjnych (np. rozbudowy i poprawy parametrów technicznych dróg).</w:t>
      </w:r>
    </w:p>
    <w:p w:rsidR="009454B0" w:rsidRDefault="009454B0" w:rsidP="00381D92">
      <w:pPr>
        <w:rPr>
          <w:bCs/>
        </w:rPr>
      </w:pPr>
      <w:r>
        <w:rPr>
          <w:bCs/>
        </w:rPr>
        <w:lastRenderedPageBreak/>
        <w:t xml:space="preserve">W granicach Hrubieszowskiego Obszaru Funkcjonalnego </w:t>
      </w:r>
      <w:r w:rsidRPr="00E75201">
        <w:t xml:space="preserve">w obszarze miasta </w:t>
      </w:r>
      <w:r>
        <w:t xml:space="preserve">znajdują się </w:t>
      </w:r>
      <w:r w:rsidRPr="00E75201">
        <w:t>tereny kolejowe linii normalnej i szerokotorowej z istniejącą infrastrukturą obsługi na stacjach Hrubieszów Osobowy i</w:t>
      </w:r>
      <w:r>
        <w:t xml:space="preserve"> </w:t>
      </w:r>
      <w:r w:rsidRPr="00E75201">
        <w:t>Hrubieszów Towarowy.</w:t>
      </w:r>
      <w:r w:rsidR="006016CF">
        <w:t xml:space="preserve"> Aby poprawić dostępność kolejową HOF w kierunku centrum kraju warto rozwinąć infrastrukturę kolejową w kierunku Chełma (obecnie brak t</w:t>
      </w:r>
      <w:r w:rsidR="009773E0">
        <w:t>orów kolejowych w tym kierunku) oraz zelektryfikowanie linii kolejowej na trasie Hrubieszów – Zamość.</w:t>
      </w:r>
    </w:p>
    <w:p w:rsidR="006016CF" w:rsidRDefault="00F045BE" w:rsidP="00A34C14">
      <w:r>
        <w:rPr>
          <w:rFonts w:cstheme="minorHAnsi"/>
        </w:rPr>
        <w:t>Hrubieszowski Obszar Funkcjonalny</w:t>
      </w:r>
      <w:r w:rsidRPr="007B3C94">
        <w:rPr>
          <w:rFonts w:cstheme="minorHAnsi"/>
        </w:rPr>
        <w:t xml:space="preserve"> </w:t>
      </w:r>
      <w:r w:rsidRPr="007B3C94">
        <w:t>zgodnie z obowiązującą Strategią Województwa Lubelskiego (SRWL) ze względu na przygraniczne położenie jest predestynowany do pełnienia kluczowej roli w obsłudze międzynarodowego ruchu granicznego z Ukrainą. W SRWL zdiagnozowano niedobory w ilości przejść granicznych oraz niedostatecznie rozwini</w:t>
      </w:r>
      <w:r w:rsidR="005E18D8">
        <w:t>ętą infrastrukturę techniczną w </w:t>
      </w:r>
      <w:r w:rsidRPr="007B3C94">
        <w:t>obrębie już istniejących przejść. Działania prowadzące do poprawy tego stanu rzeczy mogą się pozytywnie przełożyć na rozwój transportu i lokalnej gospodarki HOF</w:t>
      </w:r>
      <w:r w:rsidRPr="009936FD">
        <w:t>.</w:t>
      </w:r>
      <w:r w:rsidR="009936FD" w:rsidRPr="009936FD">
        <w:t xml:space="preserve"> </w:t>
      </w:r>
      <w:r w:rsidR="009936FD">
        <w:t>Obszaru „G” w rejonie Gródka przeznaczony został</w:t>
      </w:r>
      <w:r w:rsidR="009936FD" w:rsidRPr="009936FD">
        <w:t xml:space="preserve"> na funkcję usług i biznesu przygranicznego, w tym: terminalu, strefy wolnocłowej, infrastruktury związanej z handlem, działalnością hotelową i gastronomiczną, obsługą ruchu pasażerskiego i turystycznego. Obszar będzie powiązany funkcjonalnie z centrum usługowym </w:t>
      </w:r>
      <w:r w:rsidR="009936FD">
        <w:t>M</w:t>
      </w:r>
      <w:r w:rsidR="009936FD" w:rsidRPr="009936FD">
        <w:t>iasta Hrub</w:t>
      </w:r>
      <w:r w:rsidR="009936FD">
        <w:t xml:space="preserve">ieszowa, a zarazem bezpośrednio </w:t>
      </w:r>
      <w:r w:rsidR="009936FD" w:rsidRPr="009936FD">
        <w:t>z funkcjonującymi i planowanymi przejściami granicznymi.</w:t>
      </w:r>
      <w:r w:rsidR="00A34C14">
        <w:t xml:space="preserve"> </w:t>
      </w:r>
      <w:r w:rsidR="006016CF">
        <w:t>Dopuszcza się możliwość realizacji w </w:t>
      </w:r>
      <w:r w:rsidR="006016CF" w:rsidRPr="00E75201">
        <w:t>terenach kolejo</w:t>
      </w:r>
      <w:r w:rsidR="00A34C14">
        <w:t>wych zamierzeń inwestycyjnych o </w:t>
      </w:r>
      <w:r w:rsidR="006016CF" w:rsidRPr="00E75201">
        <w:t>funkcji usługowej, mieszkalnej, przemysłowo – usługowej i kolejowej.</w:t>
      </w:r>
    </w:p>
    <w:p w:rsidR="001F3C88" w:rsidRDefault="001F3C88" w:rsidP="00F045BE">
      <w:r>
        <w:t>W celu zapewnienia dostępności do ośrodków obsługi skupiających funkcje usługowe (głównie Miasto Hrubieszów, ale również większe miejscowości Gminy Hrubieszów)</w:t>
      </w:r>
      <w:r w:rsidR="009936FD">
        <w:t xml:space="preserve"> oraz zwiększenia mobilności mieszkańców w polityce przestrzennej powinno zostać uwzględnione przywrócen</w:t>
      </w:r>
      <w:r w:rsidR="005E18D8">
        <w:t>ie i </w:t>
      </w:r>
      <w:r w:rsidR="009936FD">
        <w:t>usprawnienie powiązań komunikacyjnych pomiędzy miejscowościami (szczególnie mniejszymi, obecnie wykluczonymi komunikacyjnie).</w:t>
      </w:r>
    </w:p>
    <w:p w:rsidR="007400CB" w:rsidRPr="00A423BD" w:rsidRDefault="007400CB" w:rsidP="00C47F58">
      <w:r w:rsidRPr="00A423BD">
        <w:t>P</w:t>
      </w:r>
      <w:r w:rsidR="00061671" w:rsidRPr="00A423BD">
        <w:t>r</w:t>
      </w:r>
      <w:r w:rsidRPr="00A423BD">
        <w:t>zeprowadzenie</w:t>
      </w:r>
      <w:r w:rsidR="00061671" w:rsidRPr="00A423BD">
        <w:t xml:space="preserve"> wcześniejszych analiz i badań, przy szeroko prowadzonych konsultacjach społecznych uwzgledniających zarówno spektrum grup interesariuszy jak i różnych dostępnych narzędzi i metod konsultacji,</w:t>
      </w:r>
      <w:r w:rsidRPr="00A423BD">
        <w:t xml:space="preserve"> posłuży spełnieniu wymogów Wytycznych „Opracowanie i wdrożenie planu zrównoważonej </w:t>
      </w:r>
      <w:r w:rsidR="00784489" w:rsidRPr="00A423BD">
        <w:t>M</w:t>
      </w:r>
      <w:r w:rsidRPr="00A423BD">
        <w:t xml:space="preserve">obilności </w:t>
      </w:r>
      <w:r w:rsidR="00784489" w:rsidRPr="00A423BD">
        <w:t>Miejskiej”</w:t>
      </w:r>
      <w:r w:rsidRPr="00A423BD">
        <w:t xml:space="preserve">. Analiza diagnostyczna oraz pozyskane dane z partycypacji społecznej umożliwią realizację projektów związanych ze zrównoważoną mobilnością na obszarach miejskich. Niniejsza Strategia obejmuje </w:t>
      </w:r>
      <w:r w:rsidR="00784489" w:rsidRPr="00A423BD">
        <w:t>szereg</w:t>
      </w:r>
      <w:r w:rsidRPr="00A423BD">
        <w:t xml:space="preserve"> zasad zrównoważonej mobilności </w:t>
      </w:r>
      <w:r w:rsidR="00784489" w:rsidRPr="00A423BD">
        <w:t>miejskiej, do których</w:t>
      </w:r>
      <w:r w:rsidRPr="00A423BD">
        <w:t xml:space="preserve"> należą:</w:t>
      </w:r>
    </w:p>
    <w:p w:rsidR="00721237" w:rsidRPr="00A423BD" w:rsidRDefault="007400CB" w:rsidP="00784489">
      <w:pPr>
        <w:ind w:firstLine="0"/>
        <w:rPr>
          <w:rFonts w:cstheme="minorHAnsi"/>
        </w:rPr>
      </w:pPr>
      <w:r w:rsidRPr="00A423BD">
        <w:t xml:space="preserve"> </w:t>
      </w:r>
      <w:r w:rsidR="00721237" w:rsidRPr="00A423BD">
        <w:rPr>
          <w:rFonts w:cstheme="minorHAnsi"/>
        </w:rPr>
        <w:t>1) Obejmuje wszystkie właściwe gałęzie transportu i formy mobilności,</w:t>
      </w:r>
    </w:p>
    <w:p w:rsidR="00721237" w:rsidRPr="00A423BD" w:rsidRDefault="00721237" w:rsidP="00721237">
      <w:pPr>
        <w:spacing w:after="0"/>
        <w:ind w:firstLine="0"/>
        <w:rPr>
          <w:rFonts w:cstheme="minorHAnsi"/>
        </w:rPr>
      </w:pPr>
      <w:r w:rsidRPr="00A423BD">
        <w:rPr>
          <w:rFonts w:cstheme="minorHAnsi"/>
        </w:rPr>
        <w:t>2) Został przygotowany przy niezbędnej współpracy między zainteresowanymi instytucjami i jednostkami terytorialnymi,</w:t>
      </w:r>
    </w:p>
    <w:p w:rsidR="00721237" w:rsidRPr="00A423BD" w:rsidRDefault="00721237" w:rsidP="00721237">
      <w:pPr>
        <w:spacing w:after="0"/>
        <w:ind w:firstLine="0"/>
        <w:rPr>
          <w:rFonts w:cstheme="minorHAnsi"/>
        </w:rPr>
      </w:pPr>
      <w:r w:rsidRPr="00A423BD">
        <w:rPr>
          <w:rFonts w:cstheme="minorHAnsi"/>
        </w:rPr>
        <w:t>3) Zapewnia spójność i komplementarność względem innych polityk miejskich (np. polityki zdrowia, środowiska, edukacji, bezpieczeństwa, polityki społecznej, planowania przestrzennego itd.),</w:t>
      </w:r>
    </w:p>
    <w:p w:rsidR="00721237" w:rsidRPr="00A423BD" w:rsidRDefault="00721237" w:rsidP="00721237">
      <w:pPr>
        <w:spacing w:after="0"/>
        <w:ind w:firstLine="0"/>
        <w:rPr>
          <w:rFonts w:cstheme="minorHAnsi"/>
        </w:rPr>
      </w:pPr>
      <w:r w:rsidRPr="00A423BD">
        <w:rPr>
          <w:rFonts w:cstheme="minorHAnsi"/>
        </w:rPr>
        <w:t>4) Został opracowany przy zapewnieniu właściwej partycypacji społecznej i zaangażowaniu interesariuszy,</w:t>
      </w:r>
    </w:p>
    <w:p w:rsidR="00721237" w:rsidRPr="00A423BD" w:rsidRDefault="00721237" w:rsidP="00721237">
      <w:pPr>
        <w:spacing w:after="0"/>
        <w:ind w:firstLine="0"/>
        <w:rPr>
          <w:rFonts w:cstheme="minorHAnsi"/>
        </w:rPr>
      </w:pPr>
      <w:r w:rsidRPr="00A423BD">
        <w:rPr>
          <w:rFonts w:cstheme="minorHAnsi"/>
        </w:rPr>
        <w:t>5) Formułuje długofalową wizję rozwoju zrównoważonej mobilności na obszarze MOF,</w:t>
      </w:r>
    </w:p>
    <w:p w:rsidR="00721237" w:rsidRPr="00A423BD" w:rsidRDefault="00721237" w:rsidP="00721237">
      <w:pPr>
        <w:spacing w:after="0"/>
        <w:ind w:firstLine="0"/>
        <w:rPr>
          <w:rFonts w:cstheme="minorHAnsi"/>
        </w:rPr>
      </w:pPr>
      <w:r w:rsidRPr="00A423BD">
        <w:rPr>
          <w:rFonts w:cstheme="minorHAnsi"/>
        </w:rPr>
        <w:t xml:space="preserve">6) Określa mierzalne cele i wskaźniki </w:t>
      </w:r>
      <w:proofErr w:type="gramStart"/>
      <w:r w:rsidRPr="00A423BD">
        <w:rPr>
          <w:rFonts w:cstheme="minorHAnsi"/>
        </w:rPr>
        <w:t>obejmujące co</w:t>
      </w:r>
      <w:proofErr w:type="gramEnd"/>
      <w:r w:rsidRPr="00A423BD">
        <w:rPr>
          <w:rFonts w:cstheme="minorHAnsi"/>
        </w:rPr>
        <w:t xml:space="preserve"> najmniej:</w:t>
      </w:r>
    </w:p>
    <w:p w:rsidR="00721237" w:rsidRPr="00A423BD" w:rsidRDefault="00721237" w:rsidP="00A13FA7">
      <w:pPr>
        <w:pStyle w:val="Akapitzlist"/>
        <w:numPr>
          <w:ilvl w:val="0"/>
          <w:numId w:val="85"/>
        </w:numPr>
        <w:ind w:left="426"/>
        <w:rPr>
          <w:rFonts w:cstheme="minorHAnsi"/>
        </w:rPr>
      </w:pPr>
      <w:proofErr w:type="gramStart"/>
      <w:r w:rsidRPr="00A423BD">
        <w:rPr>
          <w:rFonts w:cstheme="minorHAnsi"/>
        </w:rPr>
        <w:t>redukcję</w:t>
      </w:r>
      <w:proofErr w:type="gramEnd"/>
      <w:r w:rsidRPr="00A423BD">
        <w:rPr>
          <w:rFonts w:cstheme="minorHAnsi"/>
        </w:rPr>
        <w:t xml:space="preserve"> emisji gazów cieplarnianych i zanieczyszczeń;</w:t>
      </w:r>
    </w:p>
    <w:p w:rsidR="00721237" w:rsidRPr="00A423BD" w:rsidRDefault="00721237" w:rsidP="00A13FA7">
      <w:pPr>
        <w:pStyle w:val="Akapitzlist"/>
        <w:numPr>
          <w:ilvl w:val="0"/>
          <w:numId w:val="85"/>
        </w:numPr>
        <w:ind w:left="426"/>
        <w:rPr>
          <w:rFonts w:cstheme="minorHAnsi"/>
        </w:rPr>
      </w:pPr>
      <w:proofErr w:type="gramStart"/>
      <w:r w:rsidRPr="00A423BD">
        <w:rPr>
          <w:rFonts w:cstheme="minorHAnsi"/>
        </w:rPr>
        <w:lastRenderedPageBreak/>
        <w:t>stopień</w:t>
      </w:r>
      <w:proofErr w:type="gramEnd"/>
      <w:r w:rsidRPr="00A423BD">
        <w:rPr>
          <w:rFonts w:cstheme="minorHAnsi"/>
        </w:rPr>
        <w:t xml:space="preserve"> wykorzystania zrównoważonych form transportu względem indywidualnego transportu samochodowego (podział modalny);</w:t>
      </w:r>
    </w:p>
    <w:p w:rsidR="00721237" w:rsidRPr="00A423BD" w:rsidRDefault="00721237" w:rsidP="00A13FA7">
      <w:pPr>
        <w:pStyle w:val="Akapitzlist"/>
        <w:numPr>
          <w:ilvl w:val="0"/>
          <w:numId w:val="85"/>
        </w:numPr>
        <w:ind w:left="426"/>
        <w:rPr>
          <w:rFonts w:cstheme="minorHAnsi"/>
        </w:rPr>
      </w:pPr>
      <w:proofErr w:type="gramStart"/>
      <w:r w:rsidRPr="00A423BD">
        <w:rPr>
          <w:rFonts w:cstheme="minorHAnsi"/>
        </w:rPr>
        <w:t>kongestię</w:t>
      </w:r>
      <w:proofErr w:type="gramEnd"/>
      <w:r w:rsidRPr="00A423BD">
        <w:rPr>
          <w:rFonts w:cstheme="minorHAnsi"/>
        </w:rPr>
        <w:t xml:space="preserve"> drogową;</w:t>
      </w:r>
    </w:p>
    <w:p w:rsidR="00721237" w:rsidRPr="00A423BD" w:rsidRDefault="00721237" w:rsidP="00A13FA7">
      <w:pPr>
        <w:pStyle w:val="Akapitzlist"/>
        <w:numPr>
          <w:ilvl w:val="0"/>
          <w:numId w:val="85"/>
        </w:numPr>
        <w:ind w:left="426"/>
        <w:rPr>
          <w:rFonts w:cstheme="minorHAnsi"/>
        </w:rPr>
      </w:pPr>
      <w:proofErr w:type="gramStart"/>
      <w:r w:rsidRPr="00A423BD">
        <w:rPr>
          <w:rFonts w:cstheme="minorHAnsi"/>
        </w:rPr>
        <w:t>bezpieczeństwo</w:t>
      </w:r>
      <w:proofErr w:type="gramEnd"/>
      <w:r w:rsidRPr="00A423BD">
        <w:rPr>
          <w:rFonts w:cstheme="minorHAnsi"/>
        </w:rPr>
        <w:t xml:space="preserve"> ruchu drogowego, w tym niechronionych użytkowników dróg,</w:t>
      </w:r>
    </w:p>
    <w:p w:rsidR="00721237" w:rsidRPr="00A423BD" w:rsidRDefault="00721237" w:rsidP="00721237">
      <w:pPr>
        <w:spacing w:after="0"/>
        <w:ind w:firstLine="0"/>
        <w:rPr>
          <w:rFonts w:cstheme="minorHAnsi"/>
        </w:rPr>
      </w:pPr>
      <w:r w:rsidRPr="00A423BD">
        <w:rPr>
          <w:rFonts w:cstheme="minorHAnsi"/>
        </w:rPr>
        <w:t>7) Określa środki wykonawcze lub pakiety środków wykonawczych, które zapewnią realizację założonych celów (poprzez działania inwestycyjne, regulacyjne, organizacyjne, finansowe, promocyjno-informacyjne itd.) – w oparciu o przyjęty harmonogram wdrażania, plan finansowy oraz wyznaczenie odpowiedzialnych jednostek,</w:t>
      </w:r>
    </w:p>
    <w:p w:rsidR="00721237" w:rsidRPr="00A423BD" w:rsidRDefault="00721237" w:rsidP="005564E7">
      <w:pPr>
        <w:spacing w:after="0"/>
        <w:ind w:firstLine="0"/>
        <w:rPr>
          <w:rFonts w:cstheme="minorHAnsi"/>
        </w:rPr>
      </w:pPr>
      <w:r w:rsidRPr="00A423BD">
        <w:rPr>
          <w:rFonts w:cstheme="minorHAnsi"/>
        </w:rPr>
        <w:t xml:space="preserve">8) Realizacja </w:t>
      </w:r>
      <w:r w:rsidR="00784489" w:rsidRPr="00A423BD">
        <w:rPr>
          <w:rFonts w:cstheme="minorHAnsi"/>
        </w:rPr>
        <w:t>Planu zrównoważonej Mobilności Miejskiej</w:t>
      </w:r>
      <w:r w:rsidRPr="00A423BD">
        <w:rPr>
          <w:rFonts w:cstheme="minorHAnsi"/>
        </w:rPr>
        <w:t xml:space="preserve"> podlega okresowemu monitorowaniu i rewizji/aktualizacji przez wyznaczoną do tego jednostkę.</w:t>
      </w:r>
    </w:p>
    <w:p w:rsidR="00C47F58" w:rsidRPr="00C47F58" w:rsidRDefault="00821F5F" w:rsidP="00C47F58">
      <w:pPr>
        <w:spacing w:after="0"/>
        <w:rPr>
          <w:rFonts w:cstheme="minorHAnsi"/>
        </w:rPr>
      </w:pPr>
      <w:r w:rsidRPr="00A423BD">
        <w:rPr>
          <w:rFonts w:cstheme="minorHAnsi"/>
        </w:rPr>
        <w:t>Wszelkie działania</w:t>
      </w:r>
      <w:r w:rsidR="00FA5062" w:rsidRPr="00A423BD">
        <w:rPr>
          <w:rFonts w:cstheme="minorHAnsi"/>
        </w:rPr>
        <w:t xml:space="preserve">, </w:t>
      </w:r>
      <w:r w:rsidR="00784489" w:rsidRPr="00A423BD">
        <w:rPr>
          <w:rFonts w:cstheme="minorHAnsi"/>
        </w:rPr>
        <w:t>związane ze zrównoważoną mobilnością</w:t>
      </w:r>
      <w:r w:rsidRPr="00A423BD">
        <w:rPr>
          <w:rFonts w:cstheme="minorHAnsi"/>
        </w:rPr>
        <w:t xml:space="preserve"> mają za zadanie w spos</w:t>
      </w:r>
      <w:r w:rsidR="00FA5062" w:rsidRPr="00A423BD">
        <w:rPr>
          <w:rFonts w:cstheme="minorHAnsi"/>
        </w:rPr>
        <w:t>ób możliwie efektywny zrealizować</w:t>
      </w:r>
      <w:r w:rsidRPr="00A423BD">
        <w:rPr>
          <w:rFonts w:cstheme="minorHAnsi"/>
        </w:rPr>
        <w:t xml:space="preserve"> najważniejsze potrzeby mieszkańców </w:t>
      </w:r>
      <w:r w:rsidR="00784489" w:rsidRPr="00A423BD">
        <w:rPr>
          <w:rFonts w:cstheme="minorHAnsi"/>
        </w:rPr>
        <w:t>H</w:t>
      </w:r>
      <w:r w:rsidRPr="00A423BD">
        <w:rPr>
          <w:rFonts w:cstheme="minorHAnsi"/>
        </w:rPr>
        <w:t xml:space="preserve">OF, co w istotny sposób wspomoże dalszy prawidłowy rozwój </w:t>
      </w:r>
      <w:r w:rsidR="00784489" w:rsidRPr="00A423BD">
        <w:rPr>
          <w:rFonts w:cstheme="minorHAnsi"/>
        </w:rPr>
        <w:t>tego obszaru</w:t>
      </w:r>
      <w:r w:rsidRPr="00A423BD">
        <w:rPr>
          <w:rFonts w:cstheme="minorHAnsi"/>
        </w:rPr>
        <w:t xml:space="preserve">. Jednocześnie podniosą one komfort podróżowania wszystkimi środkami transportu publicznego dla wszystkich uczestników ruchu drogowego, a także przyczynią się do wzrostu poczucia bezpieczeństwa przemieszczania się po </w:t>
      </w:r>
      <w:r w:rsidR="00784489" w:rsidRPr="00A423BD">
        <w:rPr>
          <w:rFonts w:cstheme="minorHAnsi"/>
        </w:rPr>
        <w:t>obszarach miejskich</w:t>
      </w:r>
      <w:r w:rsidRPr="00A423BD">
        <w:rPr>
          <w:rFonts w:cstheme="minorHAnsi"/>
        </w:rPr>
        <w:t>.</w:t>
      </w:r>
      <w:r w:rsidR="00FA5062" w:rsidRPr="00A423BD">
        <w:rPr>
          <w:rFonts w:cstheme="minorHAnsi"/>
        </w:rPr>
        <w:t xml:space="preserve"> W celu dotarcia do grup docelowych oraz wykazania kierunku wprowadzanych zmian i realizacji działań konieczne jest poznanie oczekiwań oraz potrzeb społecznych w zakresie zrównoważonej mobilności miejskiej. Należy dążyć do jak najefektywniejszego doboru działań w kontekście posiadanych zasobów ludzkich, finansowych oraz infrastrukturalnych. Wdrożone działania (najlepiej w odpowiednich pakietach wzmacniających ich zasięg i skuteczność oddziaływania) powinny być wspierane działaniami informacyjno-promocyjnymi. Planowanie inwestycji, w tym inwestycji komunikacyjnych, powinno uwzględniać potrzebę równoważenia środowiskowego już na etapie planowania przestrzennego.</w:t>
      </w:r>
      <w:r w:rsidR="00C47F58" w:rsidRPr="00A423BD">
        <w:rPr>
          <w:rFonts w:cstheme="minorHAnsi"/>
        </w:rPr>
        <w:t xml:space="preserve"> Za realizację Planu Zrównoważonej Mobilności </w:t>
      </w:r>
      <w:r w:rsidR="00784489" w:rsidRPr="00A423BD">
        <w:rPr>
          <w:rFonts w:cstheme="minorHAnsi"/>
        </w:rPr>
        <w:t>Miejskiej</w:t>
      </w:r>
      <w:r w:rsidR="00C47F58" w:rsidRPr="00A423BD">
        <w:rPr>
          <w:rFonts w:cstheme="minorHAnsi"/>
        </w:rPr>
        <w:t xml:space="preserve"> w zakresie działań i projektów realizowanych w granicach danej gminy odpowiedzialne będą odpowiedni</w:t>
      </w:r>
      <w:r w:rsidR="00784489" w:rsidRPr="00A423BD">
        <w:rPr>
          <w:rFonts w:cstheme="minorHAnsi"/>
        </w:rPr>
        <w:t>a</w:t>
      </w:r>
      <w:r w:rsidR="00C47F58" w:rsidRPr="00A423BD">
        <w:rPr>
          <w:rFonts w:cstheme="minorHAnsi"/>
        </w:rPr>
        <w:t xml:space="preserve"> jednostk</w:t>
      </w:r>
      <w:r w:rsidR="00784489" w:rsidRPr="00A423BD">
        <w:rPr>
          <w:rFonts w:cstheme="minorHAnsi"/>
        </w:rPr>
        <w:t>a</w:t>
      </w:r>
      <w:r w:rsidR="00C47F58" w:rsidRPr="00A423BD">
        <w:rPr>
          <w:rFonts w:cstheme="minorHAnsi"/>
        </w:rPr>
        <w:t xml:space="preserve"> samorządu terytorialnego poprzez swoje wydziały oraz stanowiska merytoryczne i jednostki organizacyjne.</w:t>
      </w:r>
    </w:p>
    <w:p w:rsidR="001F3C88" w:rsidRPr="001F3C88" w:rsidRDefault="001F3C88" w:rsidP="001F3C88">
      <w:pPr>
        <w:rPr>
          <w:b/>
          <w:bCs/>
          <w:u w:val="single"/>
        </w:rPr>
      </w:pPr>
      <w:r w:rsidRPr="001F3C88">
        <w:rPr>
          <w:b/>
          <w:bCs/>
          <w:u w:val="single"/>
        </w:rPr>
        <w:t>Zasady kształtowania struktury infrastruktury technicznej</w:t>
      </w:r>
    </w:p>
    <w:p w:rsidR="001F3C88" w:rsidRPr="00D17A94" w:rsidRDefault="001F3C88" w:rsidP="00C47F58">
      <w:pPr>
        <w:rPr>
          <w:bCs/>
        </w:rPr>
      </w:pPr>
      <w:r w:rsidRPr="00D17A94">
        <w:rPr>
          <w:bCs/>
        </w:rPr>
        <w:t xml:space="preserve">Rozbudowa sieci wodociągowej odbywać się będzie w miarę przyrostu terenów zabudowanych. Jednocześnie podejmowane będą działania zmierzające do zapewnienia </w:t>
      </w:r>
      <w:proofErr w:type="gramStart"/>
      <w:r w:rsidRPr="00D17A94">
        <w:rPr>
          <w:bCs/>
        </w:rPr>
        <w:t>właściwej jakośc</w:t>
      </w:r>
      <w:r w:rsidR="00374BB7">
        <w:rPr>
          <w:bCs/>
        </w:rPr>
        <w:t>i</w:t>
      </w:r>
      <w:proofErr w:type="gramEnd"/>
      <w:r w:rsidR="00374BB7">
        <w:rPr>
          <w:bCs/>
        </w:rPr>
        <w:t xml:space="preserve"> wody dostarczanej mieszkańcom. </w:t>
      </w:r>
      <w:r w:rsidR="00374BB7" w:rsidRPr="00E75201">
        <w:rPr>
          <w:spacing w:val="-4"/>
        </w:rPr>
        <w:t xml:space="preserve">Mając na uwadze poprawienie warunków socjalno-bytowych oraz podniesienie </w:t>
      </w:r>
      <w:r w:rsidR="00374BB7" w:rsidRPr="00E75201">
        <w:rPr>
          <w:spacing w:val="1"/>
        </w:rPr>
        <w:t xml:space="preserve">standardów życia, należy dążyć do zapewnienia wszystkim odbiorcom dostarczenia </w:t>
      </w:r>
      <w:r w:rsidR="00374BB7" w:rsidRPr="00E75201">
        <w:rPr>
          <w:spacing w:val="-1"/>
        </w:rPr>
        <w:t>wody o</w:t>
      </w:r>
      <w:r w:rsidR="00374BB7">
        <w:rPr>
          <w:spacing w:val="-1"/>
        </w:rPr>
        <w:t xml:space="preserve"> </w:t>
      </w:r>
      <w:r w:rsidR="00374BB7" w:rsidRPr="00E75201">
        <w:rPr>
          <w:spacing w:val="-1"/>
        </w:rPr>
        <w:t xml:space="preserve">normatywnych parametrach i pod wymaganym ciśnieniem. </w:t>
      </w:r>
      <w:r w:rsidRPr="00D17A94">
        <w:rPr>
          <w:bCs/>
        </w:rPr>
        <w:t xml:space="preserve">Rozbudowa sieci kanalizacji sanitarnej </w:t>
      </w:r>
      <w:r>
        <w:rPr>
          <w:bCs/>
        </w:rPr>
        <w:t xml:space="preserve">na terenie Gminy Hrubieszów w chwili obecnej nie jest planowana ze względu na jej brak opłacalności na terenach o rozporoszonej zabudowie. </w:t>
      </w:r>
      <w:r w:rsidRPr="00D17A94">
        <w:rPr>
          <w:bCs/>
        </w:rPr>
        <w:t>Dla istniejącej zabudowy rozproszonej dopuszcza się realizację indywidualnych, proekologicznych rozwi</w:t>
      </w:r>
      <w:r w:rsidR="005E18D8">
        <w:rPr>
          <w:bCs/>
        </w:rPr>
        <w:t>ązań w zakresie odprowadzania i </w:t>
      </w:r>
      <w:r w:rsidR="00E67CAC">
        <w:rPr>
          <w:bCs/>
        </w:rPr>
        <w:t>u</w:t>
      </w:r>
      <w:r w:rsidRPr="00D17A94">
        <w:rPr>
          <w:bCs/>
        </w:rPr>
        <w:t xml:space="preserve">nieszkodliwiania odpadów. </w:t>
      </w:r>
      <w:r>
        <w:rPr>
          <w:bCs/>
        </w:rPr>
        <w:t xml:space="preserve">Przewiduje się modernizację istniejących sieci. </w:t>
      </w:r>
      <w:r w:rsidRPr="00D17A94">
        <w:rPr>
          <w:bCs/>
        </w:rPr>
        <w:t>W przyszłości nastąpi też zwiększenie wykorzystania proekologicznych źródeł energii el</w:t>
      </w:r>
      <w:r w:rsidR="00374BB7">
        <w:rPr>
          <w:bCs/>
        </w:rPr>
        <w:t>ektrycznej oraz ciepła (również biogazownia). Planowany jest rozwój sieci gazowej na terenie Miasta.</w:t>
      </w:r>
      <w:r w:rsidR="00C47F58">
        <w:rPr>
          <w:bCs/>
        </w:rPr>
        <w:t xml:space="preserve"> </w:t>
      </w:r>
      <w:r w:rsidR="00C47F58" w:rsidRPr="00C47F58">
        <w:rPr>
          <w:bCs/>
        </w:rPr>
        <w:t>Dodatkowo partnerami przy realizacji działań ujętych w Planie mogą być także: Zarząd</w:t>
      </w:r>
      <w:r w:rsidR="00C47F58">
        <w:rPr>
          <w:bCs/>
        </w:rPr>
        <w:t xml:space="preserve"> </w:t>
      </w:r>
      <w:r w:rsidR="00C47F58" w:rsidRPr="00C47F58">
        <w:rPr>
          <w:bCs/>
        </w:rPr>
        <w:t xml:space="preserve">Województwa </w:t>
      </w:r>
      <w:r w:rsidR="00C47F58">
        <w:rPr>
          <w:bCs/>
        </w:rPr>
        <w:t>Lubelskiego</w:t>
      </w:r>
      <w:r w:rsidR="00C47F58" w:rsidRPr="00C47F58">
        <w:rPr>
          <w:bCs/>
        </w:rPr>
        <w:t xml:space="preserve">, Urząd Marszałkowski Województwa </w:t>
      </w:r>
      <w:r w:rsidR="00C47F58">
        <w:rPr>
          <w:bCs/>
        </w:rPr>
        <w:t>Lubelskiego</w:t>
      </w:r>
      <w:r w:rsidR="00C47F58" w:rsidRPr="00C47F58">
        <w:rPr>
          <w:bCs/>
        </w:rPr>
        <w:t xml:space="preserve"> oraz</w:t>
      </w:r>
      <w:r w:rsidR="00C47F58">
        <w:rPr>
          <w:bCs/>
        </w:rPr>
        <w:t xml:space="preserve"> </w:t>
      </w:r>
      <w:r w:rsidR="00C47F58" w:rsidRPr="00C47F58">
        <w:rPr>
          <w:bCs/>
        </w:rPr>
        <w:t>Starostw</w:t>
      </w:r>
      <w:r w:rsidR="00C47F58">
        <w:rPr>
          <w:bCs/>
        </w:rPr>
        <w:t>o</w:t>
      </w:r>
      <w:r w:rsidR="00C47F58" w:rsidRPr="00C47F58">
        <w:rPr>
          <w:bCs/>
        </w:rPr>
        <w:t xml:space="preserve"> Powiat</w:t>
      </w:r>
      <w:r w:rsidR="00C47F58">
        <w:rPr>
          <w:bCs/>
        </w:rPr>
        <w:t>u Hrubieszowskiego</w:t>
      </w:r>
      <w:r w:rsidR="00C47F58" w:rsidRPr="00C47F58">
        <w:rPr>
          <w:bCs/>
        </w:rPr>
        <w:t>, jak też</w:t>
      </w:r>
      <w:r w:rsidR="00C47F58">
        <w:rPr>
          <w:bCs/>
        </w:rPr>
        <w:t xml:space="preserve"> </w:t>
      </w:r>
      <w:r w:rsidR="00C47F58" w:rsidRPr="00C47F58">
        <w:rPr>
          <w:bCs/>
        </w:rPr>
        <w:t xml:space="preserve">graniczące z </w:t>
      </w:r>
      <w:r w:rsidR="00C47F58">
        <w:rPr>
          <w:bCs/>
        </w:rPr>
        <w:t>HOF</w:t>
      </w:r>
      <w:r w:rsidR="00C47F58" w:rsidRPr="00C47F58">
        <w:rPr>
          <w:bCs/>
        </w:rPr>
        <w:t xml:space="preserve"> jednos</w:t>
      </w:r>
      <w:r w:rsidR="00C47F58">
        <w:rPr>
          <w:bCs/>
        </w:rPr>
        <w:t>tki samorządu terytorialnego –</w:t>
      </w:r>
      <w:r w:rsidR="00C47F58" w:rsidRPr="00C47F58">
        <w:rPr>
          <w:bCs/>
        </w:rPr>
        <w:t xml:space="preserve"> gminy. Natomiast</w:t>
      </w:r>
      <w:r w:rsidR="00C47F58">
        <w:rPr>
          <w:bCs/>
        </w:rPr>
        <w:t xml:space="preserve"> </w:t>
      </w:r>
      <w:r w:rsidR="00C47F58" w:rsidRPr="00C47F58">
        <w:rPr>
          <w:bCs/>
        </w:rPr>
        <w:t xml:space="preserve">w przypadku inwestycji </w:t>
      </w:r>
      <w:r w:rsidR="00C47F58" w:rsidRPr="00C47F58">
        <w:rPr>
          <w:bCs/>
        </w:rPr>
        <w:lastRenderedPageBreak/>
        <w:t>związanych z transportem kolejowym niezbędnym partnerem przy ich</w:t>
      </w:r>
      <w:r w:rsidR="00C47F58">
        <w:rPr>
          <w:bCs/>
        </w:rPr>
        <w:t xml:space="preserve"> </w:t>
      </w:r>
      <w:r w:rsidR="00C47F58" w:rsidRPr="00C47F58">
        <w:rPr>
          <w:bCs/>
        </w:rPr>
        <w:t>realizacji może być PKP Polskie Linie Kolejowe S.A.</w:t>
      </w:r>
    </w:p>
    <w:p w:rsidR="00F045BE" w:rsidRPr="00381D92" w:rsidRDefault="009936FD" w:rsidP="00381D92">
      <w:pPr>
        <w:rPr>
          <w:b/>
          <w:bCs/>
          <w:u w:val="single"/>
        </w:rPr>
      </w:pPr>
      <w:r w:rsidRPr="00381D92">
        <w:rPr>
          <w:b/>
          <w:bCs/>
          <w:u w:val="single"/>
        </w:rPr>
        <w:t>Zasady kształtowania struktury</w:t>
      </w:r>
      <w:r>
        <w:rPr>
          <w:b/>
          <w:bCs/>
          <w:u w:val="single"/>
        </w:rPr>
        <w:t xml:space="preserve"> terenów inwestycyjnych</w:t>
      </w:r>
    </w:p>
    <w:p w:rsidR="009936FD" w:rsidRDefault="009936FD" w:rsidP="009936FD">
      <w:r w:rsidRPr="009936FD">
        <w:t xml:space="preserve">Ze względu na szerszy kontekst gospodarczy i nienajlepszą sytuację ekonomiczną makroregionu tereny </w:t>
      </w:r>
      <w:proofErr w:type="gramStart"/>
      <w:r w:rsidRPr="009936FD">
        <w:t>określane jako</w:t>
      </w:r>
      <w:proofErr w:type="gramEnd"/>
      <w:r w:rsidRPr="009936FD">
        <w:t xml:space="preserve"> przemysłowe charakteryzują się znikomą działalnością wytwórczą i stanowią raczej tereny składowo - handlowe z elementami działalności usługowej. Podobnie wygląda sytuacja stacji kolejowych, które w niewielkim stopniu wykorzystują swój potencjał infrastruktury, głównie dla obsługi ruchu linii LHS.</w:t>
      </w:r>
      <w:r>
        <w:t xml:space="preserve"> </w:t>
      </w:r>
      <w:r w:rsidRPr="001252F6">
        <w:t>W celu zaspokojenia zidentyfikowanych potrzeb na tereny inwestycyjne (produkcja, usługi, komunikacja, osadnictwo itp.) przyjęto założenie, że będą one wydzielone</w:t>
      </w:r>
      <w:r>
        <w:t xml:space="preserve"> na terenie Gminy Hrubieszów</w:t>
      </w:r>
      <w:r w:rsidRPr="001252F6">
        <w:t xml:space="preserve"> z obszarów otwartych. Zakłada się, że będą to następujące kategorie terenów: </w:t>
      </w:r>
    </w:p>
    <w:p w:rsidR="009936FD" w:rsidRDefault="009936FD" w:rsidP="00A13FA7">
      <w:pPr>
        <w:pStyle w:val="Akapitzlist"/>
        <w:numPr>
          <w:ilvl w:val="0"/>
          <w:numId w:val="35"/>
        </w:numPr>
        <w:ind w:left="709"/>
      </w:pPr>
      <w:proofErr w:type="gramStart"/>
      <w:r w:rsidRPr="001252F6">
        <w:t>rezerwy</w:t>
      </w:r>
      <w:proofErr w:type="gramEnd"/>
      <w:r w:rsidRPr="001252F6">
        <w:t xml:space="preserve"> rozwojowe dla bazy rekreacyjno-turystycznej w wybranych, atrakcyjnych rejonach </w:t>
      </w:r>
      <w:r>
        <w:t>G</w:t>
      </w:r>
      <w:r w:rsidRPr="001252F6">
        <w:t>miny</w:t>
      </w:r>
      <w:r>
        <w:t xml:space="preserve"> Hrubieszów</w:t>
      </w:r>
      <w:r w:rsidRPr="001252F6">
        <w:t>;</w:t>
      </w:r>
    </w:p>
    <w:p w:rsidR="009936FD" w:rsidRDefault="009936FD" w:rsidP="00A13FA7">
      <w:pPr>
        <w:pStyle w:val="Akapitzlist"/>
        <w:numPr>
          <w:ilvl w:val="0"/>
          <w:numId w:val="35"/>
        </w:numPr>
        <w:ind w:left="709"/>
      </w:pPr>
      <w:proofErr w:type="gramStart"/>
      <w:r w:rsidRPr="001252F6">
        <w:t>rezerwy</w:t>
      </w:r>
      <w:proofErr w:type="gramEnd"/>
      <w:r w:rsidRPr="001252F6">
        <w:t xml:space="preserve"> rozwojowe dla osadnictwa i infrastruktury rolnej (ośrodki usług rolnictwa) w obrębie wybranych wsi; </w:t>
      </w:r>
    </w:p>
    <w:p w:rsidR="009936FD" w:rsidRDefault="009936FD" w:rsidP="00A13FA7">
      <w:pPr>
        <w:pStyle w:val="Akapitzlist"/>
        <w:numPr>
          <w:ilvl w:val="0"/>
          <w:numId w:val="35"/>
        </w:numPr>
        <w:ind w:left="709"/>
      </w:pPr>
      <w:proofErr w:type="gramStart"/>
      <w:r w:rsidRPr="001252F6">
        <w:t>rezerwy</w:t>
      </w:r>
      <w:proofErr w:type="gramEnd"/>
      <w:r w:rsidRPr="001252F6">
        <w:t xml:space="preserve"> rozwojowe dla ośrodka funkcji przygranicznych (rejon Gródka); </w:t>
      </w:r>
    </w:p>
    <w:p w:rsidR="009936FD" w:rsidRDefault="009936FD" w:rsidP="00A13FA7">
      <w:pPr>
        <w:pStyle w:val="Akapitzlist"/>
        <w:numPr>
          <w:ilvl w:val="0"/>
          <w:numId w:val="35"/>
        </w:numPr>
        <w:ind w:left="709"/>
      </w:pPr>
      <w:proofErr w:type="gramStart"/>
      <w:r w:rsidRPr="001252F6">
        <w:t>rezerwy</w:t>
      </w:r>
      <w:proofErr w:type="gramEnd"/>
      <w:r w:rsidRPr="001252F6">
        <w:t xml:space="preserve"> rozwojowe dla inwestycji komunikacyjnych i innych elemen</w:t>
      </w:r>
      <w:r w:rsidR="002B39F6">
        <w:t>tów infrastruktury technicznej.</w:t>
      </w:r>
    </w:p>
    <w:p w:rsidR="001A5284" w:rsidRDefault="002B39F6" w:rsidP="00AE42D9">
      <w:r>
        <w:t xml:space="preserve">Na terenie Gminy Miejskiej Hrubieszów wyznaczone zostały strefy przedsiębiorczości. Są to zorganizowane tereny przeznaczone pod lokalizacje przemysłu i usług wyposażone w pełną infrastrukturę techniczną, </w:t>
      </w:r>
      <w:r w:rsidRPr="002B39F6">
        <w:t>dogodną obsługę komunikacyjną oraz</w:t>
      </w:r>
      <w:r>
        <w:t xml:space="preserve"> z uregulowaną sytuacją prawną. </w:t>
      </w:r>
      <w:r w:rsidRPr="002B39F6">
        <w:t>Strefy przedsiębiorczości winny służyć pozyskaniu nowych inwestoró</w:t>
      </w:r>
      <w:r w:rsidR="00A34C14">
        <w:t>w i lokalizacji inwestycji, ze </w:t>
      </w:r>
      <w:r w:rsidRPr="002B39F6">
        <w:t>szczególnym uwzględnieniem sektora małych i średnich przedsiębiorstw, przy wykorzystaniu nowych technologii, w tym technologii informacyjnych oraz technologii wspierających ochronę środowiska.</w:t>
      </w:r>
      <w:r>
        <w:t xml:space="preserve"> Inwestycje oraz stopień ich koncentracji musi być dostosowany do cech środowiska przyrodniczego. Istotne jest również </w:t>
      </w:r>
      <w:r w:rsidRPr="002B39F6">
        <w:t>racjonalne wykorzystanie i zagospodarowanie nieczynnych obiektów</w:t>
      </w:r>
      <w:r>
        <w:t xml:space="preserve"> znajdujących się w tych strefach</w:t>
      </w:r>
      <w:r w:rsidRPr="002B39F6">
        <w:t xml:space="preserve"> i przypisanie im nowej funkcji.</w:t>
      </w:r>
      <w:r w:rsidR="001A5284">
        <w:t xml:space="preserve"> </w:t>
      </w:r>
      <w:r w:rsidR="001A5284" w:rsidRPr="00630928">
        <w:t xml:space="preserve">Tereny inwestycyjne Miasta Hrubieszów położone są w granicach Tarnobrzeskiej Specjalnej Strefy Ekonomicznej Euro-Park </w:t>
      </w:r>
      <w:proofErr w:type="spellStart"/>
      <w:r w:rsidR="001A5284" w:rsidRPr="00630928">
        <w:t>Wisłosan</w:t>
      </w:r>
      <w:proofErr w:type="spellEnd"/>
      <w:r w:rsidR="001A5284" w:rsidRPr="00630928">
        <w:t>, co stanowi dodatkową zachętę dla lokalnych przedsiębiorców również z obszaru Gminy Hrubieszów</w:t>
      </w:r>
      <w:r w:rsidR="001A5284">
        <w:t>. Dodatkowo w Mieście Hrubieszów uruchomiona została baza nieruchomości, w której zbierane i udostępniane są dane dotyczące działek, lokali użytkowych i hal produkcyjnych, które mogą służyć prowadzeniu działalności gospodarczej. Pozwala to na łatwiejsze dotarcie do szerszej liczby odbiorców, w tym inwestorów z zewnątrz. Akcja ma na celu</w:t>
      </w:r>
      <w:r w:rsidR="00A34C14">
        <w:t xml:space="preserve"> wsparcie przedsiębiorczości na </w:t>
      </w:r>
      <w:r w:rsidR="001A5284">
        <w:t>terenie Hrubieszowa.</w:t>
      </w:r>
    </w:p>
    <w:p w:rsidR="00391ECB" w:rsidRDefault="00391ECB" w:rsidP="00CC49BE">
      <w:pPr>
        <w:rPr>
          <w:b/>
          <w:bCs/>
          <w:u w:val="single"/>
        </w:rPr>
      </w:pPr>
      <w:r w:rsidRPr="00E445CA">
        <w:t xml:space="preserve">  </w:t>
      </w:r>
      <w:r w:rsidR="005656D5">
        <w:rPr>
          <w:b/>
          <w:bCs/>
          <w:u w:val="single"/>
        </w:rPr>
        <w:t>Zasady kształtowania w zakresie elementów właściwych dla wzmacniania i rozwoju funkcji społeczno-gospodarczych</w:t>
      </w:r>
    </w:p>
    <w:p w:rsidR="008376F0" w:rsidRPr="000A1991" w:rsidRDefault="008376F0" w:rsidP="008376F0">
      <w:pPr>
        <w:tabs>
          <w:tab w:val="left" w:pos="2127"/>
        </w:tabs>
        <w:rPr>
          <w:bCs/>
          <w:color w:val="000000"/>
        </w:rPr>
      </w:pPr>
      <w:r>
        <w:t xml:space="preserve">Jednym ze zidentyfikowanych problemów funkcjonowania pomocy społecznej jest </w:t>
      </w:r>
      <w:r w:rsidRPr="004D5110">
        <w:t>brak zintegrowanego podejścia w zakresie świadczonych usług społecznych oraz odczuwany przez mieszkańców deficyt usług w zakresie aktywizacji i integracji społecznej mieszkańców</w:t>
      </w:r>
      <w:r>
        <w:t xml:space="preserve">. Rozwiązaniem </w:t>
      </w:r>
      <w:r>
        <w:lastRenderedPageBreak/>
        <w:t>może być powołanie i rozwój Centrum Usług Społecznych</w:t>
      </w:r>
      <w:r>
        <w:rPr>
          <w:rStyle w:val="Odwoanieprzypisudolnego"/>
        </w:rPr>
        <w:footnoteReference w:id="32"/>
      </w:r>
      <w:r>
        <w:t xml:space="preserve"> (CUS), które z jednej strony mogłoby przejąć wszystkie obowiązki ośrodka pomocy społecznej, zaś z drugiej rozwijać nowe usługi – bardziej ukierunkowane na zaspokajanie potrzeb mieszkańców oraz prowadzące do większej integracji i wspierania rozwoju mieszkańców (w tym organizowanie działań samopomocowych, </w:t>
      </w:r>
      <w:proofErr w:type="spellStart"/>
      <w:r>
        <w:t>wolontaryjnych</w:t>
      </w:r>
      <w:proofErr w:type="spellEnd"/>
      <w:r>
        <w:t xml:space="preserve"> i sąsiedzkich). CUS byłoby głównym ośrodkiem aktywności obywatelskiej współpracując zarówno z istniejącymi organizacjami pozarządowymi, jak i wspierając tworzenie nowych podmiotów i instytucji.</w:t>
      </w:r>
    </w:p>
    <w:p w:rsidR="005656D5" w:rsidRDefault="005656D5" w:rsidP="00CC49BE">
      <w:pPr>
        <w:rPr>
          <w:bCs/>
        </w:rPr>
      </w:pPr>
      <w:r>
        <w:rPr>
          <w:bCs/>
        </w:rPr>
        <w:t>Podczas kształtowania struktury Hrubieszowskiego Obszaru Fun</w:t>
      </w:r>
      <w:r w:rsidR="00411A5C">
        <w:rPr>
          <w:bCs/>
        </w:rPr>
        <w:t>kcjonalnego należy pamiętać, iż </w:t>
      </w:r>
      <w:r>
        <w:rPr>
          <w:bCs/>
        </w:rPr>
        <w:t>p</w:t>
      </w:r>
      <w:r w:rsidRPr="005656D5">
        <w:rPr>
          <w:bCs/>
        </w:rPr>
        <w:t>rzestrzenie publiczne stanowią podstawowy element integrujący układ urbanistyczny oraz układy ruralistyczne jednocześnie decydując o atrakcyjności obszaru do zamieszkania.</w:t>
      </w:r>
      <w:r>
        <w:rPr>
          <w:bCs/>
        </w:rPr>
        <w:t xml:space="preserve"> Należy zapewnić ochronę ogólnodostępnych miejsc i zapewnić możliwość tworzenia nowych przestrzeni publicznych (zieleńców, parków, placów zabaw, terenów sportowo-rekreacyjnych).</w:t>
      </w:r>
      <w:r w:rsidR="001C7DC8">
        <w:rPr>
          <w:bCs/>
        </w:rPr>
        <w:t xml:space="preserve"> Co istotne podczas projektowania nowych oraz </w:t>
      </w:r>
      <w:r w:rsidR="001C7DC8" w:rsidRPr="001C7DC8">
        <w:rPr>
          <w:bCs/>
        </w:rPr>
        <w:t>rewitalizacji już istniejących przestrzeni należy wykorzystać zieloną infrastrukturę i zapewnić dostęp do powierzchni biologicznie czynnych</w:t>
      </w:r>
      <w:r w:rsidR="00586AFE">
        <w:rPr>
          <w:bCs/>
        </w:rPr>
        <w:t xml:space="preserve"> z jednoczesnym ograniczaniem użycia materiałów </w:t>
      </w:r>
      <w:proofErr w:type="gramStart"/>
      <w:r w:rsidR="00586AFE">
        <w:rPr>
          <w:bCs/>
        </w:rPr>
        <w:t>nieprzepuszczalnych</w:t>
      </w:r>
      <w:r w:rsidR="001C7DC8" w:rsidRPr="001C7DC8">
        <w:rPr>
          <w:bCs/>
        </w:rPr>
        <w:t>.</w:t>
      </w:r>
      <w:r w:rsidR="001C7DC8" w:rsidRPr="001C7DC8">
        <w:rPr>
          <w:rFonts w:cstheme="minorHAnsi"/>
          <w:bCs/>
        </w:rPr>
        <w:t xml:space="preserve"> </w:t>
      </w:r>
      <w:proofErr w:type="gramEnd"/>
      <w:r w:rsidR="001C7DC8" w:rsidRPr="001C7DC8">
        <w:rPr>
          <w:rFonts w:cstheme="minorHAnsi"/>
          <w:shd w:val="clear" w:color="auto" w:fill="FFFFFF"/>
        </w:rPr>
        <w:t xml:space="preserve">Głównym celem takiego podejścia jest </w:t>
      </w:r>
      <w:proofErr w:type="gramStart"/>
      <w:r w:rsidR="001C7DC8" w:rsidRPr="001C7DC8">
        <w:rPr>
          <w:rFonts w:cstheme="minorHAnsi"/>
          <w:shd w:val="clear" w:color="auto" w:fill="FFFFFF"/>
        </w:rPr>
        <w:t>poprawa jakości</w:t>
      </w:r>
      <w:proofErr w:type="gramEnd"/>
      <w:r w:rsidR="001C7DC8" w:rsidRPr="001C7DC8">
        <w:rPr>
          <w:rFonts w:cstheme="minorHAnsi"/>
          <w:shd w:val="clear" w:color="auto" w:fill="FFFFFF"/>
        </w:rPr>
        <w:t xml:space="preserve"> życia na terenach zabudowanych z wykorzystaniem elementów przyrodniczych</w:t>
      </w:r>
      <w:r w:rsidR="00A34C14">
        <w:rPr>
          <w:rFonts w:cstheme="minorHAnsi"/>
          <w:shd w:val="clear" w:color="auto" w:fill="FFFFFF"/>
        </w:rPr>
        <w:t xml:space="preserve"> i </w:t>
      </w:r>
      <w:r w:rsidR="001C7DC8" w:rsidRPr="001C7DC8">
        <w:rPr>
          <w:rFonts w:cstheme="minorHAnsi"/>
          <w:shd w:val="clear" w:color="auto" w:fill="FFFFFF"/>
        </w:rPr>
        <w:t>jednocześnie pozwala to przeciwdziałać zjawisku tzw. „</w:t>
      </w:r>
      <w:proofErr w:type="spellStart"/>
      <w:r w:rsidR="001C7DC8" w:rsidRPr="001C7DC8">
        <w:rPr>
          <w:rFonts w:cstheme="minorHAnsi"/>
          <w:shd w:val="clear" w:color="auto" w:fill="FFFFFF"/>
        </w:rPr>
        <w:t>betonozy</w:t>
      </w:r>
      <w:proofErr w:type="spellEnd"/>
      <w:r w:rsidR="001C7DC8" w:rsidRPr="001C7DC8">
        <w:rPr>
          <w:rFonts w:cstheme="minorHAnsi"/>
          <w:shd w:val="clear" w:color="auto" w:fill="FFFFFF"/>
        </w:rPr>
        <w:t>”.</w:t>
      </w:r>
      <w:r w:rsidR="00411A5C">
        <w:rPr>
          <w:rFonts w:cstheme="minorHAnsi"/>
          <w:shd w:val="clear" w:color="auto" w:fill="FFFFFF"/>
        </w:rPr>
        <w:t xml:space="preserve"> </w:t>
      </w:r>
      <w:r w:rsidR="00722C75">
        <w:rPr>
          <w:rFonts w:cstheme="minorHAnsi"/>
          <w:shd w:val="clear" w:color="auto" w:fill="FFFFFF"/>
        </w:rPr>
        <w:t>Jednocześnie osiągnięta zostaje korzyść ekologiczna (m.in.</w:t>
      </w:r>
      <w:r w:rsidR="00411A5C">
        <w:rPr>
          <w:rFonts w:cstheme="minorHAnsi"/>
          <w:shd w:val="clear" w:color="auto" w:fill="FFFFFF"/>
        </w:rPr>
        <w:t xml:space="preserve"> </w:t>
      </w:r>
      <w:r w:rsidR="00673B91">
        <w:rPr>
          <w:rFonts w:cstheme="minorHAnsi"/>
          <w:shd w:val="clear" w:color="auto" w:fill="FFFFFF"/>
        </w:rPr>
        <w:t xml:space="preserve">pozytywny wpływ na mikroklimat, </w:t>
      </w:r>
      <w:r w:rsidR="00411A5C">
        <w:rPr>
          <w:rFonts w:cstheme="minorHAnsi"/>
          <w:shd w:val="clear" w:color="auto" w:fill="FFFFFF"/>
        </w:rPr>
        <w:t xml:space="preserve">ograniczony zostaje odpływ wody, </w:t>
      </w:r>
      <w:r w:rsidR="00673B91">
        <w:rPr>
          <w:rFonts w:cstheme="minorHAnsi"/>
          <w:shd w:val="clear" w:color="auto" w:fill="FFFFFF"/>
        </w:rPr>
        <w:t xml:space="preserve">mamy możliwość jej zatrzymania). </w:t>
      </w:r>
      <w:r>
        <w:rPr>
          <w:bCs/>
        </w:rPr>
        <w:t>Uciążliwe aktywności/ przedsięwzięcia gospodarcze należy lokalizować w wyodrębnionych strefach umożliwiających eliminację środowiskowych kolizji funkcjonalnych.</w:t>
      </w:r>
    </w:p>
    <w:p w:rsidR="00A4109B" w:rsidRDefault="00A4109B" w:rsidP="00CC49BE">
      <w:pPr>
        <w:rPr>
          <w:bCs/>
        </w:rPr>
      </w:pPr>
      <w:r>
        <w:rPr>
          <w:bCs/>
        </w:rPr>
        <w:t xml:space="preserve">Zakłada się </w:t>
      </w:r>
      <w:r w:rsidR="00CA7A3C">
        <w:rPr>
          <w:bCs/>
        </w:rPr>
        <w:t>z</w:t>
      </w:r>
      <w:r w:rsidRPr="00A4109B">
        <w:rPr>
          <w:bCs/>
        </w:rPr>
        <w:t>achowanie istniejących terenów o funkc</w:t>
      </w:r>
      <w:r w:rsidR="00CA7A3C">
        <w:rPr>
          <w:bCs/>
        </w:rPr>
        <w:t>jach przemysłowo - składowych z </w:t>
      </w:r>
      <w:r w:rsidRPr="00A4109B">
        <w:rPr>
          <w:bCs/>
        </w:rPr>
        <w:t>możliwością zmiany charakteru produkcji, możliwości intensyfikacji ich zagospodarowania, pod warunkiem nie pogarszania stanu środowiska przyrodniczego i krajobrazu</w:t>
      </w:r>
      <w:r>
        <w:rPr>
          <w:bCs/>
        </w:rPr>
        <w:t>.</w:t>
      </w:r>
    </w:p>
    <w:p w:rsidR="00CA7A3C" w:rsidRDefault="00CA7A3C" w:rsidP="00CA7A3C">
      <w:pPr>
        <w:tabs>
          <w:tab w:val="left" w:pos="2127"/>
        </w:tabs>
        <w:rPr>
          <w:bCs/>
          <w:color w:val="000000"/>
        </w:rPr>
      </w:pPr>
      <w:r>
        <w:rPr>
          <w:bCs/>
          <w:color w:val="000000"/>
        </w:rPr>
        <w:t xml:space="preserve">Na terenie Gminy Miejskiej Hrubieszów </w:t>
      </w:r>
      <w:r w:rsidRPr="005F4CB4">
        <w:rPr>
          <w:color w:val="000000"/>
        </w:rPr>
        <w:t xml:space="preserve">w południowej i północnej części </w:t>
      </w:r>
      <w:r>
        <w:rPr>
          <w:color w:val="000000"/>
        </w:rPr>
        <w:t>M</w:t>
      </w:r>
      <w:r w:rsidRPr="005F4CB4">
        <w:rPr>
          <w:color w:val="000000"/>
        </w:rPr>
        <w:t>iasta</w:t>
      </w:r>
      <w:r>
        <w:rPr>
          <w:color w:val="000000"/>
        </w:rPr>
        <w:t xml:space="preserve"> wyznaczone zostały</w:t>
      </w:r>
      <w:r w:rsidRPr="005F4CB4">
        <w:rPr>
          <w:color w:val="000000"/>
        </w:rPr>
        <w:t xml:space="preserve"> tereny wielofunkcyjne obejmujące zespoły zabudowy mieszkaniowej z dopuszczeniem lokalizacji obiektów produkcyjnych i usługowych </w:t>
      </w:r>
      <w:r w:rsidR="007C6645" w:rsidRPr="005F4CB4">
        <w:rPr>
          <w:color w:val="000000"/>
        </w:rPr>
        <w:t>nieoddziaływujących</w:t>
      </w:r>
      <w:r w:rsidRPr="005F4CB4">
        <w:rPr>
          <w:color w:val="000000"/>
        </w:rPr>
        <w:t xml:space="preserve"> znacząco na środowisko.</w:t>
      </w:r>
      <w:r>
        <w:rPr>
          <w:color w:val="000000"/>
        </w:rPr>
        <w:t xml:space="preserve"> </w:t>
      </w:r>
      <w:r w:rsidR="00E67CAC">
        <w:rPr>
          <w:bCs/>
          <w:color w:val="000000"/>
        </w:rPr>
        <w:t>W </w:t>
      </w:r>
      <w:r w:rsidRPr="005F4CB4">
        <w:rPr>
          <w:bCs/>
          <w:color w:val="000000"/>
        </w:rPr>
        <w:t>terenach zabudowy mieszkaniowej mogą funkcjonować wyłącznie usługi nieuciążliwe służące zaspokojeniu podstawowych potrzeb mieszkańców.</w:t>
      </w:r>
    </w:p>
    <w:p w:rsidR="00CA7A3C" w:rsidRDefault="00CA7A3C" w:rsidP="00CA7A3C">
      <w:pPr>
        <w:tabs>
          <w:tab w:val="left" w:pos="2127"/>
        </w:tabs>
        <w:rPr>
          <w:bCs/>
          <w:color w:val="000000"/>
        </w:rPr>
      </w:pPr>
      <w:r>
        <w:rPr>
          <w:bCs/>
          <w:color w:val="000000"/>
        </w:rPr>
        <w:t>Ze względu na lokalizację Gminy Miejskiej Hrubieszów</w:t>
      </w:r>
      <w:r w:rsidRPr="000A1991">
        <w:rPr>
          <w:bCs/>
          <w:color w:val="000000"/>
        </w:rPr>
        <w:t xml:space="preserve"> w sąsiedztwie terenów atrakcyjnych turystycznie uwzględnia</w:t>
      </w:r>
      <w:r>
        <w:rPr>
          <w:bCs/>
          <w:color w:val="000000"/>
        </w:rPr>
        <w:t xml:space="preserve"> się </w:t>
      </w:r>
      <w:r w:rsidRPr="000A1991">
        <w:rPr>
          <w:bCs/>
          <w:color w:val="000000"/>
        </w:rPr>
        <w:t>nie tylko strefy</w:t>
      </w:r>
      <w:r w:rsidRPr="000A1991">
        <w:rPr>
          <w:rFonts w:ascii="Arial" w:hAnsi="Arial"/>
          <w:bCs/>
          <w:color w:val="000000"/>
        </w:rPr>
        <w:t xml:space="preserve"> </w:t>
      </w:r>
      <w:r w:rsidRPr="000A1991">
        <w:rPr>
          <w:bCs/>
          <w:color w:val="000000"/>
        </w:rPr>
        <w:t>przemysłowe i przemysłowo - us</w:t>
      </w:r>
      <w:r w:rsidR="00E67CAC">
        <w:rPr>
          <w:bCs/>
          <w:color w:val="000000"/>
        </w:rPr>
        <w:t>ługowe, lecz również w </w:t>
      </w:r>
      <w:r w:rsidRPr="000A1991">
        <w:rPr>
          <w:bCs/>
          <w:color w:val="000000"/>
        </w:rPr>
        <w:t>zakresie obsługi turystyki, stanowiącej sektor pobudzający rozwój przedsiębiorczości.</w:t>
      </w:r>
    </w:p>
    <w:p w:rsidR="008376F0" w:rsidRDefault="008376F0" w:rsidP="00CA7A3C">
      <w:pPr>
        <w:tabs>
          <w:tab w:val="left" w:pos="2127"/>
        </w:tabs>
        <w:rPr>
          <w:bCs/>
          <w:color w:val="000000"/>
        </w:rPr>
      </w:pPr>
      <w:r>
        <w:rPr>
          <w:bCs/>
          <w:color w:val="000000"/>
        </w:rPr>
        <w:t>Na rozwój gospodarczy obszaru pozytywnie wpłynie utworzenie oraz funkcjonowanie Kreatywnego Centrum Edukacji i Współpracy Gospodarczej (</w:t>
      </w:r>
      <w:proofErr w:type="spellStart"/>
      <w:r>
        <w:rPr>
          <w:bCs/>
          <w:color w:val="000000"/>
        </w:rPr>
        <w:t>KCEiWG</w:t>
      </w:r>
      <w:proofErr w:type="spellEnd"/>
      <w:r>
        <w:rPr>
          <w:bCs/>
          <w:color w:val="000000"/>
        </w:rPr>
        <w:t xml:space="preserve">). </w:t>
      </w:r>
      <w:r w:rsidRPr="00827785">
        <w:rPr>
          <w:szCs w:val="24"/>
        </w:rPr>
        <w:t xml:space="preserve">W swoim strategicznym założeniu </w:t>
      </w:r>
      <w:proofErr w:type="spellStart"/>
      <w:r w:rsidRPr="00827785">
        <w:rPr>
          <w:szCs w:val="24"/>
        </w:rPr>
        <w:t>KCEiWG</w:t>
      </w:r>
      <w:proofErr w:type="spellEnd"/>
      <w:r w:rsidRPr="00827785">
        <w:rPr>
          <w:szCs w:val="24"/>
        </w:rPr>
        <w:t xml:space="preserve"> ma być swego rodzaju centrum kompetencji w zakresie kreowania nowoczesnej oferty edukacyjnej dla młodzieży i prowadzenia bliskiej wsp</w:t>
      </w:r>
      <w:r w:rsidR="00A34C14">
        <w:rPr>
          <w:szCs w:val="24"/>
        </w:rPr>
        <w:t>ółpracy z lokalnym biznesem. Ma </w:t>
      </w:r>
      <w:r w:rsidRPr="00827785">
        <w:rPr>
          <w:szCs w:val="24"/>
        </w:rPr>
        <w:t>wypełnić lukę instytucjonalną w mieście</w:t>
      </w:r>
      <w:r>
        <w:rPr>
          <w:szCs w:val="24"/>
        </w:rPr>
        <w:t xml:space="preserve"> (brak</w:t>
      </w:r>
      <w:r w:rsidRPr="00827785">
        <w:rPr>
          <w:szCs w:val="24"/>
        </w:rPr>
        <w:t xml:space="preserve"> wystarczających kompetencji miasta (ustawowych, urzędniczych) do obsługi potrz</w:t>
      </w:r>
      <w:r>
        <w:rPr>
          <w:szCs w:val="24"/>
        </w:rPr>
        <w:t>eb przedsiębiorców czy też brak</w:t>
      </w:r>
      <w:r w:rsidRPr="00827785">
        <w:rPr>
          <w:szCs w:val="24"/>
        </w:rPr>
        <w:t xml:space="preserve"> lokaln</w:t>
      </w:r>
      <w:r>
        <w:rPr>
          <w:szCs w:val="24"/>
        </w:rPr>
        <w:t>ej instytucji otoczenia biznesu)</w:t>
      </w:r>
      <w:r w:rsidRPr="00827785">
        <w:rPr>
          <w:szCs w:val="24"/>
        </w:rPr>
        <w:t xml:space="preserve">, </w:t>
      </w:r>
      <w:r w:rsidRPr="00827785">
        <w:rPr>
          <w:szCs w:val="24"/>
        </w:rPr>
        <w:lastRenderedPageBreak/>
        <w:t xml:space="preserve">a jednocześnie będzie jednym z kluczowych podmiotów, wokół którego </w:t>
      </w:r>
      <w:r w:rsidR="001C14C4">
        <w:rPr>
          <w:szCs w:val="24"/>
        </w:rPr>
        <w:t>będzie kreowany rozwój miasta</w:t>
      </w:r>
      <w:r w:rsidR="001C14C4" w:rsidRPr="001C14C4">
        <w:t xml:space="preserve">. </w:t>
      </w:r>
      <w:r w:rsidR="001C14C4" w:rsidRPr="001C14C4">
        <w:rPr>
          <w:rFonts w:cstheme="minorHAnsi"/>
          <w:shd w:val="clear" w:color="auto" w:fill="FFFFFF"/>
        </w:rPr>
        <w:t>Docelową siedzibą nowej jednostki będzie budynek przy ul. Plac Wolności 8 w Hrubieszowie.</w:t>
      </w:r>
    </w:p>
    <w:p w:rsidR="00E320BC" w:rsidRPr="00E320BC" w:rsidRDefault="00E320BC" w:rsidP="0038421C">
      <w:pPr>
        <w:keepNext/>
        <w:keepLines/>
        <w:numPr>
          <w:ilvl w:val="1"/>
          <w:numId w:val="7"/>
        </w:numPr>
        <w:spacing w:before="200" w:after="0"/>
        <w:ind w:left="426"/>
        <w:outlineLvl w:val="1"/>
        <w:rPr>
          <w:rFonts w:ascii="Candara" w:eastAsia="Times New Roman" w:hAnsi="Candara" w:cs="Times New Roman"/>
          <w:b/>
          <w:bCs/>
          <w:color w:val="31B6FD"/>
          <w:sz w:val="26"/>
          <w:szCs w:val="26"/>
        </w:rPr>
      </w:pPr>
      <w:bookmarkStart w:id="72" w:name="_Toc138068784"/>
      <w:r w:rsidRPr="00E320BC">
        <w:rPr>
          <w:rFonts w:ascii="Candara" w:eastAsia="Times New Roman" w:hAnsi="Candara" w:cs="Times New Roman"/>
          <w:b/>
          <w:bCs/>
          <w:color w:val="31B6FD"/>
          <w:sz w:val="26"/>
          <w:szCs w:val="26"/>
        </w:rPr>
        <w:t>Obszary strategicznej interwencji strategii rozwoju województwa lubelskiego</w:t>
      </w:r>
      <w:bookmarkEnd w:id="72"/>
    </w:p>
    <w:p w:rsidR="00433123" w:rsidRDefault="00433123" w:rsidP="00E320BC">
      <w:pPr>
        <w:spacing w:after="0"/>
        <w:ind w:firstLine="357"/>
      </w:pPr>
      <w:r>
        <w:t>Podstawą określenia wymiaru terytorialnego w niniejszej Strategii jest nowy paradygmat polityki rozwoju, zdefiniowany w dokumentach strategicznych</w:t>
      </w:r>
      <w:r w:rsidRPr="00BF5B04">
        <w:rPr>
          <w:b/>
        </w:rPr>
        <w:t xml:space="preserve"> na poziomie krajowym</w:t>
      </w:r>
      <w:r w:rsidR="00A34C14">
        <w:t>, m.in. Strategii na </w:t>
      </w:r>
      <w:r>
        <w:t>rzecz Odpowiedzialnego Rozwoju i Krajowej Strategia Rozwoju Regionalnego 2030 (KSRR 2030). Model ten zakłada zmniejszanie dysproporcji w poziomie rozwoju społeczno-gospodarczego regionów oraz zapewnienie większej spójności rozwojowej Polski przez wsparcie obszarów słabszych gospodarczo - rozwój społecznie i terytorialnie zrównoważony</w:t>
      </w:r>
      <w:r>
        <w:rPr>
          <w:rStyle w:val="Odwoanieprzypisudolnego"/>
        </w:rPr>
        <w:footnoteReference w:id="33"/>
      </w:r>
      <w:r>
        <w:t xml:space="preserve">. </w:t>
      </w:r>
    </w:p>
    <w:p w:rsidR="009C298B" w:rsidRDefault="00433123" w:rsidP="00E320BC">
      <w:pPr>
        <w:spacing w:after="0"/>
        <w:ind w:firstLine="357"/>
      </w:pPr>
      <w:r>
        <w:t xml:space="preserve">Odejście od wspierania całego kraju czy regionów w jednolity sposób na rzecz większego różnicowania interwencji, w zależności od problemów i potencjałów poszczególnych obszarów, przełożyło się na wyznaczenie krajowych obszarów strategicznej interwencji (OSI) oraz na tworzenie instrumentów terytorialnych dopasowanych do ich specyficznych potrzeb rozwojowych. </w:t>
      </w:r>
      <w:r w:rsidR="009C298B">
        <w:t>Hrubieszowski Obszar Funkcjonalny objęty został OSI wyznaczonym w KSRR 2030:</w:t>
      </w:r>
    </w:p>
    <w:p w:rsidR="009C298B" w:rsidRDefault="00433123" w:rsidP="00A13FA7">
      <w:pPr>
        <w:pStyle w:val="Akapitzlist"/>
        <w:numPr>
          <w:ilvl w:val="0"/>
          <w:numId w:val="38"/>
        </w:numPr>
      </w:pPr>
      <w:proofErr w:type="gramStart"/>
      <w:r>
        <w:t>obszary</w:t>
      </w:r>
      <w:proofErr w:type="gramEnd"/>
      <w:r>
        <w:t xml:space="preserve"> z</w:t>
      </w:r>
      <w:r w:rsidR="009C298B">
        <w:t>agrożone trwałą marginalizacją,</w:t>
      </w:r>
    </w:p>
    <w:p w:rsidR="009C298B" w:rsidRDefault="00433123" w:rsidP="00A13FA7">
      <w:pPr>
        <w:pStyle w:val="Akapitzlist"/>
        <w:numPr>
          <w:ilvl w:val="0"/>
          <w:numId w:val="38"/>
        </w:numPr>
      </w:pPr>
      <w:proofErr w:type="gramStart"/>
      <w:r>
        <w:t>miasta</w:t>
      </w:r>
      <w:proofErr w:type="gramEnd"/>
      <w:r>
        <w:t xml:space="preserve"> średnie tracące </w:t>
      </w:r>
      <w:r w:rsidR="009C298B">
        <w:t>funkcje społeczno-gospodarcze,</w:t>
      </w:r>
    </w:p>
    <w:p w:rsidR="00433123" w:rsidRPr="009C298B" w:rsidRDefault="00433123" w:rsidP="00A13FA7">
      <w:pPr>
        <w:pStyle w:val="Akapitzlist"/>
        <w:numPr>
          <w:ilvl w:val="0"/>
          <w:numId w:val="38"/>
        </w:numPr>
        <w:rPr>
          <w:rFonts w:eastAsia="Candara" w:cs="Times New Roman"/>
        </w:rPr>
      </w:pPr>
      <w:proofErr w:type="gramStart"/>
      <w:r>
        <w:t>wschodnia</w:t>
      </w:r>
      <w:proofErr w:type="gramEnd"/>
      <w:r>
        <w:t xml:space="preserve"> Polska.</w:t>
      </w:r>
    </w:p>
    <w:p w:rsidR="009C298B" w:rsidRDefault="009C298B" w:rsidP="00E320BC">
      <w:pPr>
        <w:spacing w:after="0"/>
        <w:ind w:firstLine="357"/>
        <w:rPr>
          <w:rFonts w:ascii="Calibri" w:eastAsia="Candara" w:hAnsi="Calibri" w:cs="Times New Roman"/>
        </w:rPr>
      </w:pPr>
      <w:r>
        <w:t xml:space="preserve">W podejściu terytorialnym uwzględniono założenia i kierunki </w:t>
      </w:r>
      <w:r w:rsidRPr="00BF5B04">
        <w:rPr>
          <w:b/>
        </w:rPr>
        <w:t>polityki regionalnej</w:t>
      </w:r>
      <w:r w:rsidR="00A34C14">
        <w:t>, określone w </w:t>
      </w:r>
      <w:r>
        <w:t>Strategii Rozwoju Województw</w:t>
      </w:r>
      <w:r w:rsidR="00BF5B04">
        <w:t>a Lubelskiego 2030 (SRWL 2030), które mają za zadanie</w:t>
      </w:r>
      <w:r>
        <w:t xml:space="preserve"> wspieranie konkurencyjności ośrodków miejskich w ich zdolności do generowania korzystnego oddziaływania na otoczenie funkcjonalne</w:t>
      </w:r>
      <w:r w:rsidR="00BF5B04">
        <w:t xml:space="preserve"> oraz</w:t>
      </w:r>
      <w:r>
        <w:t xml:space="preserve"> włączanie w procesy rozwojowe obszarów o niższym poziomie rozwoju społecznego i gospodarczego czy określonych barierach i niskiej odporności na zjawiska kryzysowe </w:t>
      </w:r>
      <w:r w:rsidR="00BF5B04">
        <w:t>(OSI Żywicielski</w:t>
      </w:r>
      <w:r>
        <w:t xml:space="preserve">). </w:t>
      </w:r>
      <w:r w:rsidR="00BF5B04">
        <w:t xml:space="preserve">Równocześnie pod uwagę zostały wzięte wytyczne rozwoju przestrzennego wyznaczone </w:t>
      </w:r>
      <w:r>
        <w:t>za pomocą modelu struktury funkcjonalno-przestrzennej w Planie Zagospodarowania Przestrzennego Województwa Lubelskiego.</w:t>
      </w:r>
    </w:p>
    <w:p w:rsidR="00BF5B04" w:rsidRDefault="00E320BC" w:rsidP="00E320BC">
      <w:pPr>
        <w:spacing w:after="0"/>
        <w:ind w:firstLine="357"/>
      </w:pPr>
      <w:r w:rsidRPr="00E320BC">
        <w:rPr>
          <w:rFonts w:ascii="Calibri" w:eastAsia="Candara" w:hAnsi="Calibri" w:cs="Times New Roman"/>
        </w:rPr>
        <w:t xml:space="preserve">OSI to obszary, dla których zdefiniowano indywidualny priorytet rozwojowy, który determinuje zakres planowanego wsparcia w ramach instrumentów terytorialnych. Każdy z OSI ma wyznaczone kierunki działań i typy przedsięwzięć, których realizacja ma szczególne znaczenie dla priorytetów rozwojowych poszczególnych subregionów funkcjonalnych. </w:t>
      </w:r>
      <w:r w:rsidR="00BF5B04">
        <w:t>Zakres OSI wskazanych w SRWL 2030 obejmuje:</w:t>
      </w:r>
    </w:p>
    <w:p w:rsidR="000E4CB3" w:rsidRDefault="000E4CB3" w:rsidP="000E4CB3">
      <w:pPr>
        <w:pStyle w:val="Legenda"/>
        <w:keepNext/>
        <w:spacing w:after="0"/>
      </w:pPr>
      <w:bookmarkStart w:id="73" w:name="_Toc138068515"/>
      <w:r>
        <w:lastRenderedPageBreak/>
        <w:t xml:space="preserve">Ryc. </w:t>
      </w:r>
      <w:r w:rsidR="00E20FF4">
        <w:fldChar w:fldCharType="begin"/>
      </w:r>
      <w:r w:rsidR="00E20FF4">
        <w:instrText xml:space="preserve"> SEQ Ryc. </w:instrText>
      </w:r>
      <w:r w:rsidR="00E20FF4">
        <w:instrText xml:space="preserve">\* ARABIC </w:instrText>
      </w:r>
      <w:r w:rsidR="00E20FF4">
        <w:fldChar w:fldCharType="separate"/>
      </w:r>
      <w:r w:rsidR="0022657A">
        <w:rPr>
          <w:noProof/>
        </w:rPr>
        <w:t>19</w:t>
      </w:r>
      <w:r w:rsidR="00E20FF4">
        <w:rPr>
          <w:noProof/>
        </w:rPr>
        <w:fldChar w:fldCharType="end"/>
      </w:r>
      <w:r>
        <w:t>. OSI Miejskie Obszary Funkcjonalne</w:t>
      </w:r>
      <w:bookmarkEnd w:id="73"/>
    </w:p>
    <w:p w:rsidR="000E4CB3" w:rsidRDefault="000E4CB3" w:rsidP="00977E7E">
      <w:pPr>
        <w:spacing w:before="0" w:after="0"/>
        <w:ind w:firstLine="0"/>
        <w:jc w:val="center"/>
        <w:rPr>
          <w:rFonts w:ascii="Calibri" w:eastAsia="Candara" w:hAnsi="Calibri" w:cs="Times New Roman"/>
        </w:rPr>
      </w:pPr>
      <w:r>
        <w:rPr>
          <w:rFonts w:ascii="Calibri" w:eastAsia="Candara" w:hAnsi="Calibri" w:cs="Times New Roman"/>
          <w:noProof/>
          <w:lang w:eastAsia="pl-PL"/>
        </w:rPr>
        <w:drawing>
          <wp:inline distT="0" distB="0" distL="0" distR="0" wp14:anchorId="0D6D1DBC" wp14:editId="2E1A65C7">
            <wp:extent cx="4540250" cy="3564639"/>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41040" cy="3565259"/>
                    </a:xfrm>
                    <a:prstGeom prst="rect">
                      <a:avLst/>
                    </a:prstGeom>
                    <a:noFill/>
                  </pic:spPr>
                </pic:pic>
              </a:graphicData>
            </a:graphic>
          </wp:inline>
        </w:drawing>
      </w:r>
    </w:p>
    <w:p w:rsidR="000E4CB3" w:rsidRPr="000E4CB3" w:rsidRDefault="000E4CB3" w:rsidP="000E4CB3">
      <w:pPr>
        <w:spacing w:before="0" w:after="0"/>
        <w:ind w:firstLine="357"/>
        <w:rPr>
          <w:rFonts w:ascii="Calibri" w:eastAsia="Candara" w:hAnsi="Calibri" w:cs="Times New Roman"/>
          <w:i/>
          <w:sz w:val="18"/>
          <w:szCs w:val="18"/>
        </w:rPr>
      </w:pPr>
      <w:r w:rsidRPr="000E4CB3">
        <w:rPr>
          <w:rFonts w:ascii="Calibri" w:eastAsia="Candara" w:hAnsi="Calibri" w:cs="Times New Roman"/>
          <w:i/>
          <w:sz w:val="18"/>
          <w:szCs w:val="18"/>
        </w:rPr>
        <w:t xml:space="preserve">Źródło: </w:t>
      </w:r>
      <w:r w:rsidRPr="000E4CB3">
        <w:rPr>
          <w:i/>
          <w:sz w:val="18"/>
          <w:szCs w:val="18"/>
        </w:rPr>
        <w:t>Opracowanie własne na podstawie Strategii Rozwoju Województwa Lubelskiego do 2030 roku</w:t>
      </w:r>
    </w:p>
    <w:p w:rsidR="00977E7E" w:rsidRDefault="00977E7E" w:rsidP="00A13FA7">
      <w:pPr>
        <w:pStyle w:val="Akapitzlist"/>
        <w:numPr>
          <w:ilvl w:val="0"/>
          <w:numId w:val="39"/>
        </w:numPr>
        <w:ind w:left="851"/>
      </w:pPr>
      <w:proofErr w:type="gramStart"/>
      <w:r>
        <w:t>obszary</w:t>
      </w:r>
      <w:proofErr w:type="gramEnd"/>
      <w:r>
        <w:t xml:space="preserve"> współpracy w strefach silnego oddziaływania miast (Miejskie Obszary Funkcjonalne ośrodków </w:t>
      </w:r>
      <w:proofErr w:type="spellStart"/>
      <w:r>
        <w:t>subregionalnych</w:t>
      </w:r>
      <w:proofErr w:type="spellEnd"/>
      <w:r>
        <w:t xml:space="preserve"> i lokalnych oraz Lubelski Obszar Metropolitalny);</w:t>
      </w:r>
    </w:p>
    <w:p w:rsidR="00977E7E" w:rsidRPr="00BF5B04" w:rsidRDefault="00977E7E" w:rsidP="00A13FA7">
      <w:pPr>
        <w:pStyle w:val="Akapitzlist"/>
        <w:numPr>
          <w:ilvl w:val="0"/>
          <w:numId w:val="39"/>
        </w:numPr>
        <w:ind w:left="851"/>
        <w:rPr>
          <w:rFonts w:eastAsia="Candara" w:cs="Times New Roman"/>
        </w:rPr>
      </w:pPr>
      <w:proofErr w:type="gramStart"/>
      <w:r>
        <w:t>strefy</w:t>
      </w:r>
      <w:proofErr w:type="gramEnd"/>
      <w:r>
        <w:t xml:space="preserve"> funkcjonalne, charakteryzujące się wspólnymi uwarunkowaniami i celami rozwojowymi, na których przewiduje się współpracę w układach ponadlokalnych (OSI </w:t>
      </w:r>
      <w:proofErr w:type="spellStart"/>
      <w:r>
        <w:t>Subregionalne</w:t>
      </w:r>
      <w:proofErr w:type="spellEnd"/>
      <w:r>
        <w:t>: Roztocze, Polesie, Powiśle, Podlaski, Żywicielski).</w:t>
      </w:r>
    </w:p>
    <w:p w:rsidR="00E320BC" w:rsidRPr="00E320BC" w:rsidRDefault="00E320BC" w:rsidP="00E320BC">
      <w:pPr>
        <w:spacing w:after="0"/>
        <w:ind w:firstLine="357"/>
        <w:rPr>
          <w:rFonts w:ascii="Calibri" w:eastAsia="Candara" w:hAnsi="Calibri" w:cs="Times New Roman"/>
        </w:rPr>
      </w:pPr>
      <w:r w:rsidRPr="00E320BC">
        <w:rPr>
          <w:rFonts w:ascii="Calibri" w:eastAsia="Candara" w:hAnsi="Calibri" w:cs="Times New Roman"/>
        </w:rPr>
        <w:t xml:space="preserve">W Strategii Rozwoju Województwa Lubelskiego do 2030 r. na terenie Lubelszczyzny wyróżniono 12 MOF ośrodków lokalnych, w tym MOF Hrubieszowa: miasto </w:t>
      </w:r>
      <w:proofErr w:type="gramStart"/>
      <w:r w:rsidRPr="00E320BC">
        <w:rPr>
          <w:rFonts w:ascii="Calibri" w:eastAsia="Candara" w:hAnsi="Calibri" w:cs="Times New Roman"/>
        </w:rPr>
        <w:t>Hrubieszów – jako</w:t>
      </w:r>
      <w:proofErr w:type="gramEnd"/>
      <w:r w:rsidRPr="00E320BC">
        <w:rPr>
          <w:rFonts w:ascii="Calibri" w:eastAsia="Candara" w:hAnsi="Calibri" w:cs="Times New Roman"/>
        </w:rPr>
        <w:t xml:space="preserve"> ośrodek rdzeniowy oraz Gmina Hrubieszów jako strefa zewnętrzna. Obie gminy są ściśle ze sobą połączone przestrzennie i funkcjonalnie. </w:t>
      </w:r>
      <w:r w:rsidRPr="00E320BC">
        <w:rPr>
          <w:rFonts w:ascii="Calibri" w:eastAsia="Candara" w:hAnsi="Calibri" w:cs="Times New Roman"/>
          <w:bCs/>
        </w:rPr>
        <w:t>Ten ośrodek lokalny pełni ważną rolę w zakresie funkcji sektora publicznego</w:t>
      </w:r>
      <w:r w:rsidR="00317486">
        <w:rPr>
          <w:rFonts w:ascii="Calibri" w:eastAsia="Candara" w:hAnsi="Calibri" w:cs="Times New Roman"/>
          <w:bCs/>
        </w:rPr>
        <w:t>,</w:t>
      </w:r>
      <w:r w:rsidRPr="00E320BC">
        <w:rPr>
          <w:rFonts w:ascii="Calibri" w:eastAsia="Candara" w:hAnsi="Calibri" w:cs="Times New Roman"/>
          <w:bCs/>
        </w:rPr>
        <w:t xml:space="preserve"> charakteryzuje się potencjałem sprzyjającym rozwojowi usłu</w:t>
      </w:r>
      <w:r w:rsidR="00317486">
        <w:rPr>
          <w:rFonts w:ascii="Calibri" w:eastAsia="Candara" w:hAnsi="Calibri" w:cs="Times New Roman"/>
          <w:bCs/>
        </w:rPr>
        <w:t>g z zakresu otoczenia rolnictwa oraz</w:t>
      </w:r>
      <w:r w:rsidRPr="00E320BC">
        <w:rPr>
          <w:rFonts w:ascii="Calibri" w:eastAsia="Candara" w:hAnsi="Calibri" w:cs="Times New Roman"/>
          <w:bCs/>
        </w:rPr>
        <w:t xml:space="preserve"> bazy przemysłu rolno-spożywczego.</w:t>
      </w:r>
    </w:p>
    <w:p w:rsidR="00E320BC" w:rsidRPr="00E320BC" w:rsidRDefault="00E320BC" w:rsidP="00E320BC">
      <w:pPr>
        <w:spacing w:after="0"/>
        <w:ind w:firstLine="357"/>
        <w:rPr>
          <w:rFonts w:ascii="Calibri" w:eastAsia="Candara" w:hAnsi="Calibri" w:cs="Times New Roman"/>
          <w:bCs/>
        </w:rPr>
      </w:pPr>
      <w:r w:rsidRPr="00E320BC">
        <w:rPr>
          <w:rFonts w:ascii="Calibri" w:eastAsia="Candara" w:hAnsi="Calibri" w:cs="Times New Roman"/>
          <w:bCs/>
        </w:rPr>
        <w:t xml:space="preserve">W dokumencie Strategii Rozwoju Województwa Lubelskiego do 2030 roku wskazano 5 obszarów strategicznej interwencji o znaczeniu </w:t>
      </w:r>
      <w:proofErr w:type="spellStart"/>
      <w:r w:rsidRPr="00E320BC">
        <w:rPr>
          <w:rFonts w:ascii="Calibri" w:eastAsia="Candara" w:hAnsi="Calibri" w:cs="Times New Roman"/>
          <w:bCs/>
        </w:rPr>
        <w:t>subregionalnym</w:t>
      </w:r>
      <w:proofErr w:type="spellEnd"/>
      <w:r w:rsidRPr="00E320BC">
        <w:rPr>
          <w:rFonts w:ascii="Calibri" w:eastAsia="Candara" w:hAnsi="Calibri" w:cs="Times New Roman"/>
          <w:bCs/>
        </w:rPr>
        <w:t xml:space="preserve">, są to:  </w:t>
      </w:r>
    </w:p>
    <w:p w:rsidR="00E320BC" w:rsidRPr="00E320BC" w:rsidRDefault="00E320BC" w:rsidP="00A13FA7">
      <w:pPr>
        <w:numPr>
          <w:ilvl w:val="0"/>
          <w:numId w:val="9"/>
        </w:numPr>
        <w:spacing w:after="0"/>
        <w:contextualSpacing/>
        <w:rPr>
          <w:rFonts w:ascii="Calibri" w:eastAsia="Candara" w:hAnsi="Calibri" w:cs="Times New Roman"/>
          <w:bCs/>
        </w:rPr>
      </w:pPr>
      <w:r w:rsidRPr="00E320BC">
        <w:rPr>
          <w:rFonts w:ascii="Calibri" w:eastAsia="Candara" w:hAnsi="Calibri" w:cs="Times New Roman"/>
          <w:bCs/>
        </w:rPr>
        <w:t>OSI Roztocze,</w:t>
      </w:r>
    </w:p>
    <w:p w:rsidR="00E320BC" w:rsidRPr="00E320BC" w:rsidRDefault="00E320BC" w:rsidP="00A13FA7">
      <w:pPr>
        <w:numPr>
          <w:ilvl w:val="0"/>
          <w:numId w:val="9"/>
        </w:numPr>
        <w:spacing w:after="0"/>
        <w:contextualSpacing/>
        <w:rPr>
          <w:rFonts w:ascii="Calibri" w:eastAsia="Candara" w:hAnsi="Calibri" w:cs="Times New Roman"/>
          <w:bCs/>
        </w:rPr>
      </w:pPr>
      <w:r w:rsidRPr="00E320BC">
        <w:rPr>
          <w:rFonts w:ascii="Calibri" w:eastAsia="Candara" w:hAnsi="Calibri" w:cs="Times New Roman"/>
          <w:bCs/>
        </w:rPr>
        <w:t>OSI Powiśle,</w:t>
      </w:r>
    </w:p>
    <w:p w:rsidR="00E320BC" w:rsidRPr="00E320BC" w:rsidRDefault="00E320BC" w:rsidP="00A13FA7">
      <w:pPr>
        <w:numPr>
          <w:ilvl w:val="0"/>
          <w:numId w:val="9"/>
        </w:numPr>
        <w:spacing w:after="0"/>
        <w:contextualSpacing/>
        <w:rPr>
          <w:rFonts w:ascii="Calibri" w:eastAsia="Candara" w:hAnsi="Calibri" w:cs="Times New Roman"/>
          <w:bCs/>
        </w:rPr>
      </w:pPr>
      <w:r w:rsidRPr="00E320BC">
        <w:rPr>
          <w:rFonts w:ascii="Calibri" w:eastAsia="Candara" w:hAnsi="Calibri" w:cs="Times New Roman"/>
          <w:bCs/>
        </w:rPr>
        <w:t>OSI Polesie,</w:t>
      </w:r>
    </w:p>
    <w:p w:rsidR="00E320BC" w:rsidRPr="00E320BC" w:rsidRDefault="00E320BC" w:rsidP="00A13FA7">
      <w:pPr>
        <w:numPr>
          <w:ilvl w:val="0"/>
          <w:numId w:val="9"/>
        </w:numPr>
        <w:spacing w:after="0"/>
        <w:contextualSpacing/>
        <w:rPr>
          <w:rFonts w:ascii="Calibri" w:eastAsia="Candara" w:hAnsi="Calibri" w:cs="Times New Roman"/>
          <w:bCs/>
        </w:rPr>
      </w:pPr>
      <w:r w:rsidRPr="00E320BC">
        <w:rPr>
          <w:rFonts w:ascii="Calibri" w:eastAsia="Candara" w:hAnsi="Calibri" w:cs="Times New Roman"/>
          <w:bCs/>
        </w:rPr>
        <w:t>Podlaski OSI,</w:t>
      </w:r>
    </w:p>
    <w:p w:rsidR="00E320BC" w:rsidRPr="00E320BC" w:rsidRDefault="00E320BC" w:rsidP="00A13FA7">
      <w:pPr>
        <w:numPr>
          <w:ilvl w:val="0"/>
          <w:numId w:val="9"/>
        </w:numPr>
        <w:spacing w:after="0"/>
        <w:contextualSpacing/>
        <w:rPr>
          <w:rFonts w:ascii="Calibri" w:eastAsia="Candara" w:hAnsi="Calibri" w:cs="Times New Roman"/>
          <w:bCs/>
        </w:rPr>
      </w:pPr>
      <w:r w:rsidRPr="00E320BC">
        <w:rPr>
          <w:rFonts w:ascii="Calibri" w:eastAsia="Candara" w:hAnsi="Calibri" w:cs="Times New Roman"/>
          <w:bCs/>
        </w:rPr>
        <w:t>Żywicielski OSI.</w:t>
      </w:r>
    </w:p>
    <w:p w:rsidR="00F87C9B" w:rsidRDefault="00F87C9B" w:rsidP="00E320BC">
      <w:pPr>
        <w:spacing w:after="0"/>
        <w:ind w:firstLine="357"/>
        <w:rPr>
          <w:rFonts w:ascii="Calibri" w:eastAsia="Candara" w:hAnsi="Calibri" w:cs="Times New Roman"/>
        </w:rPr>
      </w:pPr>
      <w:r w:rsidRPr="0086609A">
        <w:t xml:space="preserve">Podstawą wyznaczania w Strategii </w:t>
      </w:r>
      <w:r>
        <w:t xml:space="preserve">Rozwoju Województwa </w:t>
      </w:r>
      <w:r w:rsidRPr="0086609A">
        <w:t xml:space="preserve">OSI </w:t>
      </w:r>
      <w:proofErr w:type="spellStart"/>
      <w:r w:rsidRPr="0086609A">
        <w:t>subregionalnych</w:t>
      </w:r>
      <w:proofErr w:type="spellEnd"/>
      <w:r w:rsidRPr="0086609A">
        <w:t xml:space="preserve"> są zróżnicowane cechy przestrzeni odzwierciedlone w waloryzacji funkcjonalnej województwa zawartej w Planie Zagospodarowania Przestrzennego Województwa Lubelskiego oraz regionalizacji fizyczno</w:t>
      </w:r>
      <w:r>
        <w:t>-</w:t>
      </w:r>
      <w:r w:rsidRPr="0086609A">
        <w:t>geograficznej Polski</w:t>
      </w:r>
      <w:r>
        <w:t>.</w:t>
      </w:r>
    </w:p>
    <w:p w:rsidR="00E320BC" w:rsidRPr="00E320BC" w:rsidRDefault="00E320BC" w:rsidP="00E320BC">
      <w:pPr>
        <w:spacing w:after="0"/>
        <w:ind w:firstLine="357"/>
        <w:rPr>
          <w:rFonts w:ascii="Calibri" w:eastAsia="Candara" w:hAnsi="Calibri" w:cs="Times New Roman"/>
          <w:bCs/>
        </w:rPr>
      </w:pPr>
      <w:r w:rsidRPr="00E320BC">
        <w:rPr>
          <w:rFonts w:ascii="Calibri" w:eastAsia="Candara" w:hAnsi="Calibri" w:cs="Times New Roman"/>
        </w:rPr>
        <w:lastRenderedPageBreak/>
        <w:t xml:space="preserve">Hrubieszowski Obszar Funkcjonalny w Strategii </w:t>
      </w:r>
      <w:r w:rsidRPr="00E320BC">
        <w:rPr>
          <w:rFonts w:ascii="Calibri" w:eastAsia="Candara" w:hAnsi="Calibri" w:cs="Times New Roman"/>
          <w:bCs/>
        </w:rPr>
        <w:t xml:space="preserve">Rozwoju Województwa Lubelskiego do 2030 roku jest przypisany do </w:t>
      </w:r>
      <w:r w:rsidRPr="00E320BC">
        <w:rPr>
          <w:rFonts w:ascii="Calibri" w:eastAsia="Candara" w:hAnsi="Calibri" w:cs="Times New Roman"/>
          <w:b/>
          <w:bCs/>
        </w:rPr>
        <w:t>ŻYWICIELSKIEGO Obszaru Strategicznej Interwencji</w:t>
      </w:r>
      <w:r w:rsidRPr="00E320BC">
        <w:rPr>
          <w:rFonts w:ascii="Calibri" w:eastAsia="Candara" w:hAnsi="Calibri" w:cs="Times New Roman"/>
          <w:bCs/>
        </w:rPr>
        <w:t>. Priorytetem rozwoju gmin wchodzących w skład Żywicielskiego OSI jest w</w:t>
      </w:r>
      <w:r w:rsidRPr="00E320BC">
        <w:rPr>
          <w:rFonts w:ascii="Calibri" w:eastAsia="Calibri" w:hAnsi="Calibri" w:cs="Candara"/>
        </w:rPr>
        <w:t xml:space="preserve">ykorzystanie zasobów naturalnych Wyżyny Lubelskiej dla rozwoju konkurencyjnego rolnictwa. </w:t>
      </w:r>
      <w:r w:rsidRPr="00E320BC">
        <w:rPr>
          <w:rFonts w:ascii="Calibri" w:eastAsia="Candara" w:hAnsi="Calibri" w:cs="Times New Roman"/>
          <w:bCs/>
        </w:rPr>
        <w:t>W obszarze tym występuje koncentracja gospodarstw specjalizujących się w uprawie roślin o wysokich wymaganiach glebowych, tj. zbóż (pszenica), buraków cukrowych, rzepaku, chmielu, tytoniu, owoców, warzyw, ziół.</w:t>
      </w:r>
    </w:p>
    <w:p w:rsidR="00E320BC" w:rsidRDefault="00E320BC" w:rsidP="00E320BC">
      <w:pPr>
        <w:keepNext/>
        <w:spacing w:after="0" w:line="240" w:lineRule="auto"/>
        <w:ind w:firstLine="357"/>
        <w:rPr>
          <w:rFonts w:ascii="Calibri" w:eastAsia="Candara" w:hAnsi="Calibri" w:cs="Times New Roman"/>
          <w:b/>
          <w:bCs/>
          <w:color w:val="31B6FD"/>
          <w:sz w:val="18"/>
          <w:szCs w:val="18"/>
        </w:rPr>
      </w:pPr>
      <w:bookmarkStart w:id="74" w:name="_Toc138068516"/>
      <w:r w:rsidRPr="00E320BC">
        <w:rPr>
          <w:rFonts w:ascii="Calibri" w:eastAsia="Candara" w:hAnsi="Calibri" w:cs="Times New Roman"/>
          <w:b/>
          <w:bCs/>
          <w:color w:val="31B6FD"/>
          <w:sz w:val="18"/>
          <w:szCs w:val="18"/>
        </w:rPr>
        <w:t xml:space="preserve">Ryc. </w:t>
      </w:r>
      <w:r w:rsidRPr="00E320BC">
        <w:rPr>
          <w:rFonts w:ascii="Calibri" w:eastAsia="Candara" w:hAnsi="Calibri" w:cs="Times New Roman"/>
          <w:b/>
          <w:bCs/>
          <w:color w:val="31B6FD"/>
          <w:sz w:val="18"/>
          <w:szCs w:val="18"/>
        </w:rPr>
        <w:fldChar w:fldCharType="begin"/>
      </w:r>
      <w:r w:rsidRPr="00E320BC">
        <w:rPr>
          <w:rFonts w:ascii="Calibri" w:eastAsia="Candara" w:hAnsi="Calibri" w:cs="Times New Roman"/>
          <w:b/>
          <w:bCs/>
          <w:color w:val="31B6FD"/>
          <w:sz w:val="18"/>
          <w:szCs w:val="18"/>
        </w:rPr>
        <w:instrText xml:space="preserve"> SEQ Ryc. \* ARABIC </w:instrText>
      </w:r>
      <w:r w:rsidRPr="00E320BC">
        <w:rPr>
          <w:rFonts w:ascii="Calibri" w:eastAsia="Candara" w:hAnsi="Calibri" w:cs="Times New Roman"/>
          <w:b/>
          <w:bCs/>
          <w:color w:val="31B6FD"/>
          <w:sz w:val="18"/>
          <w:szCs w:val="18"/>
        </w:rPr>
        <w:fldChar w:fldCharType="separate"/>
      </w:r>
      <w:r w:rsidR="0022657A">
        <w:rPr>
          <w:rFonts w:ascii="Calibri" w:eastAsia="Candara" w:hAnsi="Calibri" w:cs="Times New Roman"/>
          <w:b/>
          <w:bCs/>
          <w:noProof/>
          <w:color w:val="31B6FD"/>
          <w:sz w:val="18"/>
          <w:szCs w:val="18"/>
        </w:rPr>
        <w:t>20</w:t>
      </w:r>
      <w:r w:rsidRPr="00E320BC">
        <w:rPr>
          <w:rFonts w:ascii="Calibri" w:eastAsia="Candara" w:hAnsi="Calibri" w:cs="Times New Roman"/>
          <w:b/>
          <w:bCs/>
          <w:noProof/>
          <w:color w:val="31B6FD"/>
          <w:sz w:val="18"/>
          <w:szCs w:val="18"/>
        </w:rPr>
        <w:fldChar w:fldCharType="end"/>
      </w:r>
      <w:r w:rsidRPr="00E320BC">
        <w:rPr>
          <w:rFonts w:ascii="Calibri" w:eastAsia="Candara" w:hAnsi="Calibri" w:cs="Times New Roman"/>
          <w:b/>
          <w:bCs/>
          <w:color w:val="31B6FD"/>
          <w:sz w:val="18"/>
          <w:szCs w:val="18"/>
        </w:rPr>
        <w:t>. Położenie HOF na tle Żywicielskiego OSI</w:t>
      </w:r>
      <w:bookmarkEnd w:id="74"/>
    </w:p>
    <w:p w:rsidR="00EF0A46" w:rsidRDefault="00EF0A46" w:rsidP="00E320BC">
      <w:pPr>
        <w:keepNext/>
        <w:spacing w:after="0" w:line="240" w:lineRule="auto"/>
        <w:ind w:firstLine="357"/>
        <w:rPr>
          <w:rFonts w:ascii="Calibri" w:eastAsia="Candara" w:hAnsi="Calibri" w:cs="Times New Roman"/>
          <w:b/>
          <w:bCs/>
          <w:color w:val="31B6FD"/>
          <w:sz w:val="18"/>
          <w:szCs w:val="18"/>
        </w:rPr>
      </w:pPr>
    </w:p>
    <w:p w:rsidR="00EF0A46" w:rsidRPr="00E320BC" w:rsidRDefault="00EF0A46" w:rsidP="00EF0A46">
      <w:pPr>
        <w:keepNext/>
        <w:spacing w:before="0" w:after="0" w:line="240" w:lineRule="auto"/>
        <w:ind w:firstLine="357"/>
        <w:rPr>
          <w:rFonts w:ascii="Calibri" w:eastAsia="Candara" w:hAnsi="Calibri" w:cs="Times New Roman"/>
          <w:b/>
          <w:bCs/>
          <w:color w:val="31B6FD"/>
          <w:sz w:val="18"/>
          <w:szCs w:val="18"/>
        </w:rPr>
      </w:pPr>
      <w:r>
        <w:rPr>
          <w:i/>
          <w:noProof/>
          <w:sz w:val="18"/>
          <w:szCs w:val="18"/>
          <w:lang w:eastAsia="pl-PL"/>
        </w:rPr>
        <w:drawing>
          <wp:inline distT="0" distB="0" distL="0" distR="0" wp14:anchorId="45BF4AC6" wp14:editId="56A472B5">
            <wp:extent cx="4940486" cy="3524250"/>
            <wp:effectExtent l="0" t="0" r="0" b="0"/>
            <wp:docPr id="311" name="Obraz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zem osi.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946197" cy="3528324"/>
                    </a:xfrm>
                    <a:prstGeom prst="rect">
                      <a:avLst/>
                    </a:prstGeom>
                  </pic:spPr>
                </pic:pic>
              </a:graphicData>
            </a:graphic>
          </wp:inline>
        </w:drawing>
      </w:r>
    </w:p>
    <w:p w:rsidR="00E320BC" w:rsidRPr="00E320BC" w:rsidRDefault="00E320BC" w:rsidP="00E320BC">
      <w:pPr>
        <w:spacing w:after="0"/>
        <w:ind w:firstLine="357"/>
        <w:rPr>
          <w:rFonts w:ascii="Calibri" w:eastAsia="Candara" w:hAnsi="Calibri" w:cs="Times New Roman"/>
        </w:rPr>
      </w:pPr>
    </w:p>
    <w:p w:rsidR="00E320BC" w:rsidRPr="00E320BC" w:rsidRDefault="00E320BC" w:rsidP="00EF0A46">
      <w:pPr>
        <w:spacing w:before="0" w:after="0"/>
        <w:ind w:firstLine="357"/>
        <w:rPr>
          <w:rFonts w:ascii="Calibri" w:eastAsia="Candara" w:hAnsi="Calibri" w:cs="Times New Roman"/>
          <w:i/>
          <w:sz w:val="18"/>
          <w:szCs w:val="18"/>
        </w:rPr>
      </w:pPr>
      <w:r w:rsidRPr="00E320BC">
        <w:rPr>
          <w:rFonts w:ascii="Calibri" w:eastAsia="Candara" w:hAnsi="Calibri" w:cs="Times New Roman"/>
          <w:i/>
          <w:sz w:val="18"/>
          <w:szCs w:val="18"/>
        </w:rPr>
        <w:t>Źródło: Opracowanie własne na podstawie Strategii Rozwoju Województwa Lubelskiego do 2030 r.</w:t>
      </w:r>
    </w:p>
    <w:p w:rsidR="00F87C9B" w:rsidRDefault="00F87C9B" w:rsidP="00F87C9B">
      <w:r w:rsidRPr="00F87C9B">
        <w:t xml:space="preserve">W dokumencie Strategii wyznaczono najważniejsze kierunki interwencji Żywicielskiego OSI, umożliwiające realizacje jej celów. Należą do </w:t>
      </w:r>
      <w:r w:rsidR="00046BC8" w:rsidRPr="00F87C9B">
        <w:t>nich</w:t>
      </w:r>
      <w:r w:rsidRPr="00F87C9B">
        <w:t>:</w:t>
      </w:r>
    </w:p>
    <w:p w:rsidR="00F87C9B" w:rsidRDefault="00F87C9B" w:rsidP="00A13FA7">
      <w:pPr>
        <w:pStyle w:val="Akapitzlist"/>
        <w:numPr>
          <w:ilvl w:val="0"/>
          <w:numId w:val="25"/>
        </w:numPr>
        <w:ind w:left="709"/>
      </w:pPr>
      <w:r w:rsidRPr="000666D3">
        <w:t>Poprawa konkurencyjności gospodarstw rolnych</w:t>
      </w:r>
      <w:r w:rsidR="00C8738A">
        <w:t>;</w:t>
      </w:r>
    </w:p>
    <w:p w:rsidR="00F87C9B" w:rsidRDefault="00F87C9B" w:rsidP="00A13FA7">
      <w:pPr>
        <w:pStyle w:val="Akapitzlist"/>
        <w:numPr>
          <w:ilvl w:val="0"/>
          <w:numId w:val="25"/>
        </w:numPr>
        <w:ind w:left="709"/>
      </w:pPr>
      <w:r w:rsidRPr="000666D3">
        <w:t>Rozwój przedsiębiorczości wykorzystującej surowce rolne</w:t>
      </w:r>
      <w:r w:rsidR="00C8738A">
        <w:t>;</w:t>
      </w:r>
    </w:p>
    <w:p w:rsidR="00F87C9B" w:rsidRDefault="00C8738A" w:rsidP="00A13FA7">
      <w:pPr>
        <w:pStyle w:val="Akapitzlist"/>
        <w:numPr>
          <w:ilvl w:val="0"/>
          <w:numId w:val="25"/>
        </w:numPr>
        <w:ind w:left="709"/>
      </w:pPr>
      <w:r w:rsidRPr="000666D3">
        <w:t>Zrównoważony rozwój systemów infrastruktury technicznej</w:t>
      </w:r>
      <w:r>
        <w:t>;</w:t>
      </w:r>
    </w:p>
    <w:p w:rsidR="00C8738A" w:rsidRDefault="00C8738A" w:rsidP="00A13FA7">
      <w:pPr>
        <w:pStyle w:val="Akapitzlist"/>
        <w:numPr>
          <w:ilvl w:val="0"/>
          <w:numId w:val="25"/>
        </w:numPr>
        <w:ind w:left="709"/>
      </w:pPr>
      <w:r w:rsidRPr="00C8738A">
        <w:t>Ochrona walorów środowiska</w:t>
      </w:r>
      <w:r>
        <w:t>;</w:t>
      </w:r>
    </w:p>
    <w:p w:rsidR="00C8738A" w:rsidRDefault="00C8738A" w:rsidP="00A13FA7">
      <w:pPr>
        <w:pStyle w:val="Akapitzlist"/>
        <w:numPr>
          <w:ilvl w:val="0"/>
          <w:numId w:val="25"/>
        </w:numPr>
        <w:ind w:left="709"/>
      </w:pPr>
      <w:r w:rsidRPr="00C8738A">
        <w:t>Innowacyjne wykorzystanie walorów przyrodniczo-kulturowych, rozwój sportu i usług wolnego czasu</w:t>
      </w:r>
      <w:r>
        <w:t>;</w:t>
      </w:r>
    </w:p>
    <w:p w:rsidR="00C8738A" w:rsidRDefault="00C8738A" w:rsidP="00A13FA7">
      <w:pPr>
        <w:pStyle w:val="Akapitzlist"/>
        <w:numPr>
          <w:ilvl w:val="0"/>
          <w:numId w:val="25"/>
        </w:numPr>
        <w:ind w:left="709"/>
      </w:pPr>
      <w:r w:rsidRPr="00C8738A">
        <w:t>Wzmocnienie współpracy transgranicznej i międzyregionalnej</w:t>
      </w:r>
      <w:r>
        <w:t>.</w:t>
      </w:r>
    </w:p>
    <w:p w:rsidR="00E320BC" w:rsidRPr="00E320BC" w:rsidRDefault="00E320BC" w:rsidP="00E320BC">
      <w:pPr>
        <w:spacing w:after="0"/>
        <w:ind w:firstLine="357"/>
        <w:rPr>
          <w:rFonts w:ascii="Calibri" w:eastAsia="Candara" w:hAnsi="Calibri" w:cs="Times New Roman"/>
          <w:i/>
          <w:iCs/>
          <w:color w:val="808080"/>
          <w:sz w:val="20"/>
          <w:szCs w:val="20"/>
        </w:rPr>
      </w:pPr>
      <w:r w:rsidRPr="00E320BC">
        <w:rPr>
          <w:rFonts w:ascii="Calibri" w:eastAsia="Candara" w:hAnsi="Calibri" w:cs="Times New Roman"/>
          <w:i/>
          <w:iCs/>
          <w:color w:val="808080"/>
          <w:sz w:val="20"/>
          <w:szCs w:val="20"/>
        </w:rPr>
        <w:t xml:space="preserve">Szczegółowa charakterystyka obszarów strategicznej interwencji (OSI) Strategii rozwoju województwa została wskazana w rozdziale 2.2. </w:t>
      </w:r>
      <w:proofErr w:type="gramStart"/>
      <w:r w:rsidRPr="00E320BC">
        <w:rPr>
          <w:rFonts w:ascii="Calibri" w:eastAsia="Candara" w:hAnsi="Calibri" w:cs="Times New Roman"/>
          <w:i/>
          <w:iCs/>
          <w:color w:val="808080"/>
          <w:sz w:val="20"/>
          <w:szCs w:val="20"/>
        </w:rPr>
        <w:t>w</w:t>
      </w:r>
      <w:proofErr w:type="gramEnd"/>
      <w:r w:rsidRPr="00E320BC">
        <w:rPr>
          <w:rFonts w:ascii="Calibri" w:eastAsia="Candara" w:hAnsi="Calibri" w:cs="Times New Roman"/>
          <w:i/>
          <w:iCs/>
          <w:color w:val="808080"/>
          <w:sz w:val="20"/>
          <w:szCs w:val="20"/>
        </w:rPr>
        <w:t xml:space="preserve"> podrozdziale „Obszary strategicznej interwencji strategii rozwoju województwa” (Diagnoza sytuacji społecznej, gospodarczej i przestrzennej Hrubieszowskiego Obszaru Funkcjonalnego) oraz w rozdziale 6 „Zgodność strategii z innymi dokumentami strategicznymi i planistycznymi”.</w:t>
      </w:r>
    </w:p>
    <w:p w:rsidR="00E320BC" w:rsidRPr="00E320BC" w:rsidRDefault="00C8738A" w:rsidP="001748D8">
      <w:r>
        <w:rPr>
          <w:rFonts w:cs="Times New Roman"/>
        </w:rPr>
        <w:lastRenderedPageBreak/>
        <w:t xml:space="preserve">Wskazane powyżej kierunki interwencji znajdują odzwierciedlenie w celach i kierunkach rozwoju </w:t>
      </w:r>
      <w:r>
        <w:rPr>
          <w:rFonts w:eastAsia="Times New Roman"/>
        </w:rPr>
        <w:t>Strategii rozwoju ponadlokalnego Hrubieszowskiego Obszaru Funkcjonalnego na lata 2021-</w:t>
      </w:r>
      <w:r w:rsidR="00046BC8">
        <w:rPr>
          <w:rFonts w:eastAsia="Times New Roman"/>
        </w:rPr>
        <w:t>2030</w:t>
      </w:r>
      <w:r>
        <w:rPr>
          <w:rFonts w:eastAsia="Times New Roman"/>
        </w:rPr>
        <w:t>.</w:t>
      </w:r>
    </w:p>
    <w:p w:rsidR="00E320BC" w:rsidRPr="00E320BC" w:rsidRDefault="00E320BC" w:rsidP="00C652EF">
      <w:pPr>
        <w:pStyle w:val="Nagwek11"/>
      </w:pPr>
      <w:bookmarkStart w:id="75" w:name="_Toc138068785"/>
      <w:r w:rsidRPr="00E320BC">
        <w:t>System realizacji i finansowanie strategii</w:t>
      </w:r>
      <w:bookmarkEnd w:id="75"/>
    </w:p>
    <w:p w:rsidR="00E05BDB" w:rsidRDefault="00E05BDB" w:rsidP="00A13FA7">
      <w:pPr>
        <w:keepNext/>
        <w:keepLines/>
        <w:numPr>
          <w:ilvl w:val="1"/>
          <w:numId w:val="81"/>
        </w:numPr>
        <w:spacing w:before="200" w:after="0"/>
        <w:outlineLvl w:val="1"/>
        <w:rPr>
          <w:rFonts w:ascii="Candara" w:eastAsia="Times New Roman" w:hAnsi="Candara" w:cs="Times New Roman"/>
          <w:b/>
          <w:bCs/>
          <w:color w:val="31B6FD"/>
          <w:sz w:val="26"/>
          <w:szCs w:val="26"/>
        </w:rPr>
      </w:pPr>
      <w:bookmarkStart w:id="76" w:name="_Toc138068786"/>
      <w:r w:rsidRPr="00E320BC">
        <w:rPr>
          <w:rFonts w:ascii="Candara" w:eastAsia="Times New Roman" w:hAnsi="Candara" w:cs="Times New Roman"/>
          <w:b/>
          <w:bCs/>
          <w:color w:val="31B6FD"/>
          <w:sz w:val="26"/>
          <w:szCs w:val="26"/>
        </w:rPr>
        <w:t>Proces wdrażania Strategii wraz z wytycznymi do sporządzania dokumentów wykonawczych</w:t>
      </w:r>
      <w:bookmarkEnd w:id="76"/>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Strategia rozwoju ponadlokalnego Hrubieszowskiego Obszaru Funkcjonalnego na lata 2021 – 2030 stanowi opracowanie będące narzędziem stymulowania i projektowania rozwoju Obszaru Funkcjonalnego. W dokumencie opracowane zostały cele rozwoju Hrubieszowskiego Obszaru Funkcjonalnego zgodne z modelem zrównoważonego rozwoju Strategii Rozwoju Województwa Lubelskiego do 2030 roku oraz kierunkami interwencji Żywicielskiego Obszaru Strategicznej Interwencji. </w:t>
      </w:r>
    </w:p>
    <w:p w:rsidR="00ED6132" w:rsidRPr="00ED6132" w:rsidRDefault="00ED6132" w:rsidP="00ED6132">
      <w:pPr>
        <w:rPr>
          <w:rFonts w:ascii="Calibri" w:eastAsia="Calibri" w:hAnsi="Calibri" w:cs="Times New Roman"/>
        </w:rPr>
      </w:pPr>
      <w:r w:rsidRPr="00ED6132">
        <w:rPr>
          <w:rFonts w:ascii="Calibri" w:eastAsia="Calibri" w:hAnsi="Calibri" w:cs="Times New Roman"/>
        </w:rPr>
        <w:t>Wdrożenie Strategii będzie następowało poprzez realizację zidentyfikowanych przedsięwzięć oraz gminne programy i lokalną politykę.  Warunkiem efektywnej realizacji Strategii jest sprawnie funkcjonujący system monitorowania i oceny, pozwalający na obserwację efektów realizacji dokumentu przez Władze Gmin Hrubieszowskiego Obszaru Funkcjonalnego.</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Jednym z elementów systemu monitoringu Strategii będzie analiza zestawu wyselekcjonowanych w tym celu wskaźników realizacji dokumentu przyporządkowanych do poszczególnych celów operacyjnych. </w:t>
      </w:r>
    </w:p>
    <w:p w:rsidR="00ED6132" w:rsidRPr="00ED6132" w:rsidRDefault="00ED6132" w:rsidP="00ED6132">
      <w:pPr>
        <w:rPr>
          <w:rFonts w:ascii="Calibri" w:eastAsia="Calibri" w:hAnsi="Calibri" w:cs="Times New Roman"/>
        </w:rPr>
      </w:pPr>
      <w:r w:rsidRPr="00ED6132">
        <w:rPr>
          <w:rFonts w:ascii="Calibri" w:eastAsia="Calibri" w:hAnsi="Calibri" w:cs="Times New Roman"/>
        </w:rPr>
        <w:t>Monitorowanie stanu rozwoju Hrubieszowskiego Obszaru Funkcjonalnego w oparciu o właściwy zestaw wskaźników umożliwi prowadzenie polityki prorozwojowej, poprzez dostosowanie działań do pojawiających się wyzwań, a jednocześnie zminimalizuje ryzyko wyboru działań nieefektywnych, których realizacja w dłuższej perspektywie czasu nie przyniesie zamierzonych dla rozwoju lokalnego rezultatów.</w:t>
      </w:r>
    </w:p>
    <w:p w:rsidR="00ED6132" w:rsidRPr="00ED6132" w:rsidRDefault="001748D8" w:rsidP="00ED6132">
      <w:pPr>
        <w:rPr>
          <w:rFonts w:ascii="Calibri" w:eastAsia="Calibri" w:hAnsi="Calibri" w:cs="Times New Roman"/>
        </w:rPr>
      </w:pPr>
      <w:r w:rsidRPr="00ED6132">
        <w:rPr>
          <w:rFonts w:ascii="Calibri" w:eastAsia="Calibri" w:hAnsi="Calibri" w:cs="Times New Roman"/>
          <w:noProof/>
          <w:lang w:eastAsia="pl-PL"/>
        </w:rPr>
        <w:drawing>
          <wp:anchor distT="0" distB="0" distL="114300" distR="114300" simplePos="0" relativeHeight="251767808" behindDoc="0" locked="0" layoutInCell="1" allowOverlap="1" wp14:anchorId="7DD16F5A" wp14:editId="66A9DB96">
            <wp:simplePos x="0" y="0"/>
            <wp:positionH relativeFrom="column">
              <wp:posOffset>-55245</wp:posOffset>
            </wp:positionH>
            <wp:positionV relativeFrom="paragraph">
              <wp:posOffset>186055</wp:posOffset>
            </wp:positionV>
            <wp:extent cx="2813050" cy="2578100"/>
            <wp:effectExtent l="0" t="0" r="120650" b="0"/>
            <wp:wrapSquare wrapText="bothSides"/>
            <wp:docPr id="83" name="Diagram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14:sizeRelH relativeFrom="page">
              <wp14:pctWidth>0</wp14:pctWidth>
            </wp14:sizeRelH>
            <wp14:sizeRelV relativeFrom="page">
              <wp14:pctHeight>0</wp14:pctHeight>
            </wp14:sizeRelV>
          </wp:anchor>
        </w:drawing>
      </w:r>
      <w:r w:rsidR="00ED6132" w:rsidRPr="00ED6132">
        <w:rPr>
          <w:rFonts w:ascii="Calibri" w:eastAsia="Calibri" w:hAnsi="Calibri" w:cs="Times New Roman"/>
        </w:rPr>
        <w:t xml:space="preserve">W procesie zarządzania gminą Strategia pełni kluczową </w:t>
      </w:r>
      <w:proofErr w:type="gramStart"/>
      <w:r w:rsidR="00ED6132" w:rsidRPr="00ED6132">
        <w:rPr>
          <w:rFonts w:ascii="Calibri" w:eastAsia="Calibri" w:hAnsi="Calibri" w:cs="Times New Roman"/>
        </w:rPr>
        <w:t>rolę jako</w:t>
      </w:r>
      <w:proofErr w:type="gramEnd"/>
      <w:r w:rsidR="00ED6132" w:rsidRPr="00ED6132">
        <w:rPr>
          <w:rFonts w:ascii="Calibri" w:eastAsia="Calibri" w:hAnsi="Calibri" w:cs="Times New Roman"/>
        </w:rPr>
        <w:t xml:space="preserve"> dokument prezentujący plan postępowania władz samorządowych we współpracy z innymi samorządami, administracją państwową oraz partnerami społecznymi i prywatnymi.</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Międzysektorowość uwzględniona została również w procesie wdrażania strategii, w którym biorą udział trzy główne grupy instytucji i podmiotów: </w:t>
      </w:r>
    </w:p>
    <w:p w:rsidR="00ED6132" w:rsidRPr="00ED6132" w:rsidRDefault="00ED6132" w:rsidP="00ED6132">
      <w:pPr>
        <w:rPr>
          <w:rFonts w:ascii="Calibri" w:eastAsia="Calibri" w:hAnsi="Calibri" w:cs="Times New Roman"/>
        </w:rPr>
      </w:pPr>
      <w:proofErr w:type="gramStart"/>
      <w:r w:rsidRPr="00ED6132">
        <w:rPr>
          <w:rFonts w:ascii="Calibri" w:eastAsia="Calibri" w:hAnsi="Calibri" w:cs="Times New Roman"/>
        </w:rPr>
        <w:t>sektor</w:t>
      </w:r>
      <w:proofErr w:type="gramEnd"/>
      <w:r w:rsidRPr="00ED6132">
        <w:rPr>
          <w:rFonts w:ascii="Calibri" w:eastAsia="Calibri" w:hAnsi="Calibri" w:cs="Times New Roman"/>
        </w:rPr>
        <w:t xml:space="preserve"> publiczny – władze samorządowe gmin, Urząd Gminy i Urząd Miasta i jednostki organizacyjne JST, jednostki samorządu </w:t>
      </w:r>
      <w:r w:rsidRPr="00ED6132">
        <w:rPr>
          <w:rFonts w:ascii="Calibri" w:eastAsia="Calibri" w:hAnsi="Calibri" w:cs="Times New Roman"/>
        </w:rPr>
        <w:lastRenderedPageBreak/>
        <w:t>terytorialnego różnych szczebli;</w:t>
      </w:r>
    </w:p>
    <w:p w:rsidR="00ED6132" w:rsidRPr="00ED6132" w:rsidRDefault="00ED6132" w:rsidP="00A13FA7">
      <w:pPr>
        <w:numPr>
          <w:ilvl w:val="0"/>
          <w:numId w:val="50"/>
        </w:numPr>
        <w:spacing w:before="0" w:after="0"/>
        <w:ind w:left="426" w:hanging="426"/>
        <w:contextualSpacing/>
        <w:jc w:val="left"/>
        <w:rPr>
          <w:rFonts w:ascii="Calibri" w:eastAsia="Calibri" w:hAnsi="Calibri" w:cs="Times New Roman"/>
        </w:rPr>
      </w:pPr>
      <w:proofErr w:type="gramStart"/>
      <w:r w:rsidRPr="00ED6132">
        <w:rPr>
          <w:rFonts w:ascii="Calibri" w:eastAsia="Calibri" w:hAnsi="Calibri" w:cs="Times New Roman"/>
        </w:rPr>
        <w:t>sektor</w:t>
      </w:r>
      <w:proofErr w:type="gramEnd"/>
      <w:r w:rsidRPr="00ED6132">
        <w:rPr>
          <w:rFonts w:ascii="Calibri" w:eastAsia="Calibri" w:hAnsi="Calibri" w:cs="Times New Roman"/>
        </w:rPr>
        <w:t xml:space="preserve"> biznesowy – przedsiębiorcy, kluczowi pracodawcy, organizacje otoczenia biznesu, zrzeszenia gospodarcze itp.;</w:t>
      </w:r>
    </w:p>
    <w:p w:rsidR="00ED6132" w:rsidRPr="00ED6132" w:rsidRDefault="00ED6132" w:rsidP="00A13FA7">
      <w:pPr>
        <w:numPr>
          <w:ilvl w:val="0"/>
          <w:numId w:val="50"/>
        </w:numPr>
        <w:spacing w:before="0" w:after="0"/>
        <w:ind w:left="426" w:hanging="426"/>
        <w:contextualSpacing/>
        <w:jc w:val="left"/>
        <w:rPr>
          <w:rFonts w:ascii="Calibri" w:eastAsia="Calibri" w:hAnsi="Calibri" w:cs="Times New Roman"/>
        </w:rPr>
      </w:pPr>
      <w:proofErr w:type="gramStart"/>
      <w:r w:rsidRPr="00ED6132">
        <w:rPr>
          <w:rFonts w:ascii="Calibri" w:eastAsia="Calibri" w:hAnsi="Calibri" w:cs="Times New Roman"/>
        </w:rPr>
        <w:t>sektor</w:t>
      </w:r>
      <w:proofErr w:type="gramEnd"/>
      <w:r w:rsidRPr="00ED6132">
        <w:rPr>
          <w:rFonts w:ascii="Calibri" w:eastAsia="Calibri" w:hAnsi="Calibri" w:cs="Times New Roman"/>
        </w:rPr>
        <w:t xml:space="preserve"> społeczny – mieszkańcy, organizacje pozarządowe, grupy nieformalne, liderzy społeczni i osoby pełniące funkcje publiczne, reprezentanci młodzieży i seniorów.</w:t>
      </w:r>
    </w:p>
    <w:p w:rsidR="00ED6132" w:rsidRPr="00ED6132" w:rsidRDefault="00ED6132" w:rsidP="00ED6132">
      <w:pPr>
        <w:keepNext/>
        <w:spacing w:after="0" w:line="240" w:lineRule="auto"/>
        <w:rPr>
          <w:rFonts w:ascii="Calibri" w:eastAsia="Calibri" w:hAnsi="Calibri" w:cs="Times New Roman"/>
          <w:b/>
          <w:bCs/>
          <w:color w:val="00B0F0"/>
          <w:sz w:val="18"/>
          <w:szCs w:val="18"/>
        </w:rPr>
      </w:pPr>
      <w:bookmarkStart w:id="77" w:name="_Toc138068517"/>
      <w:r w:rsidRPr="00ED6132">
        <w:rPr>
          <w:rFonts w:ascii="Calibri" w:eastAsia="Calibri" w:hAnsi="Calibri" w:cs="Times New Roman"/>
          <w:b/>
          <w:bCs/>
          <w:color w:val="00B0F0"/>
          <w:sz w:val="18"/>
          <w:szCs w:val="18"/>
        </w:rPr>
        <w:t xml:space="preserve">Ryc.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Ryc.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21</w:t>
      </w:r>
      <w:r w:rsidRPr="00ED6132">
        <w:rPr>
          <w:rFonts w:ascii="Calibri" w:eastAsia="Calibri" w:hAnsi="Calibri" w:cs="Times New Roman"/>
          <w:b/>
          <w:bCs/>
          <w:color w:val="00B0F0"/>
          <w:sz w:val="18"/>
          <w:szCs w:val="18"/>
        </w:rPr>
        <w:fldChar w:fldCharType="end"/>
      </w:r>
      <w:r w:rsidRPr="00ED6132">
        <w:rPr>
          <w:rFonts w:ascii="Calibri" w:eastAsia="Calibri" w:hAnsi="Calibri" w:cs="Times New Roman"/>
          <w:b/>
          <w:bCs/>
          <w:color w:val="00B0F0"/>
          <w:sz w:val="18"/>
          <w:szCs w:val="18"/>
        </w:rPr>
        <w:t xml:space="preserve"> Zasady współpracy partnerów</w:t>
      </w:r>
      <w:bookmarkEnd w:id="77"/>
    </w:p>
    <w:p w:rsidR="00ED6132" w:rsidRPr="00ED6132" w:rsidRDefault="00ED6132" w:rsidP="00ED6132">
      <w:pPr>
        <w:ind w:firstLine="0"/>
        <w:rPr>
          <w:rFonts w:ascii="Calibri" w:eastAsia="Calibri" w:hAnsi="Calibri" w:cs="Times New Roman"/>
        </w:rPr>
      </w:pPr>
      <w:r w:rsidRPr="00ED6132">
        <w:rPr>
          <w:rFonts w:ascii="Calibri" w:eastAsia="Calibri" w:hAnsi="Calibri" w:cs="Times New Roman"/>
          <w:noProof/>
          <w:lang w:eastAsia="pl-PL"/>
        </w:rPr>
        <w:drawing>
          <wp:inline distT="0" distB="0" distL="0" distR="0" wp14:anchorId="1D59E821" wp14:editId="1D2AFD47">
            <wp:extent cx="5803900" cy="1428750"/>
            <wp:effectExtent l="0" t="0" r="25400" b="0"/>
            <wp:docPr id="84" name="Diagram 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ED6132" w:rsidRPr="00ED6132" w:rsidRDefault="00ED6132" w:rsidP="00ED6132">
      <w:pPr>
        <w:rPr>
          <w:rFonts w:ascii="Calibri" w:eastAsia="Calibri" w:hAnsi="Calibri" w:cs="Times New Roman"/>
        </w:rPr>
      </w:pPr>
      <w:r w:rsidRPr="00ED6132">
        <w:rPr>
          <w:rFonts w:ascii="Calibri" w:eastAsia="Calibri" w:hAnsi="Calibri" w:cs="Times New Roman"/>
        </w:rPr>
        <w:t>Realizację dokumentu strategii należy oprzeć o szereg zasad i mechanizmów, co pozwoli prowadzić prawidłowo funkcjonujący system współpracy:</w:t>
      </w:r>
    </w:p>
    <w:p w:rsidR="00ED6132" w:rsidRPr="00ED6132" w:rsidRDefault="00ED6132" w:rsidP="00A13FA7">
      <w:pPr>
        <w:numPr>
          <w:ilvl w:val="0"/>
          <w:numId w:val="51"/>
        </w:numPr>
        <w:spacing w:before="0" w:after="0"/>
        <w:ind w:left="567"/>
        <w:contextualSpacing/>
        <w:rPr>
          <w:rFonts w:ascii="Calibri" w:eastAsia="Calibri" w:hAnsi="Calibri" w:cs="Times New Roman"/>
        </w:rPr>
      </w:pPr>
      <w:r w:rsidRPr="00ED6132">
        <w:rPr>
          <w:rFonts w:ascii="Calibri" w:eastAsia="Calibri" w:hAnsi="Calibri" w:cs="Times New Roman"/>
        </w:rPr>
        <w:t>Równość partnerów – efektywna współpraca zależy od przekonania wszystkich partnerów o wspólnych celach i interesach. Istotne jest, aby sposób zarządzania uwzględniał równość partnerów.</w:t>
      </w:r>
    </w:p>
    <w:p w:rsidR="00ED6132" w:rsidRPr="00ED6132" w:rsidRDefault="00ED6132" w:rsidP="00A13FA7">
      <w:pPr>
        <w:numPr>
          <w:ilvl w:val="0"/>
          <w:numId w:val="51"/>
        </w:numPr>
        <w:spacing w:before="0" w:after="0"/>
        <w:ind w:left="567"/>
        <w:contextualSpacing/>
        <w:rPr>
          <w:rFonts w:ascii="Calibri" w:eastAsia="Calibri" w:hAnsi="Calibri" w:cs="Times New Roman"/>
        </w:rPr>
      </w:pPr>
      <w:r w:rsidRPr="00ED6132">
        <w:rPr>
          <w:rFonts w:ascii="Calibri" w:eastAsia="Calibri" w:hAnsi="Calibri" w:cs="Times New Roman"/>
        </w:rPr>
        <w:t>Partycypacja i partnerstwo – zakłada współpracę i równe traktowanie reprezentantów różnych środowisk i instytucji z zachowaniem zasady dążenia do wzajemnego rozumienia się. Ważne jest budowanie relacji pomiędzy instytucjami, organizacjami, grupami ludzi i poszczególnymi mieszkańcami, co stanowi podstawę do dalszej współpracy i realizacji kolejnych wspólnych przedsięwzięć.</w:t>
      </w:r>
    </w:p>
    <w:p w:rsidR="00ED6132" w:rsidRPr="00ED6132" w:rsidRDefault="00ED6132" w:rsidP="00A13FA7">
      <w:pPr>
        <w:numPr>
          <w:ilvl w:val="0"/>
          <w:numId w:val="51"/>
        </w:numPr>
        <w:spacing w:before="0" w:after="0"/>
        <w:ind w:left="567"/>
        <w:contextualSpacing/>
        <w:rPr>
          <w:rFonts w:ascii="Calibri" w:eastAsia="Calibri" w:hAnsi="Calibri" w:cs="Times New Roman"/>
        </w:rPr>
      </w:pPr>
      <w:r w:rsidRPr="00ED6132">
        <w:rPr>
          <w:rFonts w:ascii="Calibri" w:eastAsia="Calibri" w:hAnsi="Calibri" w:cs="Times New Roman"/>
        </w:rPr>
        <w:t>Wielopoziomowe zarządzanie – istotne jest prowadzenie współpracy na różnych szczeblach zarządzania, w różnych formułach i przy realizacji poszczególnych projektów czy przedsięwzięć zintegrowanych. Nie należy ograniczać współpracy do jednego podmiotu.</w:t>
      </w:r>
    </w:p>
    <w:p w:rsidR="00ED6132" w:rsidRPr="00ED6132" w:rsidRDefault="00ED6132" w:rsidP="00A13FA7">
      <w:pPr>
        <w:numPr>
          <w:ilvl w:val="0"/>
          <w:numId w:val="51"/>
        </w:numPr>
        <w:spacing w:before="0" w:after="0"/>
        <w:ind w:left="567"/>
        <w:contextualSpacing/>
        <w:rPr>
          <w:rFonts w:ascii="Calibri" w:eastAsia="Calibri" w:hAnsi="Calibri" w:cs="Times New Roman"/>
        </w:rPr>
      </w:pPr>
      <w:r w:rsidRPr="00ED6132">
        <w:rPr>
          <w:rFonts w:ascii="Calibri" w:eastAsia="Calibri" w:hAnsi="Calibri" w:cs="Times New Roman"/>
        </w:rPr>
        <w:t>Przejrzystość działań, proste i jasne zasady komunikowania – założenie dialogu, informowanie i konsultowanie wszelkich decyzji i rozwiązań. Na samym początku prac istotne jest jasne określenie zasad i kanałów komunikacji. Pozwoli to na efektywny przepływ informacji, ułatwi szybsze podejmowanie decyzji oraz zapewni, że partnerzy będą współodpowiedzialni za prowadzone działania rozwojowe.</w:t>
      </w:r>
    </w:p>
    <w:p w:rsidR="00ED6132" w:rsidRPr="00ED6132" w:rsidRDefault="00ED6132" w:rsidP="00A13FA7">
      <w:pPr>
        <w:numPr>
          <w:ilvl w:val="0"/>
          <w:numId w:val="51"/>
        </w:numPr>
        <w:spacing w:before="0" w:after="0"/>
        <w:ind w:left="567"/>
        <w:contextualSpacing/>
        <w:rPr>
          <w:rFonts w:ascii="Calibri" w:eastAsia="Calibri" w:hAnsi="Calibri" w:cs="Times New Roman"/>
        </w:rPr>
      </w:pPr>
      <w:r w:rsidRPr="00ED6132">
        <w:rPr>
          <w:rFonts w:ascii="Calibri" w:eastAsia="Calibri" w:hAnsi="Calibri" w:cs="Times New Roman"/>
        </w:rPr>
        <w:t>Elastyczność reagowania – zakłada możliwość modyfikowania strategii w zależności od zmian zachodzących w Hrubieszowskim Obszarze Funkcjonalnym oraz w jego otoczeniu. Niezbędne jest formułowanie elastycznych procedur i rozwiązań, które pozwolą sprawnie dostosowywać się do zmieniających się potrzeb i wyzwań.</w:t>
      </w:r>
    </w:p>
    <w:p w:rsidR="00ED6132" w:rsidRPr="00ED6132" w:rsidRDefault="00ED6132" w:rsidP="00A13FA7">
      <w:pPr>
        <w:numPr>
          <w:ilvl w:val="0"/>
          <w:numId w:val="51"/>
        </w:numPr>
        <w:spacing w:before="0" w:after="0"/>
        <w:ind w:left="567"/>
        <w:contextualSpacing/>
        <w:rPr>
          <w:rFonts w:ascii="Calibri" w:eastAsia="Calibri" w:hAnsi="Calibri" w:cs="Times New Roman"/>
        </w:rPr>
      </w:pPr>
      <w:r w:rsidRPr="00ED6132">
        <w:rPr>
          <w:rFonts w:ascii="Calibri" w:eastAsia="Calibri" w:hAnsi="Calibri" w:cs="Times New Roman"/>
        </w:rPr>
        <w:t>Wspólne wydatki – wydatki na realizację Strategii są dzielone pomiędzy gminy HOF na podstawie wspólnie uzgodnionych zasad.</w:t>
      </w:r>
    </w:p>
    <w:p w:rsidR="00ED6132" w:rsidRPr="00ED6132" w:rsidRDefault="00ED6132" w:rsidP="00ED6132">
      <w:pPr>
        <w:pBdr>
          <w:bottom w:val="single" w:sz="4" w:space="4" w:color="31B6FD"/>
        </w:pBdr>
        <w:spacing w:before="200" w:after="280"/>
        <w:ind w:left="936" w:right="936" w:firstLine="357"/>
        <w:rPr>
          <w:rFonts w:ascii="Calibri" w:eastAsia="Calibri" w:hAnsi="Calibri" w:cs="Times New Roman"/>
          <w:b/>
          <w:bCs/>
          <w:i/>
          <w:iCs/>
          <w:color w:val="31B6FD"/>
        </w:rPr>
      </w:pPr>
      <w:r w:rsidRPr="00ED6132">
        <w:rPr>
          <w:rFonts w:ascii="Calibri" w:eastAsia="Calibri" w:hAnsi="Calibri" w:cs="Times New Roman"/>
          <w:b/>
          <w:bCs/>
          <w:i/>
          <w:iCs/>
          <w:color w:val="31B6FD"/>
        </w:rPr>
        <w:t>Instytucjonalna struktura systemu realizacji strategii</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Właściwy system wdrażania Strategii stanowi podstawę do rozwoju trwałej współpracy między gminami Hrubieszowskiego Obszaru Funkcjonalnego, nie tylko w zakresie funduszy, ale docelowo </w:t>
      </w:r>
      <w:r w:rsidRPr="00ED6132">
        <w:rPr>
          <w:rFonts w:ascii="Calibri" w:eastAsia="Calibri" w:hAnsi="Calibri" w:cs="Times New Roman"/>
        </w:rPr>
        <w:lastRenderedPageBreak/>
        <w:t>wszystkich polityk realizowanych przez gminy. Jednocześnie system zarządzania tworzy strukturę, po części sformalizowaną, w której powstają pozytywne relacje nieformalne. Taka struktura stanowić będzie w przyszłości bazę wiedzy i pamięci organizacyjnej determinującej dalszą współpracę i wspólny zintegrowany rozwój HOF. Założenia regionalnej polityki rozwoju zawarte w KSRR 2030 wyraźnie wskazują na potrzebę współpracy oraz zintegrowanego podejścia terytorialnego, jako jedną z ważnych zasad polityki regionalnej, które regulują sposób postępowania wszystkich interesariuszy i zapewniają lepszą koordynację działań na rzecz rozwoju.</w:t>
      </w:r>
    </w:p>
    <w:p w:rsidR="00ED6132" w:rsidRPr="00ED6132" w:rsidRDefault="00ED6132" w:rsidP="00ED6132">
      <w:pPr>
        <w:rPr>
          <w:rFonts w:ascii="Calibri" w:eastAsia="Calibri" w:hAnsi="Calibri" w:cs="Times New Roman"/>
        </w:rPr>
      </w:pPr>
      <w:r w:rsidRPr="00ED6132">
        <w:rPr>
          <w:rFonts w:ascii="Calibri" w:eastAsia="Calibri" w:hAnsi="Calibri" w:cs="Times New Roman"/>
        </w:rPr>
        <w:t>Aby realizować założenia Strategii rozwoju ponadlokalnego Hrubieszowskiego Obszaru Funkcjonalnego na lata 2021 – 2030 niezbędne jest stworzenie struktury zarządczej pozwalającej na efektywne zarządzanie obszarem i realizację różnego rodzaju przedsięwzięć partnerskich, wśród których istotnym aspektem będzie pozyskiwanie funduszy europejskich, oraz organizacja wspólnych działań związanych z podniesieniem kompetencji pracowników instytucji publicznych.</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Formą partnerskiej współpracy samorządów HOF w procesie wdrażania Strategii ponadlokalnej jest </w:t>
      </w:r>
      <w:r w:rsidRPr="00ED6132">
        <w:rPr>
          <w:rFonts w:ascii="Calibri" w:eastAsia="Calibri" w:hAnsi="Calibri" w:cs="Times New Roman"/>
          <w:b/>
        </w:rPr>
        <w:t>porozumienie międzygminne</w:t>
      </w:r>
      <w:r w:rsidRPr="00ED6132">
        <w:rPr>
          <w:rFonts w:ascii="Calibri" w:eastAsia="Calibri" w:hAnsi="Calibri" w:cs="Times New Roman"/>
        </w:rPr>
        <w:t xml:space="preserve"> pomiędzy Gminą Miejską Hrubieszów będącą Liderem oraz Gminą Hrubieszów będącą Partnerem. Porozumienie międzygminne zostało zawarte na podstawie art. 10 ust. 1, art. 10g ust. 4 i art. 18 ust. 2 pkt 12, art. 74 ustawy z dnia 8 marca 1990 r. o samorządzie gminnym (t. j. Dz. U. </w:t>
      </w:r>
      <w:proofErr w:type="gramStart"/>
      <w:r w:rsidRPr="00ED6132">
        <w:rPr>
          <w:rFonts w:ascii="Calibri" w:eastAsia="Calibri" w:hAnsi="Calibri" w:cs="Times New Roman"/>
        </w:rPr>
        <w:t>z</w:t>
      </w:r>
      <w:proofErr w:type="gramEnd"/>
      <w:r w:rsidRPr="00ED6132">
        <w:rPr>
          <w:rFonts w:ascii="Calibri" w:eastAsia="Calibri" w:hAnsi="Calibri" w:cs="Times New Roman"/>
        </w:rPr>
        <w:t xml:space="preserve"> 2020 r. poz. 713 z </w:t>
      </w:r>
      <w:proofErr w:type="spellStart"/>
      <w:r w:rsidRPr="00ED6132">
        <w:rPr>
          <w:rFonts w:ascii="Calibri" w:eastAsia="Calibri" w:hAnsi="Calibri" w:cs="Times New Roman"/>
        </w:rPr>
        <w:t>późn</w:t>
      </w:r>
      <w:proofErr w:type="spellEnd"/>
      <w:r w:rsidRPr="00ED6132">
        <w:rPr>
          <w:rFonts w:ascii="Calibri" w:eastAsia="Calibri" w:hAnsi="Calibri" w:cs="Times New Roman"/>
        </w:rPr>
        <w:t xml:space="preserve">. </w:t>
      </w:r>
      <w:proofErr w:type="gramStart"/>
      <w:r w:rsidRPr="00ED6132">
        <w:rPr>
          <w:rFonts w:ascii="Calibri" w:eastAsia="Calibri" w:hAnsi="Calibri" w:cs="Times New Roman"/>
        </w:rPr>
        <w:t>zm</w:t>
      </w:r>
      <w:proofErr w:type="gramEnd"/>
      <w:r w:rsidRPr="00ED6132">
        <w:rPr>
          <w:rFonts w:ascii="Calibri" w:eastAsia="Calibri" w:hAnsi="Calibri" w:cs="Times New Roman"/>
        </w:rPr>
        <w:t xml:space="preserve">.), w związku z art. 10a ust. 1 ustawy z dnia 6 grudnia 2006 r. o zasadach prowadzenia polityki rozwoju (Dz. U. </w:t>
      </w:r>
      <w:proofErr w:type="gramStart"/>
      <w:r w:rsidRPr="00ED6132">
        <w:rPr>
          <w:rFonts w:ascii="Calibri" w:eastAsia="Calibri" w:hAnsi="Calibri" w:cs="Times New Roman"/>
        </w:rPr>
        <w:t>z</w:t>
      </w:r>
      <w:proofErr w:type="gramEnd"/>
      <w:r w:rsidRPr="00ED6132">
        <w:rPr>
          <w:rFonts w:ascii="Calibri" w:eastAsia="Calibri" w:hAnsi="Calibri" w:cs="Times New Roman"/>
        </w:rPr>
        <w:t xml:space="preserve"> 2019 r., poz. 1295 </w:t>
      </w:r>
      <w:proofErr w:type="spellStart"/>
      <w:r w:rsidRPr="00ED6132">
        <w:rPr>
          <w:rFonts w:ascii="Calibri" w:eastAsia="Calibri" w:hAnsi="Calibri" w:cs="Times New Roman"/>
        </w:rPr>
        <w:t>późn</w:t>
      </w:r>
      <w:proofErr w:type="spellEnd"/>
      <w:r w:rsidRPr="00ED6132">
        <w:rPr>
          <w:rFonts w:ascii="Calibri" w:eastAsia="Calibri" w:hAnsi="Calibri" w:cs="Times New Roman"/>
        </w:rPr>
        <w:t xml:space="preserve">. </w:t>
      </w:r>
      <w:proofErr w:type="gramStart"/>
      <w:r w:rsidRPr="00ED6132">
        <w:rPr>
          <w:rFonts w:ascii="Calibri" w:eastAsia="Calibri" w:hAnsi="Calibri" w:cs="Times New Roman"/>
        </w:rPr>
        <w:t>zm</w:t>
      </w:r>
      <w:proofErr w:type="gramEnd"/>
      <w:r w:rsidRPr="00ED6132">
        <w:rPr>
          <w:rFonts w:ascii="Calibri" w:eastAsia="Calibri" w:hAnsi="Calibri" w:cs="Times New Roman"/>
        </w:rPr>
        <w:t xml:space="preserve">.) oraz Uchwały Nr XXXII/254/2021 Rady Miejskiej w Hrubieszowie z dnia 25 lutego 2021 r. sprawie wyrażenia zgody na zawarcie przez Gminę Miejską Hrubieszów porozumienia międzygminnego z Gminą Hrubieszów i Uchwały Nr XXVIII/196/2021 Rady Gminy Hrubieszów z dnia 26 lutego 2021 roku w sprawie wyrażenia zgody na zawarcie przez Gminę Hrubieszów porozumienia międzygminnego z Miastem Hrubieszów. </w:t>
      </w:r>
    </w:p>
    <w:p w:rsidR="00ED6132" w:rsidRPr="00ED6132" w:rsidRDefault="00ED6132" w:rsidP="00ED6132">
      <w:pPr>
        <w:rPr>
          <w:rFonts w:ascii="Calibri" w:eastAsia="Calibri" w:hAnsi="Calibri" w:cs="Times New Roman"/>
        </w:rPr>
      </w:pPr>
      <w:r w:rsidRPr="00ED6132">
        <w:rPr>
          <w:rFonts w:ascii="Calibri" w:eastAsia="Calibri" w:hAnsi="Calibri" w:cs="Times New Roman"/>
        </w:rPr>
        <w:t>Za realizację Strategii rozwoju ponadlokalnego Hrubieszowskiego Obszaru Funkcjonalnego na lata 2021 – 2030 w zakresie instytucjonalnym odpowiadać będą:</w:t>
      </w:r>
    </w:p>
    <w:p w:rsidR="00ED6132" w:rsidRPr="00ED6132" w:rsidRDefault="00ED6132" w:rsidP="00A13FA7">
      <w:pPr>
        <w:numPr>
          <w:ilvl w:val="0"/>
          <w:numId w:val="52"/>
        </w:numPr>
        <w:spacing w:before="0" w:after="0"/>
        <w:ind w:left="567"/>
        <w:contextualSpacing/>
        <w:jc w:val="left"/>
        <w:rPr>
          <w:rFonts w:ascii="Calibri" w:eastAsia="Calibri" w:hAnsi="Calibri" w:cs="Times New Roman"/>
        </w:rPr>
      </w:pPr>
      <w:r w:rsidRPr="00ED6132">
        <w:rPr>
          <w:rFonts w:ascii="Calibri" w:eastAsia="Calibri" w:hAnsi="Calibri" w:cs="Times New Roman"/>
        </w:rPr>
        <w:t>Burmistrz Gminy Miejskiej Hrubieszów oraz Wójt Gminy Hrubieszów,</w:t>
      </w:r>
    </w:p>
    <w:p w:rsidR="00ED6132" w:rsidRPr="00ED6132" w:rsidRDefault="00ED6132" w:rsidP="00A13FA7">
      <w:pPr>
        <w:numPr>
          <w:ilvl w:val="0"/>
          <w:numId w:val="52"/>
        </w:numPr>
        <w:spacing w:before="0" w:after="0"/>
        <w:ind w:left="567"/>
        <w:contextualSpacing/>
        <w:jc w:val="left"/>
        <w:rPr>
          <w:rFonts w:ascii="Calibri" w:eastAsia="Calibri" w:hAnsi="Calibri" w:cs="Times New Roman"/>
        </w:rPr>
      </w:pPr>
      <w:r w:rsidRPr="00ED6132">
        <w:rPr>
          <w:rFonts w:ascii="Calibri" w:eastAsia="Calibri" w:hAnsi="Calibri" w:cs="Times New Roman"/>
        </w:rPr>
        <w:t>Rada Miejska w Hrubieszowie oraz Rada Gminy Hrubieszów,</w:t>
      </w:r>
    </w:p>
    <w:p w:rsidR="00ED6132" w:rsidRPr="00ED6132" w:rsidRDefault="00ED6132" w:rsidP="00A13FA7">
      <w:pPr>
        <w:numPr>
          <w:ilvl w:val="0"/>
          <w:numId w:val="52"/>
        </w:numPr>
        <w:spacing w:before="0" w:after="0"/>
        <w:ind w:left="567"/>
        <w:contextualSpacing/>
        <w:jc w:val="left"/>
        <w:rPr>
          <w:rFonts w:ascii="Calibri" w:eastAsia="Calibri" w:hAnsi="Calibri" w:cs="Times New Roman"/>
        </w:rPr>
      </w:pPr>
      <w:r w:rsidRPr="00ED6132">
        <w:rPr>
          <w:rFonts w:ascii="Calibri" w:eastAsia="Calibri" w:hAnsi="Calibri" w:cs="Times New Roman"/>
        </w:rPr>
        <w:t>Wydziały i referaty oraz inne stanowiska/komórki Urzędu Miasta Hrubieszów oraz Urzędu Gminy Hrubieszów,</w:t>
      </w:r>
    </w:p>
    <w:p w:rsidR="00ED6132" w:rsidRPr="00ED6132" w:rsidRDefault="00ED6132" w:rsidP="00A13FA7">
      <w:pPr>
        <w:numPr>
          <w:ilvl w:val="0"/>
          <w:numId w:val="52"/>
        </w:numPr>
        <w:spacing w:before="0" w:after="0"/>
        <w:ind w:left="567"/>
        <w:contextualSpacing/>
        <w:jc w:val="left"/>
        <w:rPr>
          <w:rFonts w:ascii="Calibri" w:eastAsia="Calibri" w:hAnsi="Calibri" w:cs="Times New Roman"/>
        </w:rPr>
      </w:pPr>
      <w:r w:rsidRPr="00ED6132">
        <w:rPr>
          <w:rFonts w:ascii="Calibri" w:eastAsia="Calibri" w:hAnsi="Calibri" w:cs="Times New Roman"/>
        </w:rPr>
        <w:t>Wykonawcy i partnerzy realizacyjni określeni w Strategii.</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Dla zwiększenia skuteczności realizacji Strategii, oraz podkreślenia roli partnerów w procesie zarządzania, struktura systemu wdrażania składa się z Rady Porozumienia, Koordynatora wspólnego, Zastępcy Koordynatora Wspólnego, Grup Zadaniowych wraz z Kierownikami Grup Zadaniowych oraz Rady </w:t>
      </w:r>
      <w:proofErr w:type="gramStart"/>
      <w:r w:rsidRPr="00ED6132">
        <w:rPr>
          <w:rFonts w:ascii="Calibri" w:eastAsia="Calibri" w:hAnsi="Calibri" w:cs="Times New Roman"/>
        </w:rPr>
        <w:t>Społecznej (jako</w:t>
      </w:r>
      <w:proofErr w:type="gramEnd"/>
      <w:r w:rsidRPr="00ED6132">
        <w:rPr>
          <w:rFonts w:ascii="Calibri" w:eastAsia="Calibri" w:hAnsi="Calibri" w:cs="Times New Roman"/>
        </w:rPr>
        <w:t xml:space="preserve"> rozwiązanie opcjonalne).</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Zaprezentowana poniżej rycina ma za zadanie w sposób poglądowy zilustrować przyjętą strukturę przedstawiając jej kolejne szczeble. Dokładna liczba Kierowników Grup Zadaniowych oraz Grup Zadaniowych zależeć będzie od liczby i wielkości realizowanych równocześnie projektów. </w:t>
      </w:r>
    </w:p>
    <w:p w:rsidR="00ED6132" w:rsidRPr="00ED6132" w:rsidRDefault="00ED6132" w:rsidP="00ED6132">
      <w:pPr>
        <w:keepNext/>
        <w:spacing w:after="0" w:line="240" w:lineRule="auto"/>
        <w:rPr>
          <w:rFonts w:ascii="Calibri" w:eastAsia="Calibri" w:hAnsi="Calibri" w:cs="Times New Roman"/>
          <w:b/>
          <w:bCs/>
          <w:color w:val="00B0F0"/>
          <w:sz w:val="18"/>
          <w:szCs w:val="18"/>
        </w:rPr>
      </w:pPr>
      <w:bookmarkStart w:id="78" w:name="_Toc138068518"/>
      <w:r w:rsidRPr="00ED6132">
        <w:rPr>
          <w:rFonts w:ascii="Calibri" w:eastAsia="Calibri" w:hAnsi="Calibri" w:cs="Times New Roman"/>
          <w:b/>
          <w:bCs/>
          <w:color w:val="00B0F0"/>
          <w:sz w:val="18"/>
          <w:szCs w:val="18"/>
        </w:rPr>
        <w:lastRenderedPageBreak/>
        <w:t xml:space="preserve">Ryc.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Ryc.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22</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Instytucjonalna struktura systemu realizacji strategii</w:t>
      </w:r>
      <w:bookmarkEnd w:id="78"/>
    </w:p>
    <w:p w:rsidR="00ED6132" w:rsidRPr="00ED6132" w:rsidRDefault="00ED6132" w:rsidP="00ED6132">
      <w:pPr>
        <w:ind w:firstLine="0"/>
        <w:rPr>
          <w:rFonts w:ascii="Calibri" w:eastAsia="Calibri" w:hAnsi="Calibri" w:cs="Times New Roman"/>
        </w:rPr>
      </w:pPr>
      <w:r w:rsidRPr="00ED6132">
        <w:rPr>
          <w:rFonts w:ascii="Calibri" w:eastAsia="Calibri" w:hAnsi="Calibri" w:cs="Times New Roman"/>
          <w:noProof/>
          <w:lang w:eastAsia="pl-PL"/>
        </w:rPr>
        <w:drawing>
          <wp:inline distT="0" distB="0" distL="0" distR="0" wp14:anchorId="1543449E" wp14:editId="50AC213D">
            <wp:extent cx="5715674" cy="3539836"/>
            <wp:effectExtent l="0" t="0" r="0" b="3810"/>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15144" t="37612" r="63314" b="14944"/>
                    <a:stretch/>
                  </pic:blipFill>
                  <pic:spPr bwMode="auto">
                    <a:xfrm>
                      <a:off x="0" y="0"/>
                      <a:ext cx="5728334" cy="3547677"/>
                    </a:xfrm>
                    <a:prstGeom prst="rect">
                      <a:avLst/>
                    </a:prstGeom>
                    <a:ln>
                      <a:noFill/>
                    </a:ln>
                    <a:extLst>
                      <a:ext uri="{53640926-AAD7-44D8-BBD7-CCE9431645EC}">
                        <a14:shadowObscured xmlns:a14="http://schemas.microsoft.com/office/drawing/2010/main"/>
                      </a:ext>
                    </a:extLst>
                  </pic:spPr>
                </pic:pic>
              </a:graphicData>
            </a:graphic>
          </wp:inline>
        </w:drawing>
      </w:r>
    </w:p>
    <w:p w:rsidR="00ED6132" w:rsidRPr="00ED6132" w:rsidRDefault="00ED6132" w:rsidP="00ED6132">
      <w:pPr>
        <w:spacing w:after="0"/>
        <w:ind w:firstLine="0"/>
        <w:rPr>
          <w:rFonts w:ascii="Calibri" w:eastAsia="Calibri" w:hAnsi="Calibri" w:cs="Times New Roman"/>
          <w:i/>
          <w:sz w:val="18"/>
          <w:szCs w:val="18"/>
        </w:rPr>
      </w:pPr>
      <w:r w:rsidRPr="00ED6132">
        <w:rPr>
          <w:rFonts w:ascii="Calibri" w:eastAsia="Calibri" w:hAnsi="Calibri" w:cs="Times New Roman"/>
          <w:i/>
          <w:sz w:val="18"/>
          <w:szCs w:val="18"/>
        </w:rPr>
        <w:t>Źródło: Opracowanie własne</w:t>
      </w:r>
    </w:p>
    <w:p w:rsidR="00ED6132" w:rsidRPr="00ED6132" w:rsidRDefault="00ED6132" w:rsidP="00ED6132">
      <w:pPr>
        <w:rPr>
          <w:rFonts w:ascii="Calibri" w:eastAsia="Calibri" w:hAnsi="Calibri" w:cs="Times New Roman"/>
          <w:b/>
          <w:bCs/>
          <w:i/>
          <w:iCs/>
          <w:color w:val="00B0F0"/>
        </w:rPr>
      </w:pPr>
      <w:r w:rsidRPr="00ED6132">
        <w:rPr>
          <w:rFonts w:ascii="Calibri" w:eastAsia="Calibri" w:hAnsi="Calibri" w:cs="Times New Roman"/>
          <w:b/>
          <w:bCs/>
          <w:i/>
          <w:iCs/>
          <w:color w:val="00B0F0"/>
        </w:rPr>
        <w:t>Rada Porozumienia</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Rada porozumienia pełni funkcję decyzyjną i programowo-opiniodawczą. W skład Rady wchodzą przedstawiciele organów wykonawczych stron porozumienia: Burmistrz Miasta Hrubieszowa oraz Wójt Gminy Hrubieszów, jak również osoby wskazane przez te </w:t>
      </w:r>
      <w:proofErr w:type="gramStart"/>
      <w:r w:rsidRPr="00ED6132">
        <w:rPr>
          <w:rFonts w:ascii="Calibri" w:eastAsia="Calibri" w:hAnsi="Calibri" w:cs="Times New Roman"/>
        </w:rPr>
        <w:t>organy (co</w:t>
      </w:r>
      <w:proofErr w:type="gramEnd"/>
      <w:r w:rsidRPr="00ED6132">
        <w:rPr>
          <w:rFonts w:ascii="Calibri" w:eastAsia="Calibri" w:hAnsi="Calibri" w:cs="Times New Roman"/>
        </w:rPr>
        <w:t xml:space="preserve"> najmniej po jednej osobie z każdej Gminy HOF). Skład Rady musi </w:t>
      </w:r>
      <w:proofErr w:type="gramStart"/>
      <w:r w:rsidRPr="00ED6132">
        <w:rPr>
          <w:rFonts w:ascii="Calibri" w:eastAsia="Calibri" w:hAnsi="Calibri" w:cs="Times New Roman"/>
        </w:rPr>
        <w:t>obejmować co</w:t>
      </w:r>
      <w:proofErr w:type="gramEnd"/>
      <w:r w:rsidRPr="00ED6132">
        <w:rPr>
          <w:rFonts w:ascii="Calibri" w:eastAsia="Calibri" w:hAnsi="Calibri" w:cs="Times New Roman"/>
        </w:rPr>
        <w:t xml:space="preserve"> najmniej 4 osoby, po równej liczbie uczestników z każdej ze stron porozumienia. Rada Porozumienia zostaje powołana zgodnie z procedurą obowiązującą w każdym z samorządów HOF.</w:t>
      </w:r>
    </w:p>
    <w:p w:rsidR="00ED6132" w:rsidRPr="00ED6132" w:rsidRDefault="00EE49F4" w:rsidP="00ED6132">
      <w:pPr>
        <w:rPr>
          <w:rFonts w:ascii="Calibri" w:eastAsia="Calibri" w:hAnsi="Calibri" w:cs="Calibri"/>
        </w:rPr>
      </w:pPr>
      <w:r>
        <w:t xml:space="preserve">Dobrą praktyką byłoby również uwzględnienie </w:t>
      </w:r>
      <w:r w:rsidRPr="005E171E">
        <w:t>jednego Radnego Rady</w:t>
      </w:r>
      <w:r>
        <w:t xml:space="preserve"> Miejskiej</w:t>
      </w:r>
      <w:r w:rsidRPr="005E171E">
        <w:t xml:space="preserve"> i jednego Radnego Rady Gminy.</w:t>
      </w:r>
      <w:r w:rsidR="00ED6132" w:rsidRPr="00ED6132">
        <w:rPr>
          <w:rFonts w:ascii="Calibri" w:eastAsia="Calibri" w:hAnsi="Calibri" w:cs="Times New Roman"/>
        </w:rPr>
        <w:t xml:space="preserve"> Spotkania Rady powinny odbywać </w:t>
      </w:r>
      <w:proofErr w:type="gramStart"/>
      <w:r w:rsidR="00ED6132" w:rsidRPr="00ED6132">
        <w:rPr>
          <w:rFonts w:ascii="Calibri" w:eastAsia="Calibri" w:hAnsi="Calibri" w:cs="Times New Roman"/>
        </w:rPr>
        <w:t>się co</w:t>
      </w:r>
      <w:proofErr w:type="gramEnd"/>
      <w:r w:rsidR="00ED6132" w:rsidRPr="00ED6132">
        <w:rPr>
          <w:rFonts w:ascii="Calibri" w:eastAsia="Calibri" w:hAnsi="Calibri" w:cs="Times New Roman"/>
        </w:rPr>
        <w:t xml:space="preserve"> najmniej raz w roku, lub częściej w miarę potrzeb. Spotkanie może być zorganizowane na wniosek każdego członka Rady Porozumienia. Rolą Rady Porozumienia jest stymulowanie i koordynacja działań podejmowanych przez różnorodne podmioty i środowiska, jak</w:t>
      </w:r>
      <w:r w:rsidR="00ED6132" w:rsidRPr="00ED6132">
        <w:rPr>
          <w:rFonts w:ascii="Calibri" w:eastAsia="Calibri" w:hAnsi="Calibri" w:cs="Calibri"/>
        </w:rPr>
        <w:t xml:space="preserve"> również mobilizowanie oraz integrowanie zasobów pozostających w ich dyspozycji – na rzecz realizacji celów i kierunków działań określonych w przedmiotowym dokumencie.</w:t>
      </w:r>
    </w:p>
    <w:p w:rsidR="00ED6132" w:rsidRPr="00ED6132" w:rsidRDefault="00ED6132" w:rsidP="00ED6132">
      <w:pPr>
        <w:rPr>
          <w:rFonts w:ascii="Calibri" w:eastAsia="Calibri" w:hAnsi="Calibri" w:cs="Calibri"/>
        </w:rPr>
      </w:pPr>
      <w:r w:rsidRPr="00ED6132">
        <w:rPr>
          <w:rFonts w:ascii="Calibri" w:eastAsia="Calibri" w:hAnsi="Calibri" w:cs="Calibri"/>
        </w:rPr>
        <w:t>Do zadań Rady Porozumienia w szczególności należy:</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opiniowanie</w:t>
      </w:r>
      <w:proofErr w:type="gramEnd"/>
      <w:r w:rsidRPr="00ED6132">
        <w:rPr>
          <w:rFonts w:ascii="Calibri" w:eastAsia="Calibri" w:hAnsi="Calibri" w:cs="Times New Roman"/>
        </w:rPr>
        <w:t xml:space="preserve"> i zatwierdzanie projektu Strategii oraz zmian w Strategii,</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opiniowanie</w:t>
      </w:r>
      <w:proofErr w:type="gramEnd"/>
      <w:r w:rsidRPr="00ED6132">
        <w:rPr>
          <w:rFonts w:ascii="Calibri" w:eastAsia="Calibri" w:hAnsi="Calibri" w:cs="Times New Roman"/>
        </w:rPr>
        <w:t xml:space="preserve"> i zatwierdzanie przedsięwzięć zawartych w Strategii,</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opiniowanie</w:t>
      </w:r>
      <w:proofErr w:type="gramEnd"/>
      <w:r w:rsidRPr="00ED6132">
        <w:rPr>
          <w:rFonts w:ascii="Calibri" w:eastAsia="Calibri" w:hAnsi="Calibri" w:cs="Times New Roman"/>
        </w:rPr>
        <w:t xml:space="preserve"> rozwiązań wdrożeniowych Strategii,</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opiniowanie</w:t>
      </w:r>
      <w:proofErr w:type="gramEnd"/>
      <w:r w:rsidRPr="00ED6132">
        <w:rPr>
          <w:rFonts w:ascii="Calibri" w:eastAsia="Calibri" w:hAnsi="Calibri" w:cs="Times New Roman"/>
        </w:rPr>
        <w:t xml:space="preserve"> i zatwierdzanie dokumentów niezbędnych w procesie wdrażania Strategii lub aktualizacji Strategii,</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podejmowanie</w:t>
      </w:r>
      <w:proofErr w:type="gramEnd"/>
      <w:r w:rsidRPr="00ED6132">
        <w:rPr>
          <w:rFonts w:ascii="Calibri" w:eastAsia="Calibri" w:hAnsi="Calibri" w:cs="Times New Roman"/>
        </w:rPr>
        <w:t xml:space="preserve"> decyzji niezbędnych do bieżącego funkcjonowania struktur Porozumienia,</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lastRenderedPageBreak/>
        <w:t>określenie</w:t>
      </w:r>
      <w:proofErr w:type="gramEnd"/>
      <w:r w:rsidRPr="00ED6132">
        <w:rPr>
          <w:rFonts w:ascii="Calibri" w:eastAsia="Calibri" w:hAnsi="Calibri" w:cs="Times New Roman"/>
        </w:rPr>
        <w:t xml:space="preserve"> zasad finansowania realizacji Strategii,</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powoływanie</w:t>
      </w:r>
      <w:proofErr w:type="gramEnd"/>
      <w:r w:rsidRPr="00ED6132">
        <w:rPr>
          <w:rFonts w:ascii="Calibri" w:eastAsia="Calibri" w:hAnsi="Calibri" w:cs="Times New Roman"/>
        </w:rPr>
        <w:t xml:space="preserve"> Koordynatora wspólnego oraz jego zastępcy oraz kierowników i członków Grup Zadaniowych i Rady Społecznej,</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inicjowanie</w:t>
      </w:r>
      <w:proofErr w:type="gramEnd"/>
      <w:r w:rsidRPr="00ED6132">
        <w:rPr>
          <w:rFonts w:ascii="Calibri" w:eastAsia="Calibri" w:hAnsi="Calibri" w:cs="Times New Roman"/>
        </w:rPr>
        <w:t xml:space="preserve"> dodatkowych działań, porozumień i dokumentów rozwijających współpracę gmin,</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powoływanie</w:t>
      </w:r>
      <w:proofErr w:type="gramEnd"/>
      <w:r w:rsidRPr="00ED6132">
        <w:rPr>
          <w:rFonts w:ascii="Calibri" w:eastAsia="Calibri" w:hAnsi="Calibri" w:cs="Times New Roman"/>
        </w:rPr>
        <w:t xml:space="preserve"> i rozwiązywanie dodatkowych struktur roboczych służących realizacji Strategii, np. zespołów roboczych dla poszczególnych projektów.</w:t>
      </w:r>
    </w:p>
    <w:p w:rsidR="00ED6132" w:rsidRPr="00ED6132" w:rsidRDefault="00ED6132" w:rsidP="00ED6132">
      <w:pPr>
        <w:ind w:left="567" w:firstLine="0"/>
        <w:rPr>
          <w:rFonts w:ascii="Calibri" w:eastAsia="Calibri" w:hAnsi="Calibri" w:cs="Times New Roman"/>
          <w:b/>
          <w:bCs/>
          <w:i/>
          <w:iCs/>
          <w:color w:val="00B0F0"/>
        </w:rPr>
      </w:pPr>
      <w:r w:rsidRPr="00ED6132">
        <w:rPr>
          <w:rFonts w:ascii="Calibri" w:eastAsia="Calibri" w:hAnsi="Calibri" w:cs="Times New Roman"/>
          <w:b/>
          <w:bCs/>
          <w:i/>
          <w:iCs/>
          <w:color w:val="00B0F0"/>
        </w:rPr>
        <w:t>Koordynator Wspólny</w:t>
      </w:r>
    </w:p>
    <w:p w:rsidR="00ED6132" w:rsidRPr="00ED6132" w:rsidRDefault="00ED6132" w:rsidP="00ED6132">
      <w:pPr>
        <w:rPr>
          <w:rFonts w:ascii="Calibri" w:eastAsia="Calibri" w:hAnsi="Calibri" w:cs="Calibri"/>
        </w:rPr>
      </w:pPr>
      <w:r w:rsidRPr="00ED6132">
        <w:rPr>
          <w:rFonts w:ascii="Calibri" w:eastAsia="Calibri" w:hAnsi="Calibri" w:cs="Calibri"/>
        </w:rPr>
        <w:t xml:space="preserve">Koordynator Wspólny odpowiada za prawidłowe i skuteczne wdrażanie Strategii przede wszystkim w zakresie realizacji konkretnych projektów. Powołanie tego organu leży w gestii </w:t>
      </w:r>
      <w:r w:rsidRPr="00ED6132">
        <w:rPr>
          <w:rFonts w:ascii="Calibri" w:eastAsia="Calibri" w:hAnsi="Calibri" w:cs="Times New Roman"/>
        </w:rPr>
        <w:t xml:space="preserve">Rady Porozumienia. </w:t>
      </w:r>
      <w:r w:rsidRPr="00ED6132">
        <w:rPr>
          <w:rFonts w:ascii="Calibri" w:eastAsia="Calibri" w:hAnsi="Calibri" w:cs="Calibri"/>
        </w:rPr>
        <w:t>W celu efektywniejszej realizacji Strategii ze strony Gminy Hrubieszów powołany zostanie Zastępca Koordynatora Wspólnego (na mocy decyzji Wójta Gminy Hrubieszów). Koordynator Wspólny i Zastępca Koordynatora Wspólnego stanowi zaplecze eksperckie dla Rady Porozumienia.</w:t>
      </w:r>
    </w:p>
    <w:p w:rsidR="00ED6132" w:rsidRPr="00ED6132" w:rsidRDefault="00ED6132" w:rsidP="00ED6132">
      <w:pPr>
        <w:rPr>
          <w:rFonts w:ascii="Calibri" w:eastAsia="Calibri" w:hAnsi="Calibri" w:cs="Calibri"/>
        </w:rPr>
      </w:pPr>
      <w:r w:rsidRPr="00ED6132">
        <w:rPr>
          <w:rFonts w:ascii="Calibri" w:eastAsia="Calibri" w:hAnsi="Calibri" w:cs="Calibri"/>
        </w:rPr>
        <w:t xml:space="preserve">Koordynator Wspólny i Zastępca Koordynatora Wspólnego, to osoby stojące na czele i koordynujące pracę Grup Zadaniowych i Kierowników tych Grup. </w:t>
      </w:r>
    </w:p>
    <w:p w:rsidR="00ED6132" w:rsidRPr="00ED6132" w:rsidRDefault="00ED6132" w:rsidP="00ED6132">
      <w:pPr>
        <w:rPr>
          <w:rFonts w:ascii="Calibri" w:eastAsia="Calibri" w:hAnsi="Calibri" w:cs="Calibri"/>
        </w:rPr>
      </w:pPr>
      <w:r w:rsidRPr="00ED6132">
        <w:rPr>
          <w:rFonts w:ascii="Calibri" w:eastAsia="Calibri" w:hAnsi="Calibri" w:cs="Calibri"/>
        </w:rPr>
        <w:t>Rolą Koordynatora i Zastępcy Koordynatora Wspólnego jest:</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r w:rsidRPr="00ED6132">
        <w:rPr>
          <w:rFonts w:ascii="Calibri" w:eastAsia="Calibri" w:hAnsi="Calibri" w:cs="Times New Roman"/>
        </w:rPr>
        <w:t>Śledzenie postępów Strategii,</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r w:rsidRPr="00ED6132">
        <w:rPr>
          <w:rFonts w:ascii="Calibri" w:eastAsia="Calibri" w:hAnsi="Calibri" w:cs="Times New Roman"/>
        </w:rPr>
        <w:t>Koordynacja współpracy między gminami – stronami Porozumienia nad integralnymi projektami ZIT,</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r w:rsidRPr="00ED6132">
        <w:rPr>
          <w:rFonts w:ascii="Calibri" w:eastAsia="Calibri" w:hAnsi="Calibri" w:cs="Times New Roman"/>
        </w:rPr>
        <w:t>Monitorowanie wdrażania w oparciu o system wskaźników,</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r w:rsidRPr="00ED6132">
        <w:rPr>
          <w:rFonts w:ascii="Calibri" w:eastAsia="Calibri" w:hAnsi="Calibri" w:cs="Times New Roman"/>
        </w:rPr>
        <w:t>Koordynacja identyfikacji i realizacji projektów oraz zapewnienie komplementarności realizowanych zadań,</w:t>
      </w:r>
    </w:p>
    <w:p w:rsidR="00ED6132" w:rsidRPr="00ED6132" w:rsidRDefault="00ED6132" w:rsidP="00A13FA7">
      <w:pPr>
        <w:numPr>
          <w:ilvl w:val="0"/>
          <w:numId w:val="53"/>
        </w:numPr>
        <w:spacing w:before="0" w:after="0"/>
        <w:ind w:left="426"/>
        <w:contextualSpacing/>
        <w:jc w:val="left"/>
        <w:rPr>
          <w:rFonts w:ascii="Calibri" w:eastAsia="Calibri" w:hAnsi="Calibri" w:cs="Times New Roman"/>
        </w:rPr>
      </w:pPr>
      <w:r w:rsidRPr="00ED6132">
        <w:rPr>
          <w:rFonts w:ascii="Calibri" w:eastAsia="Calibri" w:hAnsi="Calibri" w:cs="Calibri"/>
        </w:rPr>
        <w:t>Koordynacja procesu ewaluacji Strategii,</w:t>
      </w:r>
    </w:p>
    <w:p w:rsidR="00ED6132" w:rsidRPr="00ED6132" w:rsidRDefault="00ED6132" w:rsidP="00A13FA7">
      <w:pPr>
        <w:numPr>
          <w:ilvl w:val="0"/>
          <w:numId w:val="53"/>
        </w:numPr>
        <w:spacing w:before="0" w:after="0"/>
        <w:ind w:left="426"/>
        <w:contextualSpacing/>
        <w:jc w:val="left"/>
        <w:rPr>
          <w:rFonts w:ascii="Calibri" w:eastAsia="Calibri" w:hAnsi="Calibri" w:cs="Calibri"/>
        </w:rPr>
      </w:pPr>
      <w:r w:rsidRPr="00ED6132">
        <w:rPr>
          <w:rFonts w:ascii="Calibri" w:eastAsia="Calibri" w:hAnsi="Calibri" w:cs="Calibri"/>
        </w:rPr>
        <w:t>Formułowanie wniosków i opinii dla Rady Porozumienia, w tym przedstawiania propozycji stosownych zmian,</w:t>
      </w:r>
    </w:p>
    <w:p w:rsidR="00ED6132" w:rsidRPr="00ED6132" w:rsidRDefault="00ED6132" w:rsidP="00A13FA7">
      <w:pPr>
        <w:numPr>
          <w:ilvl w:val="0"/>
          <w:numId w:val="53"/>
        </w:numPr>
        <w:spacing w:before="0" w:after="0"/>
        <w:ind w:left="426"/>
        <w:contextualSpacing/>
        <w:jc w:val="left"/>
        <w:rPr>
          <w:rFonts w:ascii="Calibri" w:eastAsia="Calibri" w:hAnsi="Calibri" w:cs="Calibri"/>
        </w:rPr>
      </w:pPr>
      <w:r w:rsidRPr="00ED6132">
        <w:rPr>
          <w:rFonts w:ascii="Calibri" w:eastAsia="Calibri" w:hAnsi="Calibri" w:cs="Calibri"/>
        </w:rPr>
        <w:t>Nadzór nad przygotowaniem rocznych raportów o realizacji strategii przekazywanych Radzie,</w:t>
      </w:r>
    </w:p>
    <w:p w:rsidR="00ED6132" w:rsidRPr="00ED6132" w:rsidRDefault="00ED6132" w:rsidP="00A13FA7">
      <w:pPr>
        <w:numPr>
          <w:ilvl w:val="0"/>
          <w:numId w:val="53"/>
        </w:numPr>
        <w:spacing w:before="0" w:after="0"/>
        <w:ind w:left="426"/>
        <w:contextualSpacing/>
        <w:jc w:val="left"/>
        <w:rPr>
          <w:rFonts w:ascii="Calibri" w:eastAsia="Calibri" w:hAnsi="Calibri" w:cs="Calibri"/>
        </w:rPr>
      </w:pPr>
      <w:r w:rsidRPr="00ED6132">
        <w:rPr>
          <w:rFonts w:ascii="Calibri" w:eastAsia="Calibri" w:hAnsi="Calibri" w:cs="Calibri"/>
        </w:rPr>
        <w:t>Bieżący, roboczy kontakt z osobami odpowiedzialnymi za przygotowanie i realizację projektów, (Kierownicy Grup Zadaniowych).</w:t>
      </w:r>
    </w:p>
    <w:p w:rsidR="00ED6132" w:rsidRPr="00ED6132" w:rsidRDefault="00ED6132" w:rsidP="00ED6132">
      <w:pPr>
        <w:rPr>
          <w:rFonts w:ascii="Calibri" w:eastAsia="Calibri" w:hAnsi="Calibri" w:cs="Times New Roman"/>
          <w:b/>
          <w:bCs/>
          <w:i/>
          <w:iCs/>
          <w:color w:val="00B0F0"/>
        </w:rPr>
      </w:pPr>
      <w:r w:rsidRPr="00ED6132">
        <w:rPr>
          <w:rFonts w:ascii="Calibri" w:eastAsia="Calibri" w:hAnsi="Calibri" w:cs="Times New Roman"/>
          <w:b/>
          <w:bCs/>
          <w:i/>
          <w:iCs/>
          <w:color w:val="00B0F0"/>
        </w:rPr>
        <w:t>Kierownicy Grup Zadaniowych</w:t>
      </w:r>
    </w:p>
    <w:p w:rsidR="00ED6132" w:rsidRPr="00ED6132" w:rsidRDefault="00ED6132" w:rsidP="00ED6132">
      <w:pPr>
        <w:rPr>
          <w:rFonts w:ascii="Calibri" w:eastAsia="Calibri" w:hAnsi="Calibri" w:cs="Calibri"/>
        </w:rPr>
      </w:pPr>
      <w:r w:rsidRPr="00ED6132">
        <w:rPr>
          <w:rFonts w:ascii="Calibri" w:eastAsia="Calibri" w:hAnsi="Calibri" w:cs="Calibri"/>
        </w:rPr>
        <w:t xml:space="preserve">Kierowników Grup Zadaniowych wyznacza Rada Porozumienia, zgodnie z procedurą obowiązującą w każdym z samorządów HOF, a o ich wyznaczeniu decyduje zakres tematyczny planowanego do realizacji zadania, w tym zakres wskaźników. Rolę tą pełnią naczelnicy wydziałów Urzędu Miasta i Urzędu Gminy lub kadra zarządcza jednostek organizacyjnych gmin. Do ich obowiązków należy nadzór merytoryczny nad Grupą Zadaniową tworzoną do realizacji konkretnego zadania (przedsięwzięcia/projektu). </w:t>
      </w:r>
    </w:p>
    <w:p w:rsidR="00ED6132" w:rsidRPr="00ED6132" w:rsidRDefault="00ED6132" w:rsidP="00ED6132">
      <w:pPr>
        <w:rPr>
          <w:rFonts w:ascii="Calibri" w:eastAsia="Calibri" w:hAnsi="Calibri" w:cs="Times New Roman"/>
        </w:rPr>
      </w:pPr>
      <w:r w:rsidRPr="00ED6132">
        <w:rPr>
          <w:rFonts w:ascii="Calibri" w:eastAsia="Calibri" w:hAnsi="Calibri" w:cs="Times New Roman"/>
        </w:rPr>
        <w:t>* Kierownicy Grup Zadaniowych powoływani będą obligatoryjnie podczas realizacji projektów w trybie Zintegrowanych Inwestycji Terytorialnych (ZIT), natomiast fakultatywnie (dotyczy Gminy Hrubieszów) podczas realizacji pozostałych projektów. W sytuacji niepowołania Kierownika Grupy Zadaniowej wszystkie obowiązki Kierownika będzie pełnić Zastępca Koordynatora Wspólnego.</w:t>
      </w:r>
    </w:p>
    <w:p w:rsidR="00ED6132" w:rsidRPr="00ED6132" w:rsidRDefault="00ED6132" w:rsidP="00ED6132">
      <w:pPr>
        <w:rPr>
          <w:rFonts w:ascii="Calibri" w:eastAsia="Calibri" w:hAnsi="Calibri" w:cs="Times New Roman"/>
          <w:b/>
          <w:bCs/>
          <w:i/>
          <w:iCs/>
          <w:color w:val="00B0F0"/>
        </w:rPr>
      </w:pPr>
      <w:r w:rsidRPr="00ED6132">
        <w:rPr>
          <w:rFonts w:ascii="Calibri" w:eastAsia="Calibri" w:hAnsi="Calibri" w:cs="Times New Roman"/>
          <w:b/>
          <w:bCs/>
          <w:i/>
          <w:iCs/>
          <w:color w:val="00B0F0"/>
        </w:rPr>
        <w:lastRenderedPageBreak/>
        <w:t>Grupy Zadaniowe</w:t>
      </w:r>
    </w:p>
    <w:p w:rsidR="00EE49F4" w:rsidRPr="009B45A5" w:rsidRDefault="00EE49F4" w:rsidP="00EE49F4">
      <w:pPr>
        <w:rPr>
          <w:rFonts w:cs="Calibri"/>
        </w:rPr>
      </w:pPr>
      <w:r w:rsidRPr="009B45A5">
        <w:rPr>
          <w:rFonts w:cs="Calibri"/>
        </w:rPr>
        <w:t xml:space="preserve">W skład Grupy Zadaniowej tworzonej dla </w:t>
      </w:r>
      <w:r>
        <w:rPr>
          <w:rFonts w:cs="Calibri"/>
        </w:rPr>
        <w:t xml:space="preserve">konkretnego zadania/przedsięwzięcia </w:t>
      </w:r>
      <w:r w:rsidRPr="009B45A5">
        <w:rPr>
          <w:rFonts w:cs="Calibri"/>
        </w:rPr>
        <w:t>wchodzą pracownicy wydziałów i jednostek organizacyjnych biorących udział w realiza</w:t>
      </w:r>
      <w:r>
        <w:rPr>
          <w:rFonts w:cs="Calibri"/>
        </w:rPr>
        <w:t>cji tego zadania. W </w:t>
      </w:r>
      <w:r w:rsidRPr="009B45A5">
        <w:rPr>
          <w:rFonts w:cs="Calibri"/>
        </w:rPr>
        <w:t xml:space="preserve">przypadku </w:t>
      </w:r>
      <w:r>
        <w:rPr>
          <w:rFonts w:cs="Calibri"/>
        </w:rPr>
        <w:t xml:space="preserve">projektów </w:t>
      </w:r>
      <w:r w:rsidRPr="009B45A5">
        <w:rPr>
          <w:rFonts w:cs="Calibri"/>
        </w:rPr>
        <w:t xml:space="preserve">partnerskich w skład grupy zadaniowej wejdą </w:t>
      </w:r>
      <w:r>
        <w:rPr>
          <w:rFonts w:cs="Calibri"/>
        </w:rPr>
        <w:t xml:space="preserve">przedstawiciele (pracownicy) obu Urzędów.  </w:t>
      </w:r>
      <w:r w:rsidRPr="009B45A5">
        <w:rPr>
          <w:rFonts w:cs="Calibri"/>
        </w:rPr>
        <w:t xml:space="preserve">Do zadań </w:t>
      </w:r>
      <w:r>
        <w:rPr>
          <w:rFonts w:cs="Calibri"/>
        </w:rPr>
        <w:t>G</w:t>
      </w:r>
      <w:r w:rsidRPr="009B45A5">
        <w:rPr>
          <w:rFonts w:cs="Calibri"/>
        </w:rPr>
        <w:t xml:space="preserve">rup należy rzeczowa i formalna realizacja </w:t>
      </w:r>
      <w:r>
        <w:rPr>
          <w:rFonts w:cs="Calibri"/>
        </w:rPr>
        <w:t>zadań/przedsięwzięć</w:t>
      </w:r>
      <w:r w:rsidRPr="009B45A5">
        <w:rPr>
          <w:rFonts w:cs="Calibri"/>
        </w:rPr>
        <w:t>, koordynacja wykonawców zewnętrznych i organizacja partycypacji społecznej.</w:t>
      </w:r>
    </w:p>
    <w:p w:rsidR="00EE49F4" w:rsidRDefault="00EE49F4" w:rsidP="00EE49F4">
      <w:pPr>
        <w:rPr>
          <w:rFonts w:cs="Calibri"/>
        </w:rPr>
      </w:pPr>
      <w:r w:rsidRPr="009B45A5">
        <w:rPr>
          <w:rFonts w:cs="Calibri"/>
        </w:rPr>
        <w:t xml:space="preserve">Dobrą praktykę stanowić będzie włączenie w realizację zadań interesariuszy </w:t>
      </w:r>
      <w:r>
        <w:rPr>
          <w:rFonts w:cs="Calibri"/>
        </w:rPr>
        <w:t>przedsięwzięć.</w:t>
      </w:r>
    </w:p>
    <w:p w:rsidR="00EE49F4" w:rsidRPr="009B45A5" w:rsidRDefault="00EE49F4" w:rsidP="00EE49F4">
      <w:pPr>
        <w:rPr>
          <w:rFonts w:cs="Calibri"/>
        </w:rPr>
      </w:pPr>
      <w:r w:rsidRPr="009B45A5">
        <w:rPr>
          <w:rFonts w:cs="Calibri"/>
        </w:rPr>
        <w:t>Członków grupy zadaniowej wyznacza</w:t>
      </w:r>
      <w:r>
        <w:rPr>
          <w:rFonts w:cs="Calibri"/>
        </w:rPr>
        <w:t>ją Kierownicy Grup Zadaniowych</w:t>
      </w:r>
      <w:r w:rsidRPr="009B45A5">
        <w:rPr>
          <w:rFonts w:cs="Calibri"/>
        </w:rPr>
        <w:t>.</w:t>
      </w:r>
      <w:r>
        <w:rPr>
          <w:rFonts w:cs="Calibri"/>
        </w:rPr>
        <w:t xml:space="preserve">  Rada Porozumienia powołuje wybranych członków na pomocą zarządzenia Wójta lub Burmistrza. </w:t>
      </w:r>
      <w:r w:rsidRPr="009B45A5">
        <w:rPr>
          <w:rFonts w:cs="Calibri"/>
        </w:rPr>
        <w:t xml:space="preserve">Tworzone są również odrębne grupy zadaniowe odpowiedzialne za monitoring, ewaluację i aktualizację </w:t>
      </w:r>
      <w:r>
        <w:rPr>
          <w:rFonts w:cs="Calibri"/>
        </w:rPr>
        <w:t>Strategii</w:t>
      </w:r>
      <w:r w:rsidRPr="009B45A5">
        <w:rPr>
          <w:rFonts w:cs="Calibri"/>
        </w:rPr>
        <w:t xml:space="preserve"> oraz </w:t>
      </w:r>
      <w:r>
        <w:rPr>
          <w:rFonts w:cs="Calibri"/>
        </w:rPr>
        <w:t>jej uspołecznienie</w:t>
      </w:r>
      <w:r w:rsidRPr="009B45A5">
        <w:rPr>
          <w:rFonts w:cs="Calibri"/>
        </w:rPr>
        <w:t>.</w:t>
      </w:r>
    </w:p>
    <w:p w:rsidR="00ED6132" w:rsidRPr="00ED6132" w:rsidRDefault="00ED6132" w:rsidP="00ED6132">
      <w:pPr>
        <w:rPr>
          <w:rFonts w:ascii="Calibri" w:eastAsia="Calibri" w:hAnsi="Calibri" w:cs="Times New Roman"/>
          <w:b/>
          <w:bCs/>
          <w:i/>
          <w:iCs/>
          <w:color w:val="00B0F0"/>
        </w:rPr>
      </w:pPr>
      <w:r w:rsidRPr="00ED6132">
        <w:rPr>
          <w:rFonts w:ascii="Calibri" w:eastAsia="Calibri" w:hAnsi="Calibri" w:cs="Times New Roman"/>
          <w:b/>
          <w:bCs/>
          <w:i/>
          <w:iCs/>
          <w:color w:val="00B0F0"/>
        </w:rPr>
        <w:t>Rada Społeczna</w:t>
      </w:r>
    </w:p>
    <w:p w:rsidR="00ED6132" w:rsidRPr="00ED6132" w:rsidRDefault="00884BE2" w:rsidP="00ED6132">
      <w:pPr>
        <w:rPr>
          <w:rFonts w:ascii="Calibri" w:eastAsia="Calibri" w:hAnsi="Calibri" w:cs="Times New Roman"/>
        </w:rPr>
      </w:pPr>
      <w:r>
        <w:rPr>
          <w:rFonts w:ascii="Calibri" w:eastAsia="Calibri" w:hAnsi="Calibri" w:cs="Times New Roman"/>
        </w:rPr>
        <w:t>P</w:t>
      </w:r>
      <w:r w:rsidR="00ED6132" w:rsidRPr="00ED6132">
        <w:rPr>
          <w:rFonts w:ascii="Calibri" w:eastAsia="Calibri" w:hAnsi="Calibri" w:cs="Times New Roman"/>
        </w:rPr>
        <w:t>odmiot opiniodawczo-doradczy. Dzięki powołaniu Rady Społecznej możliwe staje się łatwe zaangażowanie innych podmiotów (publicznych i prywatnych) w realizację Strategii ponadlokalnej. Rada Społeczna reprezentuje grupy przedstawicieli społecznych i biznesowych</w:t>
      </w:r>
      <w:r w:rsidR="00ED6132" w:rsidRPr="001748D8">
        <w:rPr>
          <w:rFonts w:ascii="Calibri" w:eastAsia="Calibri" w:hAnsi="Calibri" w:cs="Times New Roman"/>
        </w:rPr>
        <w:t>.</w:t>
      </w:r>
      <w:r w:rsidRPr="001748D8">
        <w:rPr>
          <w:rFonts w:ascii="Calibri" w:eastAsia="Calibri" w:hAnsi="Calibri" w:cs="Times New Roman"/>
        </w:rPr>
        <w:t xml:space="preserve"> Podczas realizacji przedsięwzięć niefinansowanych w ramach Zintegrowanych Inwestycji Terytorialnych podmiot ten jest fakultatywny i powoływany w miarę potrzeb. Natomiast podczas realizacji przedsięwzięć finansowanych w ramach Zintegrowanych Inwestycji Terytorialnych Rada Społeczna jest podmiotem obligatoryjnym.</w:t>
      </w:r>
    </w:p>
    <w:p w:rsidR="00ED6132" w:rsidRPr="00ED6132" w:rsidRDefault="00ED6132" w:rsidP="00ED6132">
      <w:pPr>
        <w:rPr>
          <w:rFonts w:ascii="Calibri" w:eastAsia="Calibri" w:hAnsi="Calibri" w:cs="Times New Roman"/>
        </w:rPr>
      </w:pPr>
      <w:r w:rsidRPr="00ED6132">
        <w:rPr>
          <w:rFonts w:ascii="Calibri" w:eastAsia="Calibri" w:hAnsi="Calibri" w:cs="Times New Roman"/>
        </w:rPr>
        <w:t>Do zadań Rady Społecznej należy w szczególności:</w:t>
      </w:r>
    </w:p>
    <w:p w:rsidR="00ED6132" w:rsidRPr="00ED6132" w:rsidRDefault="00ED6132" w:rsidP="00A13FA7">
      <w:pPr>
        <w:numPr>
          <w:ilvl w:val="0"/>
          <w:numId w:val="54"/>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opiniowanie</w:t>
      </w:r>
      <w:proofErr w:type="gramEnd"/>
      <w:r w:rsidRPr="00ED6132">
        <w:rPr>
          <w:rFonts w:ascii="Calibri" w:eastAsia="Calibri" w:hAnsi="Calibri" w:cs="Times New Roman"/>
        </w:rPr>
        <w:t xml:space="preserve"> kierunków rozwoju proponowanych w strategii oraz zmian,</w:t>
      </w:r>
    </w:p>
    <w:p w:rsidR="00ED6132" w:rsidRPr="00ED6132" w:rsidRDefault="00ED6132" w:rsidP="00A13FA7">
      <w:pPr>
        <w:numPr>
          <w:ilvl w:val="0"/>
          <w:numId w:val="54"/>
        </w:numPr>
        <w:spacing w:before="0" w:after="0"/>
        <w:ind w:left="426"/>
        <w:contextualSpacing/>
        <w:jc w:val="left"/>
        <w:rPr>
          <w:rFonts w:ascii="Calibri" w:eastAsia="Calibri" w:hAnsi="Calibri" w:cs="Times New Roman"/>
        </w:rPr>
      </w:pPr>
      <w:proofErr w:type="gramStart"/>
      <w:r w:rsidRPr="00ED6132">
        <w:rPr>
          <w:rFonts w:ascii="Calibri" w:eastAsia="Calibri" w:hAnsi="Calibri" w:cs="Times New Roman"/>
        </w:rPr>
        <w:t>inicjowanie</w:t>
      </w:r>
      <w:proofErr w:type="gramEnd"/>
      <w:r w:rsidRPr="00ED6132">
        <w:rPr>
          <w:rFonts w:ascii="Calibri" w:eastAsia="Calibri" w:hAnsi="Calibri" w:cs="Times New Roman"/>
        </w:rPr>
        <w:t xml:space="preserve"> i proponowanie nowych projektów i rozwiązań organizacyjnych,</w:t>
      </w:r>
    </w:p>
    <w:p w:rsidR="00ED6132" w:rsidRPr="00ED6132" w:rsidRDefault="00ED6132" w:rsidP="00A13FA7">
      <w:pPr>
        <w:numPr>
          <w:ilvl w:val="0"/>
          <w:numId w:val="54"/>
        </w:numPr>
        <w:spacing w:before="0" w:after="0"/>
        <w:ind w:left="426"/>
        <w:contextualSpacing/>
        <w:jc w:val="left"/>
        <w:rPr>
          <w:rFonts w:ascii="Calibri" w:eastAsia="Calibri" w:hAnsi="Calibri" w:cs="Times New Roman"/>
          <w:bCs/>
          <w:iCs/>
        </w:rPr>
      </w:pPr>
      <w:proofErr w:type="gramStart"/>
      <w:r w:rsidRPr="00ED6132">
        <w:rPr>
          <w:rFonts w:ascii="Calibri" w:eastAsia="Calibri" w:hAnsi="Calibri" w:cs="Times New Roman"/>
        </w:rPr>
        <w:t>rola</w:t>
      </w:r>
      <w:proofErr w:type="gramEnd"/>
      <w:r w:rsidRPr="00ED6132">
        <w:rPr>
          <w:rFonts w:ascii="Calibri" w:eastAsia="Calibri" w:hAnsi="Calibri" w:cs="Times New Roman"/>
        </w:rPr>
        <w:t xml:space="preserve"> opiniodawczo-doradcza.</w:t>
      </w:r>
    </w:p>
    <w:p w:rsidR="00ED6132" w:rsidRDefault="00ED6132" w:rsidP="00ED6132">
      <w:pPr>
        <w:rPr>
          <w:rFonts w:ascii="Calibri" w:eastAsia="Calibri" w:hAnsi="Calibri" w:cs="Times New Roman"/>
          <w:bCs/>
          <w:iCs/>
        </w:rPr>
      </w:pPr>
      <w:r w:rsidRPr="00ED6132">
        <w:rPr>
          <w:rFonts w:ascii="Calibri" w:eastAsia="Calibri" w:hAnsi="Calibri" w:cs="Times New Roman"/>
          <w:bCs/>
          <w:iCs/>
        </w:rPr>
        <w:t>W skład Rady Społecznej powinni wchodzić reprezentanci podmiotów prywatnych i społecznych z obu Gmin HOF. Rada Społeczna stanowi podstawowy kanał komunikacji pomiędzy przedstawicielami Gmin, a mieszkańcami.</w:t>
      </w:r>
    </w:p>
    <w:p w:rsidR="000C2F23" w:rsidRDefault="000C2F23" w:rsidP="00ED6132">
      <w:pPr>
        <w:rPr>
          <w:rFonts w:ascii="Calibri" w:eastAsia="Calibri" w:hAnsi="Calibri" w:cs="Times New Roman"/>
          <w:bCs/>
          <w:iCs/>
        </w:rPr>
      </w:pPr>
    </w:p>
    <w:p w:rsidR="000C2F23" w:rsidRDefault="000C2F23" w:rsidP="00ED6132">
      <w:pPr>
        <w:rPr>
          <w:rFonts w:ascii="Calibri" w:eastAsia="Calibri" w:hAnsi="Calibri" w:cs="Times New Roman"/>
          <w:bCs/>
          <w:iCs/>
        </w:rPr>
      </w:pPr>
    </w:p>
    <w:p w:rsidR="000C2F23" w:rsidRDefault="000C2F23" w:rsidP="00ED6132">
      <w:pPr>
        <w:rPr>
          <w:rFonts w:ascii="Calibri" w:eastAsia="Calibri" w:hAnsi="Calibri" w:cs="Times New Roman"/>
          <w:bCs/>
          <w:iCs/>
        </w:rPr>
      </w:pPr>
    </w:p>
    <w:p w:rsidR="000C2F23" w:rsidRDefault="000C2F23" w:rsidP="00ED6132">
      <w:pPr>
        <w:rPr>
          <w:rFonts w:ascii="Calibri" w:eastAsia="Calibri" w:hAnsi="Calibri" w:cs="Times New Roman"/>
          <w:bCs/>
          <w:iCs/>
        </w:rPr>
      </w:pPr>
    </w:p>
    <w:p w:rsidR="000C2F23" w:rsidRDefault="000C2F23" w:rsidP="00ED6132">
      <w:pPr>
        <w:rPr>
          <w:rFonts w:ascii="Calibri" w:eastAsia="Calibri" w:hAnsi="Calibri" w:cs="Times New Roman"/>
          <w:bCs/>
          <w:iCs/>
        </w:rPr>
      </w:pPr>
    </w:p>
    <w:p w:rsidR="000C2F23" w:rsidRDefault="000C2F23" w:rsidP="00ED6132">
      <w:pPr>
        <w:rPr>
          <w:rFonts w:ascii="Calibri" w:eastAsia="Calibri" w:hAnsi="Calibri" w:cs="Times New Roman"/>
          <w:bCs/>
          <w:iCs/>
        </w:rPr>
      </w:pPr>
    </w:p>
    <w:p w:rsidR="000C2F23" w:rsidRPr="00ED6132" w:rsidRDefault="000C2F23" w:rsidP="00ED6132">
      <w:pPr>
        <w:rPr>
          <w:rFonts w:ascii="Calibri" w:eastAsia="Calibri" w:hAnsi="Calibri" w:cs="Times New Roman"/>
          <w:bCs/>
          <w:iCs/>
        </w:rPr>
      </w:pPr>
    </w:p>
    <w:tbl>
      <w:tblPr>
        <w:tblStyle w:val="Tabela-Siatka1"/>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595"/>
        <w:gridCol w:w="6181"/>
        <w:gridCol w:w="1596"/>
      </w:tblGrid>
      <w:tr w:rsidR="00ED6132" w:rsidRPr="00ED6132" w:rsidTr="00ED6132">
        <w:trPr>
          <w:tblCellSpacing w:w="20" w:type="dxa"/>
          <w:jc w:val="center"/>
        </w:trPr>
        <w:tc>
          <w:tcPr>
            <w:tcW w:w="7676" w:type="dxa"/>
            <w:gridSpan w:val="2"/>
            <w:shd w:val="clear" w:color="auto" w:fill="F5C040" w:themeFill="accent5"/>
            <w:vAlign w:val="center"/>
          </w:tcPr>
          <w:p w:rsidR="00ED6132" w:rsidRPr="00ED6132" w:rsidRDefault="00ED6132" w:rsidP="00ED6132">
            <w:pPr>
              <w:spacing w:before="240" w:after="240"/>
              <w:ind w:firstLine="0"/>
              <w:jc w:val="center"/>
              <w:rPr>
                <w:rFonts w:eastAsia="Calibri" w:cs="Times New Roman"/>
                <w:bCs/>
                <w:iCs/>
              </w:rPr>
            </w:pPr>
            <w:r w:rsidRPr="00ED6132">
              <w:rPr>
                <w:rFonts w:eastAsia="Calibri" w:cs="Times New Roman"/>
                <w:bCs/>
                <w:iCs/>
              </w:rPr>
              <w:lastRenderedPageBreak/>
              <w:t>Rada Porozumienia</w:t>
            </w:r>
          </w:p>
        </w:tc>
        <w:tc>
          <w:tcPr>
            <w:tcW w:w="1536" w:type="dxa"/>
            <w:vMerge w:val="restart"/>
            <w:shd w:val="clear" w:color="auto" w:fill="83D3FD" w:themeFill="accent1" w:themeFillTint="99"/>
            <w:vAlign w:val="center"/>
          </w:tcPr>
          <w:p w:rsidR="00ED6132" w:rsidRPr="00ED6132" w:rsidRDefault="00ED6132" w:rsidP="00ED6132">
            <w:pPr>
              <w:spacing w:before="240" w:after="240"/>
              <w:ind w:firstLine="0"/>
              <w:jc w:val="center"/>
              <w:rPr>
                <w:rFonts w:eastAsia="Calibri" w:cs="Times New Roman"/>
                <w:bCs/>
                <w:iCs/>
              </w:rPr>
            </w:pPr>
            <w:r w:rsidRPr="00ED6132">
              <w:rPr>
                <w:rFonts w:eastAsia="Calibri" w:cs="Times New Roman"/>
                <w:bCs/>
                <w:iCs/>
              </w:rPr>
              <w:t>Rada Społeczna</w:t>
            </w:r>
          </w:p>
        </w:tc>
      </w:tr>
      <w:tr w:rsidR="00ED6132" w:rsidRPr="00ED6132" w:rsidTr="00ED6132">
        <w:trPr>
          <w:tblCellSpacing w:w="20" w:type="dxa"/>
          <w:jc w:val="center"/>
        </w:trPr>
        <w:tc>
          <w:tcPr>
            <w:tcW w:w="7676" w:type="dxa"/>
            <w:gridSpan w:val="2"/>
            <w:shd w:val="clear" w:color="auto" w:fill="FBE5B2" w:themeFill="accent5" w:themeFillTint="66"/>
            <w:vAlign w:val="center"/>
          </w:tcPr>
          <w:p w:rsidR="00ED6132" w:rsidRPr="00ED6132" w:rsidRDefault="00ED6132" w:rsidP="00ED6132">
            <w:pPr>
              <w:spacing w:before="240" w:after="240"/>
              <w:ind w:firstLine="0"/>
              <w:jc w:val="center"/>
              <w:rPr>
                <w:rFonts w:eastAsia="Calibri" w:cs="Times New Roman"/>
                <w:bCs/>
                <w:iCs/>
              </w:rPr>
            </w:pPr>
            <w:r w:rsidRPr="00ED6132">
              <w:rPr>
                <w:rFonts w:eastAsia="Calibri" w:cs="Times New Roman"/>
                <w:bCs/>
                <w:iCs/>
              </w:rPr>
              <w:t>Koordynator Wspólny (wraz z Zastępcą Koordynatora Wspólnego)</w:t>
            </w:r>
          </w:p>
        </w:tc>
        <w:tc>
          <w:tcPr>
            <w:tcW w:w="1536" w:type="dxa"/>
            <w:vMerge/>
            <w:shd w:val="clear" w:color="auto" w:fill="83D3FD" w:themeFill="accent1" w:themeFillTint="99"/>
          </w:tcPr>
          <w:p w:rsidR="00ED6132" w:rsidRPr="00ED6132" w:rsidRDefault="00ED6132" w:rsidP="00ED6132">
            <w:pPr>
              <w:spacing w:before="240" w:after="240"/>
              <w:ind w:firstLine="0"/>
              <w:rPr>
                <w:rFonts w:eastAsia="Calibri" w:cs="Times New Roman"/>
                <w:b/>
                <w:bCs/>
                <w:i/>
                <w:iCs/>
              </w:rPr>
            </w:pPr>
          </w:p>
        </w:tc>
      </w:tr>
      <w:tr w:rsidR="00ED6132" w:rsidRPr="00ED6132" w:rsidTr="00ED6132">
        <w:trPr>
          <w:tblCellSpacing w:w="20" w:type="dxa"/>
          <w:jc w:val="center"/>
        </w:trPr>
        <w:tc>
          <w:tcPr>
            <w:tcW w:w="1535" w:type="dxa"/>
            <w:shd w:val="clear" w:color="auto" w:fill="5AB9F6" w:themeFill="background2" w:themeFillShade="BF"/>
            <w:vAlign w:val="center"/>
          </w:tcPr>
          <w:p w:rsidR="00ED6132" w:rsidRPr="00ED6132" w:rsidRDefault="00ED6132" w:rsidP="00ED6132">
            <w:pPr>
              <w:spacing w:before="240" w:after="240"/>
              <w:ind w:firstLine="0"/>
              <w:jc w:val="left"/>
              <w:rPr>
                <w:rFonts w:eastAsia="Calibri" w:cs="Times New Roman"/>
                <w:bCs/>
                <w:iCs/>
              </w:rPr>
            </w:pPr>
            <w:r w:rsidRPr="00ED6132">
              <w:rPr>
                <w:rFonts w:eastAsia="Calibri" w:cs="Times New Roman"/>
                <w:bCs/>
                <w:iCs/>
              </w:rPr>
              <w:t xml:space="preserve">Kierownicy grup Zadaniowych </w:t>
            </w:r>
          </w:p>
        </w:tc>
        <w:tc>
          <w:tcPr>
            <w:tcW w:w="6141" w:type="dxa"/>
            <w:shd w:val="clear" w:color="auto" w:fill="5AB9F6" w:themeFill="background2" w:themeFillShade="BF"/>
            <w:vAlign w:val="center"/>
          </w:tcPr>
          <w:p w:rsidR="00ED6132" w:rsidRPr="00ED6132" w:rsidRDefault="00ED6132" w:rsidP="00ED6132">
            <w:pPr>
              <w:spacing w:before="240" w:after="240"/>
              <w:ind w:firstLine="0"/>
              <w:jc w:val="center"/>
              <w:rPr>
                <w:rFonts w:eastAsia="Calibri" w:cs="Times New Roman"/>
                <w:bCs/>
                <w:iCs/>
              </w:rPr>
            </w:pPr>
            <w:proofErr w:type="gramStart"/>
            <w:r w:rsidRPr="00ED6132">
              <w:rPr>
                <w:rFonts w:eastAsia="Calibri" w:cs="Times New Roman"/>
                <w:bCs/>
                <w:iCs/>
              </w:rPr>
              <w:t>naczelnicy</w:t>
            </w:r>
            <w:proofErr w:type="gramEnd"/>
            <w:r w:rsidRPr="00ED6132">
              <w:rPr>
                <w:rFonts w:eastAsia="Calibri" w:cs="Times New Roman"/>
                <w:bCs/>
                <w:iCs/>
              </w:rPr>
              <w:t xml:space="preserve"> wydziałów i kadra zarządcza jednostek organizacyjnych Lidera i Partnera porozumienia</w:t>
            </w:r>
          </w:p>
        </w:tc>
        <w:tc>
          <w:tcPr>
            <w:tcW w:w="1536" w:type="dxa"/>
            <w:vMerge/>
            <w:shd w:val="clear" w:color="auto" w:fill="83D3FD" w:themeFill="accent1" w:themeFillTint="99"/>
          </w:tcPr>
          <w:p w:rsidR="00ED6132" w:rsidRPr="00ED6132" w:rsidRDefault="00ED6132" w:rsidP="00ED6132">
            <w:pPr>
              <w:spacing w:before="240" w:after="240"/>
              <w:ind w:firstLine="0"/>
              <w:rPr>
                <w:rFonts w:eastAsia="Calibri" w:cs="Times New Roman"/>
                <w:b/>
                <w:bCs/>
                <w:i/>
                <w:iCs/>
              </w:rPr>
            </w:pPr>
          </w:p>
        </w:tc>
      </w:tr>
      <w:tr w:rsidR="00ED6132" w:rsidRPr="00ED6132" w:rsidTr="00ED6132">
        <w:trPr>
          <w:tblCellSpacing w:w="20" w:type="dxa"/>
          <w:jc w:val="center"/>
        </w:trPr>
        <w:tc>
          <w:tcPr>
            <w:tcW w:w="1535" w:type="dxa"/>
            <w:shd w:val="clear" w:color="auto" w:fill="5AB9F6" w:themeFill="background2" w:themeFillShade="BF"/>
            <w:vAlign w:val="center"/>
          </w:tcPr>
          <w:p w:rsidR="00ED6132" w:rsidRPr="00ED6132" w:rsidRDefault="00ED6132" w:rsidP="00ED6132">
            <w:pPr>
              <w:spacing w:before="240" w:after="240"/>
              <w:ind w:firstLine="0"/>
              <w:jc w:val="left"/>
              <w:rPr>
                <w:rFonts w:eastAsia="Calibri" w:cs="Times New Roman"/>
                <w:bCs/>
                <w:iCs/>
              </w:rPr>
            </w:pPr>
            <w:r w:rsidRPr="00ED6132">
              <w:rPr>
                <w:rFonts w:eastAsia="Calibri" w:cs="Times New Roman"/>
                <w:bCs/>
                <w:iCs/>
              </w:rPr>
              <w:t xml:space="preserve">Grupy zadaniowe </w:t>
            </w:r>
          </w:p>
        </w:tc>
        <w:tc>
          <w:tcPr>
            <w:tcW w:w="6141" w:type="dxa"/>
            <w:shd w:val="clear" w:color="auto" w:fill="5AB9F6" w:themeFill="background2" w:themeFillShade="BF"/>
            <w:vAlign w:val="center"/>
          </w:tcPr>
          <w:p w:rsidR="00ED6132" w:rsidRPr="00ED6132" w:rsidRDefault="00ED6132" w:rsidP="00ED6132">
            <w:pPr>
              <w:spacing w:before="240" w:after="240"/>
              <w:ind w:firstLine="0"/>
              <w:jc w:val="center"/>
              <w:rPr>
                <w:rFonts w:eastAsia="Calibri" w:cs="Times New Roman"/>
                <w:bCs/>
                <w:iCs/>
              </w:rPr>
            </w:pPr>
            <w:proofErr w:type="gramStart"/>
            <w:r w:rsidRPr="00ED6132">
              <w:rPr>
                <w:rFonts w:eastAsia="Calibri" w:cs="Times New Roman"/>
                <w:bCs/>
                <w:iCs/>
              </w:rPr>
              <w:t>pracownicy</w:t>
            </w:r>
            <w:proofErr w:type="gramEnd"/>
            <w:r w:rsidRPr="00ED6132">
              <w:rPr>
                <w:rFonts w:eastAsia="Calibri" w:cs="Times New Roman"/>
                <w:bCs/>
                <w:iCs/>
              </w:rPr>
              <w:t xml:space="preserve"> wydziałów, </w:t>
            </w:r>
            <w:r w:rsidRPr="00ED6132">
              <w:rPr>
                <w:rFonts w:eastAsia="Calibri" w:cs="Times New Roman"/>
                <w:bCs/>
                <w:iCs/>
              </w:rPr>
              <w:tab/>
              <w:t>samodzielne stanowiska pracy, gminne jednostki organizacyjne, inne podmioty biorące aktywny udział w realizacji przedsięwzięć</w:t>
            </w:r>
          </w:p>
        </w:tc>
        <w:tc>
          <w:tcPr>
            <w:tcW w:w="1536" w:type="dxa"/>
            <w:vMerge/>
            <w:shd w:val="clear" w:color="auto" w:fill="83D3FD" w:themeFill="accent1" w:themeFillTint="99"/>
          </w:tcPr>
          <w:p w:rsidR="00ED6132" w:rsidRPr="00ED6132" w:rsidRDefault="00ED6132" w:rsidP="00ED6132">
            <w:pPr>
              <w:spacing w:before="240" w:after="240"/>
              <w:ind w:firstLine="0"/>
              <w:rPr>
                <w:rFonts w:eastAsia="Calibri" w:cs="Times New Roman"/>
                <w:b/>
                <w:bCs/>
                <w:i/>
                <w:iCs/>
              </w:rPr>
            </w:pPr>
          </w:p>
        </w:tc>
      </w:tr>
      <w:tr w:rsidR="00ED6132" w:rsidRPr="00ED6132" w:rsidTr="00ED6132">
        <w:trPr>
          <w:tblCellSpacing w:w="20" w:type="dxa"/>
          <w:jc w:val="center"/>
        </w:trPr>
        <w:tc>
          <w:tcPr>
            <w:tcW w:w="7676" w:type="dxa"/>
            <w:gridSpan w:val="2"/>
            <w:shd w:val="clear" w:color="auto" w:fill="0B86D6" w:themeFill="background2" w:themeFillShade="80"/>
            <w:vAlign w:val="center"/>
          </w:tcPr>
          <w:p w:rsidR="00ED6132" w:rsidRPr="00ED6132" w:rsidRDefault="00ED6132" w:rsidP="00ED6132">
            <w:pPr>
              <w:spacing w:before="240" w:after="240"/>
              <w:ind w:firstLine="0"/>
              <w:jc w:val="center"/>
              <w:rPr>
                <w:rFonts w:eastAsia="Calibri" w:cs="Times New Roman"/>
                <w:bCs/>
                <w:iCs/>
              </w:rPr>
            </w:pPr>
            <w:r w:rsidRPr="00ED6132">
              <w:rPr>
                <w:rFonts w:eastAsia="Calibri" w:cs="Times New Roman"/>
                <w:bCs/>
                <w:iCs/>
              </w:rPr>
              <w:t>Interesariusze zewnętrzni (beneficjenci końcowi przedsięwzięć)</w:t>
            </w:r>
          </w:p>
        </w:tc>
        <w:tc>
          <w:tcPr>
            <w:tcW w:w="1536" w:type="dxa"/>
            <w:vMerge/>
            <w:shd w:val="clear" w:color="auto" w:fill="83D3FD" w:themeFill="accent1" w:themeFillTint="99"/>
          </w:tcPr>
          <w:p w:rsidR="00ED6132" w:rsidRPr="00ED6132" w:rsidRDefault="00ED6132" w:rsidP="00ED6132">
            <w:pPr>
              <w:spacing w:before="240" w:after="240"/>
              <w:ind w:firstLine="0"/>
              <w:rPr>
                <w:rFonts w:eastAsia="Calibri" w:cs="Times New Roman"/>
                <w:b/>
                <w:bCs/>
                <w:i/>
                <w:iCs/>
              </w:rPr>
            </w:pPr>
          </w:p>
        </w:tc>
      </w:tr>
    </w:tbl>
    <w:p w:rsidR="00120BC7" w:rsidRDefault="00120BC7" w:rsidP="00C83112">
      <w:pPr>
        <w:rPr>
          <w:rFonts w:ascii="Calibri" w:eastAsia="Calibri" w:hAnsi="Calibri" w:cs="Times New Roman"/>
        </w:rPr>
      </w:pPr>
      <w:r w:rsidRPr="001748D8">
        <w:rPr>
          <w:rFonts w:ascii="Calibri" w:eastAsia="Calibri" w:hAnsi="Calibri" w:cs="Times New Roman"/>
        </w:rPr>
        <w:t xml:space="preserve">Doprecyzowanie zasad wdrażania i finansowania </w:t>
      </w:r>
      <w:r w:rsidR="009F7157" w:rsidRPr="001748D8">
        <w:rPr>
          <w:rFonts w:ascii="Calibri" w:eastAsia="Calibri" w:hAnsi="Calibri" w:cs="Times New Roman"/>
        </w:rPr>
        <w:t>przedsięwzięć</w:t>
      </w:r>
      <w:r w:rsidRPr="001748D8">
        <w:rPr>
          <w:rFonts w:ascii="Calibri" w:eastAsia="Calibri" w:hAnsi="Calibri" w:cs="Times New Roman"/>
        </w:rPr>
        <w:t xml:space="preserve"> ZIT znajduje się w załączniku </w:t>
      </w:r>
      <w:r w:rsidRPr="001748D8">
        <w:rPr>
          <w:rFonts w:ascii="Calibri" w:eastAsia="Calibri" w:hAnsi="Calibri" w:cs="Times New Roman"/>
          <w:i/>
        </w:rPr>
        <w:t>„Zarys planu działań ZIT”.</w:t>
      </w:r>
    </w:p>
    <w:p w:rsidR="00ED6132" w:rsidRPr="00ED6132" w:rsidRDefault="00ED6132" w:rsidP="00C83112">
      <w:pPr>
        <w:rPr>
          <w:rFonts w:ascii="Calibri" w:eastAsia="Calibri" w:hAnsi="Calibri" w:cs="Times New Roman"/>
        </w:rPr>
      </w:pPr>
      <w:r w:rsidRPr="00ED6132">
        <w:rPr>
          <w:rFonts w:ascii="Calibri" w:eastAsia="Calibri" w:hAnsi="Calibri" w:cs="Times New Roman"/>
        </w:rPr>
        <w:t>Poniżej zaprezentowany został wzór Karty projektu analizujący skład osobowy struktury zarządzania projektami realizowanymi w ramach niniejszej Strategii. Niniejsza Karta powinna zostać dołączona do każdego realizowanego projektu.</w:t>
      </w:r>
    </w:p>
    <w:p w:rsidR="00ED6132" w:rsidRPr="00ED6132" w:rsidRDefault="00ED6132" w:rsidP="00ED6132">
      <w:pPr>
        <w:keepNext/>
        <w:spacing w:after="0" w:line="240" w:lineRule="auto"/>
        <w:rPr>
          <w:rFonts w:ascii="Calibri" w:eastAsia="Calibri" w:hAnsi="Calibri" w:cs="Times New Roman"/>
          <w:b/>
          <w:bCs/>
          <w:color w:val="00B0F0"/>
          <w:sz w:val="18"/>
          <w:szCs w:val="18"/>
        </w:rPr>
      </w:pPr>
      <w:bookmarkStart w:id="79" w:name="_Toc138068540"/>
      <w:r w:rsidRPr="00ED6132">
        <w:rPr>
          <w:rFonts w:ascii="Calibri" w:eastAsia="Calibri" w:hAnsi="Calibri" w:cs="Times New Roman"/>
          <w:b/>
          <w:bCs/>
          <w:color w:val="00B0F0"/>
          <w:sz w:val="18"/>
          <w:szCs w:val="18"/>
        </w:rPr>
        <w:t xml:space="preserve">Tabela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Tabela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10</w:t>
      </w:r>
      <w:r w:rsidRPr="00ED6132">
        <w:rPr>
          <w:rFonts w:ascii="Calibri" w:eastAsia="Calibri" w:hAnsi="Calibri" w:cs="Times New Roman"/>
          <w:b/>
          <w:bCs/>
          <w:color w:val="00B0F0"/>
          <w:sz w:val="18"/>
          <w:szCs w:val="18"/>
        </w:rPr>
        <w:fldChar w:fldCharType="end"/>
      </w:r>
      <w:r w:rsidRPr="00ED6132">
        <w:rPr>
          <w:rFonts w:ascii="Calibri" w:eastAsia="Calibri" w:hAnsi="Calibri" w:cs="Times New Roman"/>
          <w:b/>
          <w:bCs/>
          <w:color w:val="00B0F0"/>
          <w:sz w:val="18"/>
          <w:szCs w:val="18"/>
        </w:rPr>
        <w:t>. Wzór Karty projektu - identyfikacja osób wchodzących w skład struktury zarządzania projektem</w:t>
      </w:r>
      <w:bookmarkEnd w:id="79"/>
    </w:p>
    <w:tbl>
      <w:tblPr>
        <w:tblStyle w:val="Jasnasiatkaakcent22"/>
        <w:tblW w:w="0" w:type="auto"/>
        <w:tblLook w:val="04A0" w:firstRow="1" w:lastRow="0" w:firstColumn="1" w:lastColumn="0" w:noHBand="0" w:noVBand="1"/>
      </w:tblPr>
      <w:tblGrid>
        <w:gridCol w:w="3070"/>
        <w:gridCol w:w="3071"/>
        <w:gridCol w:w="3071"/>
      </w:tblGrid>
      <w:tr w:rsidR="00ED6132" w:rsidRPr="00120BC7" w:rsidTr="00ED6132">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070" w:type="dxa"/>
            <w:shd w:val="clear" w:color="auto" w:fill="2C82F4" w:themeFill="text2" w:themeFillTint="99"/>
            <w:vAlign w:val="center"/>
          </w:tcPr>
          <w:p w:rsidR="00ED6132" w:rsidRPr="00120BC7" w:rsidRDefault="00ED6132" w:rsidP="00ED6132">
            <w:pPr>
              <w:spacing w:before="0"/>
              <w:ind w:firstLine="0"/>
              <w:jc w:val="left"/>
              <w:rPr>
                <w:rFonts w:asciiTheme="minorHAnsi" w:hAnsiTheme="minorHAnsi" w:cstheme="minorHAnsi"/>
                <w:sz w:val="26"/>
                <w:szCs w:val="26"/>
              </w:rPr>
            </w:pPr>
            <w:r w:rsidRPr="00120BC7">
              <w:rPr>
                <w:rFonts w:asciiTheme="minorHAnsi" w:hAnsiTheme="minorHAnsi" w:cstheme="minorHAnsi"/>
                <w:sz w:val="26"/>
                <w:szCs w:val="26"/>
              </w:rPr>
              <w:t>Tytuł projektu</w:t>
            </w:r>
          </w:p>
        </w:tc>
        <w:tc>
          <w:tcPr>
            <w:tcW w:w="6142" w:type="dxa"/>
            <w:gridSpan w:val="2"/>
            <w:shd w:val="clear" w:color="auto" w:fill="2C82F4" w:themeFill="text2" w:themeFillTint="99"/>
            <w:vAlign w:val="center"/>
          </w:tcPr>
          <w:p w:rsidR="00ED6132" w:rsidRPr="00120BC7" w:rsidRDefault="00ED6132" w:rsidP="00ED6132">
            <w:pPr>
              <w:spacing w:before="0"/>
              <w:ind w:firstLine="0"/>
              <w:jc w:val="left"/>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4"/>
              </w:rPr>
            </w:pPr>
          </w:p>
        </w:tc>
      </w:tr>
      <w:tr w:rsidR="00ED6132" w:rsidRPr="00120BC7" w:rsidTr="00ED6132">
        <w:trPr>
          <w:cnfStyle w:val="000000100000" w:firstRow="0" w:lastRow="0" w:firstColumn="0" w:lastColumn="0" w:oddVBand="0" w:evenVBand="0" w:oddHBand="1"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3070" w:type="dxa"/>
          </w:tcPr>
          <w:p w:rsidR="00ED6132" w:rsidRPr="00120BC7" w:rsidRDefault="00ED6132" w:rsidP="00ED6132">
            <w:pPr>
              <w:spacing w:before="0"/>
              <w:ind w:firstLine="0"/>
              <w:jc w:val="left"/>
              <w:rPr>
                <w:rFonts w:asciiTheme="minorHAnsi" w:hAnsiTheme="minorHAnsi" w:cstheme="minorHAnsi"/>
              </w:rPr>
            </w:pPr>
            <w:r w:rsidRPr="00120BC7">
              <w:rPr>
                <w:rFonts w:asciiTheme="minorHAnsi" w:hAnsiTheme="minorHAnsi" w:cstheme="minorHAnsi"/>
              </w:rPr>
              <w:t>Partnerzy biorący udział w realizacji projektu</w:t>
            </w:r>
          </w:p>
        </w:tc>
        <w:tc>
          <w:tcPr>
            <w:tcW w:w="3071" w:type="dxa"/>
            <w:vAlign w:val="center"/>
          </w:tcPr>
          <w:p w:rsidR="00ED6132" w:rsidRPr="00120BC7"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120BC7">
              <w:rPr>
                <w:rFonts w:eastAsia="Calibri" w:cstheme="minorHAnsi"/>
              </w:rPr>
              <w:t>Gmina Miejska Hrubieszów*</w:t>
            </w:r>
          </w:p>
        </w:tc>
        <w:tc>
          <w:tcPr>
            <w:tcW w:w="3071" w:type="dxa"/>
            <w:vAlign w:val="center"/>
          </w:tcPr>
          <w:p w:rsidR="00ED6132" w:rsidRPr="00120BC7"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rPr>
            </w:pPr>
            <w:r w:rsidRPr="00120BC7">
              <w:rPr>
                <w:rFonts w:eastAsia="Calibri" w:cstheme="minorHAnsi"/>
              </w:rPr>
              <w:t>Gmina Hrubieszów*</w:t>
            </w:r>
          </w:p>
        </w:tc>
      </w:tr>
      <w:tr w:rsidR="00ED6132" w:rsidRPr="00120BC7" w:rsidTr="00ED6132">
        <w:trPr>
          <w:cnfStyle w:val="000000010000" w:firstRow="0" w:lastRow="0" w:firstColumn="0" w:lastColumn="0" w:oddVBand="0" w:evenVBand="0" w:oddHBand="0" w:evenHBand="1"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9212" w:type="dxa"/>
            <w:gridSpan w:val="3"/>
            <w:shd w:val="clear" w:color="auto" w:fill="72ABF7" w:themeFill="text2" w:themeFillTint="66"/>
            <w:vAlign w:val="center"/>
          </w:tcPr>
          <w:p w:rsidR="00ED6132" w:rsidRPr="00120BC7" w:rsidRDefault="00ED6132" w:rsidP="00ED6132">
            <w:pPr>
              <w:spacing w:before="0"/>
              <w:ind w:firstLine="0"/>
              <w:jc w:val="center"/>
              <w:rPr>
                <w:rFonts w:asciiTheme="minorHAnsi" w:hAnsiTheme="minorHAnsi" w:cstheme="minorHAnsi"/>
              </w:rPr>
            </w:pPr>
            <w:r w:rsidRPr="00120BC7">
              <w:rPr>
                <w:rFonts w:asciiTheme="minorHAnsi" w:hAnsiTheme="minorHAnsi" w:cstheme="minorHAnsi"/>
              </w:rPr>
              <w:t>Identyfikacja osób wchodzących w skład struktury zarządzania projektem</w:t>
            </w:r>
          </w:p>
        </w:tc>
      </w:tr>
      <w:tr w:rsidR="00ED6132" w:rsidRPr="00120BC7" w:rsidTr="00ED6132">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3070" w:type="dxa"/>
            <w:vAlign w:val="center"/>
          </w:tcPr>
          <w:p w:rsidR="00ED6132" w:rsidRPr="00120BC7" w:rsidRDefault="00ED6132" w:rsidP="00ED6132">
            <w:pPr>
              <w:spacing w:before="0"/>
              <w:ind w:firstLine="0"/>
              <w:jc w:val="left"/>
              <w:rPr>
                <w:rFonts w:asciiTheme="minorHAnsi" w:hAnsiTheme="minorHAnsi" w:cstheme="minorHAnsi"/>
              </w:rPr>
            </w:pPr>
            <w:r w:rsidRPr="00120BC7">
              <w:rPr>
                <w:rFonts w:asciiTheme="minorHAnsi" w:hAnsiTheme="minorHAnsi" w:cstheme="minorHAnsi"/>
              </w:rPr>
              <w:t>Rada Porozumienia</w:t>
            </w:r>
          </w:p>
        </w:tc>
        <w:tc>
          <w:tcPr>
            <w:tcW w:w="3071" w:type="dxa"/>
          </w:tcPr>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tc>
        <w:tc>
          <w:tcPr>
            <w:tcW w:w="3071" w:type="dxa"/>
          </w:tcPr>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tc>
      </w:tr>
      <w:tr w:rsidR="00ED6132" w:rsidRPr="00120BC7" w:rsidTr="00ED6132">
        <w:trPr>
          <w:cnfStyle w:val="000000010000" w:firstRow="0" w:lastRow="0" w:firstColumn="0" w:lastColumn="0" w:oddVBand="0" w:evenVBand="0" w:oddHBand="0" w:evenHBand="1"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3070" w:type="dxa"/>
            <w:vAlign w:val="center"/>
          </w:tcPr>
          <w:p w:rsidR="00ED6132" w:rsidRPr="00120BC7" w:rsidRDefault="00ED6132" w:rsidP="00ED6132">
            <w:pPr>
              <w:spacing w:before="0"/>
              <w:ind w:firstLine="0"/>
              <w:jc w:val="left"/>
              <w:rPr>
                <w:rFonts w:asciiTheme="minorHAnsi" w:hAnsiTheme="minorHAnsi" w:cstheme="minorHAnsi"/>
              </w:rPr>
            </w:pPr>
            <w:r w:rsidRPr="00120BC7">
              <w:rPr>
                <w:rFonts w:asciiTheme="minorHAnsi" w:hAnsiTheme="minorHAnsi" w:cstheme="minorHAnsi"/>
              </w:rPr>
              <w:t>Koordynator Wspólny wraz z Zastępcą Koordynatora Wspólnego*</w:t>
            </w:r>
          </w:p>
        </w:tc>
        <w:tc>
          <w:tcPr>
            <w:tcW w:w="3071" w:type="dxa"/>
          </w:tcPr>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tc>
        <w:tc>
          <w:tcPr>
            <w:tcW w:w="3071" w:type="dxa"/>
          </w:tcPr>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tc>
      </w:tr>
      <w:tr w:rsidR="00ED6132" w:rsidRPr="00120BC7" w:rsidTr="00ED6132">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3070" w:type="dxa"/>
            <w:vAlign w:val="center"/>
          </w:tcPr>
          <w:p w:rsidR="00ED6132" w:rsidRPr="00120BC7" w:rsidRDefault="00ED6132" w:rsidP="00ED6132">
            <w:pPr>
              <w:spacing w:before="0"/>
              <w:ind w:firstLine="0"/>
              <w:jc w:val="left"/>
              <w:rPr>
                <w:rFonts w:asciiTheme="minorHAnsi" w:hAnsiTheme="minorHAnsi" w:cstheme="minorHAnsi"/>
              </w:rPr>
            </w:pPr>
            <w:r w:rsidRPr="00120BC7">
              <w:rPr>
                <w:rFonts w:asciiTheme="minorHAnsi" w:hAnsiTheme="minorHAnsi" w:cstheme="minorHAnsi"/>
              </w:rPr>
              <w:t>Kierownik Grupy Zadaniowej/ Kierownicy Grup Zadaniowych*</w:t>
            </w:r>
          </w:p>
        </w:tc>
        <w:tc>
          <w:tcPr>
            <w:tcW w:w="3071" w:type="dxa"/>
          </w:tcPr>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tc>
        <w:tc>
          <w:tcPr>
            <w:tcW w:w="3071" w:type="dxa"/>
          </w:tcPr>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tc>
      </w:tr>
      <w:tr w:rsidR="00ED6132" w:rsidRPr="00120BC7" w:rsidTr="00ED6132">
        <w:trPr>
          <w:cnfStyle w:val="000000010000" w:firstRow="0" w:lastRow="0" w:firstColumn="0" w:lastColumn="0" w:oddVBand="0" w:evenVBand="0" w:oddHBand="0" w:evenHBand="1"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3070" w:type="dxa"/>
            <w:vAlign w:val="center"/>
          </w:tcPr>
          <w:p w:rsidR="00ED6132" w:rsidRPr="00120BC7" w:rsidRDefault="00ED6132" w:rsidP="00ED6132">
            <w:pPr>
              <w:spacing w:before="0"/>
              <w:ind w:firstLine="0"/>
              <w:jc w:val="left"/>
              <w:rPr>
                <w:rFonts w:asciiTheme="minorHAnsi" w:hAnsiTheme="minorHAnsi" w:cstheme="minorHAnsi"/>
              </w:rPr>
            </w:pPr>
            <w:r w:rsidRPr="00120BC7">
              <w:rPr>
                <w:rFonts w:asciiTheme="minorHAnsi" w:hAnsiTheme="minorHAnsi" w:cstheme="minorHAnsi"/>
              </w:rPr>
              <w:lastRenderedPageBreak/>
              <w:t>Grupa Zadaniowa/ Grupy Zadaniowe*</w:t>
            </w:r>
          </w:p>
        </w:tc>
        <w:tc>
          <w:tcPr>
            <w:tcW w:w="3071" w:type="dxa"/>
          </w:tcPr>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tc>
        <w:tc>
          <w:tcPr>
            <w:tcW w:w="3071" w:type="dxa"/>
          </w:tcPr>
          <w:p w:rsidR="00ED6132" w:rsidRPr="00120BC7" w:rsidRDefault="00ED6132" w:rsidP="00ED6132">
            <w:pPr>
              <w:spacing w:before="0"/>
              <w:ind w:firstLine="0"/>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tc>
      </w:tr>
      <w:tr w:rsidR="00ED6132" w:rsidRPr="00120BC7" w:rsidTr="00ED6132">
        <w:trPr>
          <w:cnfStyle w:val="000000100000" w:firstRow="0" w:lastRow="0" w:firstColumn="0" w:lastColumn="0" w:oddVBand="0" w:evenVBand="0" w:oddHBand="1" w:evenHBand="0" w:firstRowFirstColumn="0" w:firstRowLastColumn="0" w:lastRowFirstColumn="0" w:lastRowLastColumn="0"/>
          <w:trHeight w:val="1077"/>
        </w:trPr>
        <w:tc>
          <w:tcPr>
            <w:cnfStyle w:val="001000000000" w:firstRow="0" w:lastRow="0" w:firstColumn="1" w:lastColumn="0" w:oddVBand="0" w:evenVBand="0" w:oddHBand="0" w:evenHBand="0" w:firstRowFirstColumn="0" w:firstRowLastColumn="0" w:lastRowFirstColumn="0" w:lastRowLastColumn="0"/>
            <w:tcW w:w="3070" w:type="dxa"/>
            <w:vAlign w:val="center"/>
          </w:tcPr>
          <w:p w:rsidR="00ED6132" w:rsidRPr="00120BC7" w:rsidRDefault="00ED6132" w:rsidP="00ED6132">
            <w:pPr>
              <w:spacing w:before="0"/>
              <w:ind w:firstLine="0"/>
              <w:jc w:val="left"/>
              <w:rPr>
                <w:rFonts w:asciiTheme="minorHAnsi" w:hAnsiTheme="minorHAnsi" w:cstheme="minorHAnsi"/>
              </w:rPr>
            </w:pPr>
            <w:r w:rsidRPr="00120BC7">
              <w:rPr>
                <w:rFonts w:asciiTheme="minorHAnsi" w:hAnsiTheme="minorHAnsi" w:cstheme="minorHAnsi"/>
              </w:rPr>
              <w:t>Rada Społeczna*</w:t>
            </w:r>
          </w:p>
        </w:tc>
        <w:tc>
          <w:tcPr>
            <w:tcW w:w="3071" w:type="dxa"/>
          </w:tcPr>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tc>
        <w:tc>
          <w:tcPr>
            <w:tcW w:w="3071" w:type="dxa"/>
          </w:tcPr>
          <w:p w:rsidR="00ED6132" w:rsidRPr="00120BC7" w:rsidRDefault="00ED6132" w:rsidP="00ED6132">
            <w:pPr>
              <w:spacing w:before="0"/>
              <w:ind w:firstLine="0"/>
              <w:jc w:val="left"/>
              <w:cnfStyle w:val="000000100000" w:firstRow="0" w:lastRow="0" w:firstColumn="0" w:lastColumn="0" w:oddVBand="0" w:evenVBand="0" w:oddHBand="1" w:evenHBand="0" w:firstRowFirstColumn="0" w:firstRowLastColumn="0" w:lastRowFirstColumn="0" w:lastRowLastColumn="0"/>
              <w:rPr>
                <w:rFonts w:eastAsia="Calibri" w:cstheme="minorHAnsi"/>
              </w:rPr>
            </w:pPr>
          </w:p>
        </w:tc>
      </w:tr>
    </w:tbl>
    <w:p w:rsidR="00ED6132" w:rsidRPr="00ED6132" w:rsidRDefault="00ED6132" w:rsidP="00ED6132">
      <w:pPr>
        <w:spacing w:after="0"/>
        <w:ind w:left="720" w:firstLine="0"/>
        <w:contextualSpacing/>
        <w:rPr>
          <w:rFonts w:ascii="Calibri" w:eastAsia="Calibri" w:hAnsi="Calibri" w:cs="Times New Roman"/>
        </w:rPr>
      </w:pPr>
      <w:r w:rsidRPr="00ED6132">
        <w:rPr>
          <w:rFonts w:ascii="Calibri" w:eastAsia="Calibri" w:hAnsi="Calibri" w:cs="Times New Roman"/>
        </w:rPr>
        <w:t>*niepotrzebne skreślić</w:t>
      </w:r>
    </w:p>
    <w:p w:rsidR="00ED6132" w:rsidRPr="00ED6132" w:rsidRDefault="00ED6132" w:rsidP="00ED6132">
      <w:pPr>
        <w:pBdr>
          <w:bottom w:val="single" w:sz="4" w:space="4" w:color="31B6FD"/>
        </w:pBdr>
        <w:spacing w:before="200" w:after="280"/>
        <w:ind w:left="936" w:right="936"/>
        <w:rPr>
          <w:rFonts w:ascii="Calibri" w:eastAsia="Calibri" w:hAnsi="Calibri" w:cs="Times New Roman"/>
          <w:b/>
          <w:bCs/>
          <w:i/>
          <w:iCs/>
          <w:color w:val="31B6FD"/>
        </w:rPr>
      </w:pPr>
      <w:r w:rsidRPr="00ED6132">
        <w:rPr>
          <w:rFonts w:ascii="Calibri" w:eastAsia="Calibri" w:hAnsi="Calibri" w:cs="Times New Roman"/>
          <w:b/>
          <w:bCs/>
          <w:i/>
          <w:iCs/>
          <w:color w:val="31B6FD"/>
        </w:rPr>
        <w:t>Mechanizmy i instrumenty realizacji Strategii</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Przedsięwzięcia i działania w ramach Strategii będą realizowane w różnych okresach </w:t>
      </w:r>
      <w:proofErr w:type="gramStart"/>
      <w:r w:rsidRPr="00ED6132">
        <w:rPr>
          <w:rFonts w:ascii="Calibri" w:eastAsia="Calibri" w:hAnsi="Calibri" w:cs="Times New Roman"/>
        </w:rPr>
        <w:t>czasowych jako</w:t>
      </w:r>
      <w:proofErr w:type="gramEnd"/>
      <w:r w:rsidRPr="00ED6132">
        <w:rPr>
          <w:rFonts w:ascii="Calibri" w:eastAsia="Calibri" w:hAnsi="Calibri" w:cs="Times New Roman"/>
        </w:rPr>
        <w:t xml:space="preserve">, że są wśród nich inwestycje jednorazowe jak również inwestycje długoterminowe i cykliczne. </w:t>
      </w:r>
    </w:p>
    <w:p w:rsidR="00ED6132" w:rsidRPr="00ED6132" w:rsidRDefault="00ED6132" w:rsidP="00ED6132">
      <w:pPr>
        <w:keepNext/>
        <w:spacing w:line="240" w:lineRule="auto"/>
        <w:rPr>
          <w:rFonts w:ascii="Calibri" w:eastAsia="Calibri" w:hAnsi="Calibri" w:cs="Times New Roman"/>
          <w:b/>
          <w:bCs/>
          <w:color w:val="00B0F0"/>
          <w:sz w:val="18"/>
          <w:szCs w:val="18"/>
        </w:rPr>
      </w:pPr>
      <w:bookmarkStart w:id="80" w:name="_Toc138068519"/>
      <w:r w:rsidRPr="00ED6132">
        <w:rPr>
          <w:rFonts w:ascii="Calibri" w:eastAsia="Calibri" w:hAnsi="Calibri" w:cs="Times New Roman"/>
          <w:b/>
          <w:bCs/>
          <w:color w:val="00B0F0"/>
          <w:sz w:val="18"/>
          <w:szCs w:val="18"/>
        </w:rPr>
        <w:t xml:space="preserve">Ryc.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Ryc.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23</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Mechanizmy i instrumenty wewnętrzne wdrażania Strategii</w:t>
      </w:r>
      <w:bookmarkEnd w:id="80"/>
    </w:p>
    <w:p w:rsidR="00ED6132" w:rsidRPr="00ED6132" w:rsidRDefault="00ED6132" w:rsidP="00ED6132">
      <w:pPr>
        <w:ind w:firstLine="0"/>
        <w:rPr>
          <w:rFonts w:ascii="Calibri" w:eastAsia="Calibri" w:hAnsi="Calibri" w:cs="Times New Roman"/>
        </w:rPr>
      </w:pPr>
      <w:r w:rsidRPr="00ED6132">
        <w:rPr>
          <w:rFonts w:ascii="Calibri" w:eastAsia="Calibri" w:hAnsi="Calibri" w:cs="Times New Roman"/>
          <w:noProof/>
          <w:lang w:eastAsia="pl-PL"/>
        </w:rPr>
        <w:drawing>
          <wp:inline distT="0" distB="0" distL="0" distR="0" wp14:anchorId="21E8451F" wp14:editId="66B0781F">
            <wp:extent cx="5803900" cy="3429000"/>
            <wp:effectExtent l="0" t="0" r="0" b="19050"/>
            <wp:docPr id="86" name="Diagram 8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W ramach systemu realizacji wykorzystane zostaną różne mechanizmy i instrumenty wewnętrzne wdrażania Strategii, m.in. o charakterze: </w:t>
      </w:r>
    </w:p>
    <w:p w:rsidR="00ED6132" w:rsidRPr="00ED6132" w:rsidRDefault="00ED6132" w:rsidP="00A13FA7">
      <w:pPr>
        <w:numPr>
          <w:ilvl w:val="0"/>
          <w:numId w:val="49"/>
        </w:numPr>
        <w:spacing w:before="0" w:after="0"/>
        <w:ind w:left="851"/>
        <w:contextualSpacing/>
        <w:jc w:val="left"/>
        <w:rPr>
          <w:rFonts w:ascii="Calibri" w:eastAsia="Calibri" w:hAnsi="Calibri" w:cs="Times New Roman"/>
        </w:rPr>
      </w:pPr>
      <w:proofErr w:type="gramStart"/>
      <w:r w:rsidRPr="00ED6132">
        <w:rPr>
          <w:rFonts w:ascii="Calibri" w:eastAsia="Calibri" w:hAnsi="Calibri" w:cs="Times New Roman"/>
        </w:rPr>
        <w:t>prawnym</w:t>
      </w:r>
      <w:proofErr w:type="gramEnd"/>
      <w:r w:rsidRPr="00ED6132">
        <w:rPr>
          <w:rFonts w:ascii="Calibri" w:eastAsia="Calibri" w:hAnsi="Calibri" w:cs="Times New Roman"/>
        </w:rPr>
        <w:t xml:space="preserve"> – uchwały Rady Miejskiej, uchwały Rady Gminy, zarządzenia Burmistrza Miasta, zarządzania Wójta Gminy, regulacje w postaci aktów prawa miejscowego, decyzje administracyjne itp., </w:t>
      </w:r>
    </w:p>
    <w:p w:rsidR="00ED6132" w:rsidRPr="00ED6132" w:rsidRDefault="00ED6132" w:rsidP="00A13FA7">
      <w:pPr>
        <w:numPr>
          <w:ilvl w:val="0"/>
          <w:numId w:val="49"/>
        </w:numPr>
        <w:spacing w:before="0" w:after="0"/>
        <w:ind w:left="851"/>
        <w:contextualSpacing/>
        <w:jc w:val="left"/>
        <w:rPr>
          <w:rFonts w:ascii="Calibri" w:eastAsia="Calibri" w:hAnsi="Calibri" w:cs="Times New Roman"/>
        </w:rPr>
      </w:pPr>
      <w:proofErr w:type="gramStart"/>
      <w:r w:rsidRPr="00ED6132">
        <w:rPr>
          <w:rFonts w:ascii="Calibri" w:eastAsia="Calibri" w:hAnsi="Calibri" w:cs="Times New Roman"/>
        </w:rPr>
        <w:lastRenderedPageBreak/>
        <w:t>finansowym</w:t>
      </w:r>
      <w:proofErr w:type="gramEnd"/>
      <w:r w:rsidRPr="00ED6132">
        <w:rPr>
          <w:rFonts w:ascii="Calibri" w:eastAsia="Calibri" w:hAnsi="Calibri" w:cs="Times New Roman"/>
        </w:rPr>
        <w:t xml:space="preserve"> – uchwała budżetowa Rady Miejskiej, uchwała budżetowa Rady Gminy, wieloletnie prognozy finansowe oraz inne dokumenty finansowe, harmonogramy i analizy finansowo-ekonomiczne projektów realizowane przy wykorzystaniu funduszy zewnętrznych, różne formy współpracy finansowej z organizacjami pozarządowymi. </w:t>
      </w:r>
    </w:p>
    <w:p w:rsidR="00ED6132" w:rsidRPr="00ED6132" w:rsidRDefault="00ED6132" w:rsidP="00A13FA7">
      <w:pPr>
        <w:numPr>
          <w:ilvl w:val="0"/>
          <w:numId w:val="49"/>
        </w:numPr>
        <w:spacing w:before="0" w:after="0"/>
        <w:ind w:left="851"/>
        <w:contextualSpacing/>
        <w:jc w:val="left"/>
        <w:rPr>
          <w:rFonts w:ascii="Calibri" w:eastAsia="Calibri" w:hAnsi="Calibri" w:cs="Times New Roman"/>
        </w:rPr>
      </w:pPr>
      <w:proofErr w:type="gramStart"/>
      <w:r w:rsidRPr="00ED6132">
        <w:rPr>
          <w:rFonts w:ascii="Calibri" w:eastAsia="Calibri" w:hAnsi="Calibri" w:cs="Times New Roman"/>
        </w:rPr>
        <w:t>planowania</w:t>
      </w:r>
      <w:proofErr w:type="gramEnd"/>
      <w:r w:rsidRPr="00ED6132">
        <w:rPr>
          <w:rFonts w:ascii="Calibri" w:eastAsia="Calibri" w:hAnsi="Calibri" w:cs="Times New Roman"/>
        </w:rPr>
        <w:t xml:space="preserve"> przestrzennego i planów/ programów wdrożeniowych - miejscowe plany zagospodarowania przestrzennego, procedury zapewniające udział mieszkańców w planowaniu przestrzennym, gminne strategie sektorowe/branżowe itp.</w:t>
      </w:r>
    </w:p>
    <w:p w:rsidR="00ED6132" w:rsidRPr="00ED6132" w:rsidRDefault="00ED6132" w:rsidP="00A13FA7">
      <w:pPr>
        <w:numPr>
          <w:ilvl w:val="0"/>
          <w:numId w:val="49"/>
        </w:numPr>
        <w:spacing w:before="0" w:after="0"/>
        <w:ind w:left="851"/>
        <w:contextualSpacing/>
        <w:jc w:val="left"/>
        <w:rPr>
          <w:rFonts w:ascii="Calibri" w:eastAsia="Calibri" w:hAnsi="Calibri" w:cs="Times New Roman"/>
        </w:rPr>
      </w:pPr>
      <w:proofErr w:type="gramStart"/>
      <w:r w:rsidRPr="00ED6132">
        <w:rPr>
          <w:rFonts w:ascii="Calibri" w:eastAsia="Calibri" w:hAnsi="Calibri" w:cs="Times New Roman"/>
        </w:rPr>
        <w:t>organizacyjnym</w:t>
      </w:r>
      <w:proofErr w:type="gramEnd"/>
      <w:r w:rsidRPr="00ED6132">
        <w:rPr>
          <w:rFonts w:ascii="Calibri" w:eastAsia="Calibri" w:hAnsi="Calibri" w:cs="Times New Roman"/>
        </w:rPr>
        <w:t xml:space="preserve"> – praca i zaangażowanie władz samorządowych, kadry kierowniczej i pracowników referatów/wydziałów/komórek oraz jednostek gminnych, itp., </w:t>
      </w:r>
    </w:p>
    <w:p w:rsidR="00ED6132" w:rsidRPr="00ED6132" w:rsidRDefault="00ED6132" w:rsidP="00A13FA7">
      <w:pPr>
        <w:numPr>
          <w:ilvl w:val="0"/>
          <w:numId w:val="49"/>
        </w:numPr>
        <w:spacing w:before="0" w:after="0"/>
        <w:ind w:left="851"/>
        <w:contextualSpacing/>
        <w:jc w:val="left"/>
        <w:rPr>
          <w:rFonts w:ascii="Calibri" w:eastAsia="Calibri" w:hAnsi="Calibri" w:cs="Times New Roman"/>
        </w:rPr>
      </w:pPr>
      <w:proofErr w:type="gramStart"/>
      <w:r w:rsidRPr="00ED6132">
        <w:rPr>
          <w:rFonts w:ascii="Calibri" w:eastAsia="Calibri" w:hAnsi="Calibri" w:cs="Times New Roman"/>
        </w:rPr>
        <w:t>kontrolnym</w:t>
      </w:r>
      <w:proofErr w:type="gramEnd"/>
      <w:r w:rsidRPr="00ED6132">
        <w:rPr>
          <w:rFonts w:ascii="Calibri" w:eastAsia="Calibri" w:hAnsi="Calibri" w:cs="Times New Roman"/>
        </w:rPr>
        <w:t xml:space="preserve"> - kontrola zarządcza, aktualizacja ewidencji i rejestrów, monitoring stanu zagospodarowania przestrzennego, itp. </w:t>
      </w:r>
    </w:p>
    <w:p w:rsidR="00ED6132" w:rsidRPr="00ED6132" w:rsidRDefault="00ED6132" w:rsidP="00A13FA7">
      <w:pPr>
        <w:numPr>
          <w:ilvl w:val="0"/>
          <w:numId w:val="49"/>
        </w:numPr>
        <w:spacing w:before="0" w:after="0"/>
        <w:ind w:left="851"/>
        <w:contextualSpacing/>
        <w:jc w:val="left"/>
        <w:rPr>
          <w:rFonts w:ascii="Calibri" w:eastAsia="Calibri" w:hAnsi="Calibri" w:cs="Times New Roman"/>
        </w:rPr>
      </w:pPr>
      <w:proofErr w:type="gramStart"/>
      <w:r w:rsidRPr="00ED6132">
        <w:rPr>
          <w:rFonts w:ascii="Calibri" w:eastAsia="Calibri" w:hAnsi="Calibri" w:cs="Times New Roman"/>
        </w:rPr>
        <w:t>partycypacyjnym</w:t>
      </w:r>
      <w:proofErr w:type="gramEnd"/>
      <w:r w:rsidRPr="00ED6132">
        <w:rPr>
          <w:rFonts w:ascii="Calibri" w:eastAsia="Calibri" w:hAnsi="Calibri" w:cs="Times New Roman"/>
        </w:rPr>
        <w:t xml:space="preserve"> – działania edukacyjne, informacyjne i promocyjne, konsultacje wewnętrzne, konsultacje społeczne, strony internetowe gmin i jednostek gminnych, profile w mediach społecznościowych, media lokalne i ponadlokalne, systemy informacji przestrzennej gmin itp.</w:t>
      </w:r>
    </w:p>
    <w:p w:rsidR="00ED6132" w:rsidRPr="00ED6132" w:rsidRDefault="00ED6132" w:rsidP="00A13FA7">
      <w:pPr>
        <w:keepNext/>
        <w:keepLines/>
        <w:numPr>
          <w:ilvl w:val="1"/>
          <w:numId w:val="81"/>
        </w:numPr>
        <w:spacing w:before="200" w:after="0"/>
        <w:jc w:val="left"/>
        <w:outlineLvl w:val="1"/>
        <w:rPr>
          <w:rFonts w:ascii="Candara" w:eastAsia="Times New Roman" w:hAnsi="Candara" w:cs="Times New Roman"/>
          <w:b/>
          <w:bCs/>
          <w:color w:val="31B6FD"/>
          <w:sz w:val="26"/>
          <w:szCs w:val="26"/>
        </w:rPr>
      </w:pPr>
      <w:bookmarkStart w:id="81" w:name="_Toc138068787"/>
      <w:r w:rsidRPr="00ED6132">
        <w:rPr>
          <w:rFonts w:ascii="Candara" w:eastAsia="Times New Roman" w:hAnsi="Candara" w:cs="Times New Roman"/>
          <w:b/>
          <w:bCs/>
          <w:color w:val="31B6FD"/>
          <w:sz w:val="26"/>
          <w:szCs w:val="26"/>
        </w:rPr>
        <w:t>Ramy finansowe Strategii</w:t>
      </w:r>
      <w:bookmarkEnd w:id="81"/>
    </w:p>
    <w:p w:rsidR="00ED6132" w:rsidRPr="00ED6132" w:rsidRDefault="00ED6132" w:rsidP="00ED6132">
      <w:pPr>
        <w:rPr>
          <w:rFonts w:ascii="Calibri" w:eastAsia="Calibri" w:hAnsi="Calibri" w:cs="Times New Roman"/>
        </w:rPr>
      </w:pPr>
      <w:r w:rsidRPr="00ED6132">
        <w:rPr>
          <w:rFonts w:ascii="Calibri" w:eastAsia="Calibri" w:hAnsi="Calibri" w:cs="Times New Roman"/>
        </w:rPr>
        <w:t>Chcąc zrealizować zamierzenia wynikające z niniejszej Strategii, oprócz adekwatnych zasobów ludzkich, organizacyjnych i rzeczowych, niezbędne jest posiadanie odpowiednich środków finansowych. W tym celu analizie należy poddać zarówno możliwość pozyskania środków ze źródeł zewnętrznych, jak i finansową zdolność gmin do podźwignięcia realizacji Strategii.</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Realizacja zakrojonego na tak szeroką skalę planu rozwojowego wymaga zapewnienia jego wykonalności finansowej. Ramy finansowe wskazują wielkość środków finansowych szacowanych na realizację Strategii. Jednocześnie potwierdzają możliwość realizacji przez HOF zaplanowanych działań. Biorąc pod uwagę stale rosnące liczby zadań gmin, budżet lokalny gmin HOF jest ograniczony, w związku z tym nieodzowne staje się pozyskanie zewnętrznych źródeł finansowania. Do prowadzenia efektywnej i skutecznej polityki rozwoju HOF konieczne staje się dokonanie dywersyfikacji źródeł finansowania. Potencjalne źródła finansowania działań ujętych w Strategii rozwoju ponadlokalnego Hrubieszowskiego Obszaru Funkcjonalnego na lata 2021 -2030 </w:t>
      </w:r>
      <w:r w:rsidR="00B0129B" w:rsidRPr="00436493">
        <w:t>to:</w:t>
      </w:r>
    </w:p>
    <w:p w:rsidR="00ED6132" w:rsidRPr="00ED6132" w:rsidRDefault="00ED6132" w:rsidP="00A13FA7">
      <w:pPr>
        <w:numPr>
          <w:ilvl w:val="0"/>
          <w:numId w:val="41"/>
        </w:numPr>
        <w:spacing w:before="0"/>
        <w:ind w:left="567"/>
        <w:contextualSpacing/>
        <w:rPr>
          <w:rFonts w:ascii="Calibri" w:eastAsia="Calibri" w:hAnsi="Calibri" w:cs="Times New Roman"/>
        </w:rPr>
      </w:pPr>
      <w:proofErr w:type="gramStart"/>
      <w:r w:rsidRPr="00ED6132">
        <w:rPr>
          <w:rFonts w:ascii="Calibri" w:eastAsia="Calibri" w:hAnsi="Calibri" w:cs="Times New Roman"/>
        </w:rPr>
        <w:t>środki</w:t>
      </w:r>
      <w:proofErr w:type="gramEnd"/>
      <w:r w:rsidRPr="00ED6132">
        <w:rPr>
          <w:rFonts w:ascii="Calibri" w:eastAsia="Calibri" w:hAnsi="Calibri" w:cs="Times New Roman"/>
        </w:rPr>
        <w:t xml:space="preserve"> budżetu gmin, </w:t>
      </w:r>
    </w:p>
    <w:p w:rsidR="00ED6132" w:rsidRPr="00ED6132" w:rsidRDefault="00ED6132" w:rsidP="00A13FA7">
      <w:pPr>
        <w:numPr>
          <w:ilvl w:val="0"/>
          <w:numId w:val="41"/>
        </w:numPr>
        <w:spacing w:before="0"/>
        <w:ind w:left="567"/>
        <w:contextualSpacing/>
        <w:rPr>
          <w:rFonts w:ascii="Calibri" w:eastAsia="Calibri" w:hAnsi="Calibri" w:cs="Times New Roman"/>
        </w:rPr>
      </w:pPr>
      <w:proofErr w:type="gramStart"/>
      <w:r w:rsidRPr="00ED6132">
        <w:rPr>
          <w:rFonts w:ascii="Calibri" w:eastAsia="Calibri" w:hAnsi="Calibri" w:cs="Times New Roman"/>
        </w:rPr>
        <w:t>środki</w:t>
      </w:r>
      <w:proofErr w:type="gramEnd"/>
      <w:r w:rsidRPr="00ED6132">
        <w:rPr>
          <w:rFonts w:ascii="Calibri" w:eastAsia="Calibri" w:hAnsi="Calibri" w:cs="Times New Roman"/>
        </w:rPr>
        <w:t xml:space="preserve"> Unii Europejskiej – fundusze europejskie dostępne m.in. w ramach Europejskiego Funduszu Rozwoju Regionalnego, Funduszu Spójności, Europejskiego Planu Odbudowy, Europejskiego Funduszu Społecznego, w tym te z wykorzystaniem instrumentu Zintegrowanych Inwestycji Terytorialnych w ramach Hrubieszowskiego Obszaru Funkcjonalnego, Inicjatyw Wspólnotowych oraz Wspólnej Polityki Rolnej, </w:t>
      </w:r>
    </w:p>
    <w:p w:rsidR="00ED6132" w:rsidRPr="00ED6132" w:rsidRDefault="00ED6132" w:rsidP="00A13FA7">
      <w:pPr>
        <w:numPr>
          <w:ilvl w:val="0"/>
          <w:numId w:val="41"/>
        </w:numPr>
        <w:spacing w:before="0"/>
        <w:ind w:left="567"/>
        <w:contextualSpacing/>
        <w:rPr>
          <w:rFonts w:ascii="Calibri" w:eastAsia="Calibri" w:hAnsi="Calibri" w:cs="Times New Roman"/>
        </w:rPr>
      </w:pPr>
      <w:proofErr w:type="gramStart"/>
      <w:r w:rsidRPr="00ED6132">
        <w:rPr>
          <w:rFonts w:ascii="Calibri" w:eastAsia="Calibri" w:hAnsi="Calibri" w:cs="Times New Roman"/>
        </w:rPr>
        <w:t>inne</w:t>
      </w:r>
      <w:proofErr w:type="gramEnd"/>
      <w:r w:rsidRPr="00ED6132">
        <w:rPr>
          <w:rFonts w:ascii="Calibri" w:eastAsia="Calibri" w:hAnsi="Calibri" w:cs="Times New Roman"/>
        </w:rPr>
        <w:t xml:space="preserve"> fundusze zewnętrzne – np. Fundusze Norweskie i Fundusze Europejskiego Obszaru Gospodarczego, </w:t>
      </w:r>
    </w:p>
    <w:p w:rsidR="00ED6132" w:rsidRPr="00ED6132" w:rsidRDefault="00ED6132" w:rsidP="00A13FA7">
      <w:pPr>
        <w:numPr>
          <w:ilvl w:val="0"/>
          <w:numId w:val="41"/>
        </w:numPr>
        <w:spacing w:before="0"/>
        <w:ind w:left="567"/>
        <w:contextualSpacing/>
        <w:rPr>
          <w:rFonts w:ascii="Calibri" w:eastAsia="Calibri" w:hAnsi="Calibri" w:cs="Times New Roman"/>
        </w:rPr>
      </w:pPr>
      <w:proofErr w:type="gramStart"/>
      <w:r w:rsidRPr="00ED6132">
        <w:rPr>
          <w:rFonts w:ascii="Calibri" w:eastAsia="Calibri" w:hAnsi="Calibri" w:cs="Times New Roman"/>
        </w:rPr>
        <w:t>środki</w:t>
      </w:r>
      <w:proofErr w:type="gramEnd"/>
      <w:r w:rsidRPr="00ED6132">
        <w:rPr>
          <w:rFonts w:ascii="Calibri" w:eastAsia="Calibri" w:hAnsi="Calibri" w:cs="Times New Roman"/>
        </w:rPr>
        <w:t xml:space="preserve"> budżetu państwa – przewidziane na współfinansowanie projektów lub jako niezależne źródło finansowania, </w:t>
      </w:r>
    </w:p>
    <w:p w:rsidR="00ED6132" w:rsidRPr="00ED6132" w:rsidRDefault="00ED6132" w:rsidP="00A13FA7">
      <w:pPr>
        <w:numPr>
          <w:ilvl w:val="0"/>
          <w:numId w:val="41"/>
        </w:numPr>
        <w:spacing w:before="0"/>
        <w:ind w:left="567"/>
        <w:contextualSpacing/>
        <w:rPr>
          <w:rFonts w:ascii="Calibri" w:eastAsia="Calibri" w:hAnsi="Calibri" w:cs="Times New Roman"/>
        </w:rPr>
      </w:pPr>
      <w:proofErr w:type="gramStart"/>
      <w:r w:rsidRPr="00ED6132">
        <w:rPr>
          <w:rFonts w:ascii="Calibri" w:eastAsia="Calibri" w:hAnsi="Calibri" w:cs="Times New Roman"/>
        </w:rPr>
        <w:t>środki</w:t>
      </w:r>
      <w:proofErr w:type="gramEnd"/>
      <w:r w:rsidRPr="00ED6132">
        <w:rPr>
          <w:rFonts w:ascii="Calibri" w:eastAsia="Calibri" w:hAnsi="Calibri" w:cs="Times New Roman"/>
        </w:rPr>
        <w:t xml:space="preserve"> budżetu samorządu województwa – na współfinansowanie projektów lub jako niezależne źródło finansowania, </w:t>
      </w:r>
    </w:p>
    <w:p w:rsidR="00ED6132" w:rsidRPr="00ED6132" w:rsidRDefault="00ED6132" w:rsidP="00A13FA7">
      <w:pPr>
        <w:numPr>
          <w:ilvl w:val="0"/>
          <w:numId w:val="41"/>
        </w:numPr>
        <w:spacing w:before="0"/>
        <w:ind w:left="567"/>
        <w:contextualSpacing/>
        <w:rPr>
          <w:rFonts w:ascii="Calibri" w:eastAsia="Calibri" w:hAnsi="Calibri" w:cs="Times New Roman"/>
        </w:rPr>
      </w:pPr>
      <w:proofErr w:type="gramStart"/>
      <w:r w:rsidRPr="00ED6132">
        <w:rPr>
          <w:rFonts w:ascii="Calibri" w:eastAsia="Calibri" w:hAnsi="Calibri" w:cs="Times New Roman"/>
        </w:rPr>
        <w:t>środki</w:t>
      </w:r>
      <w:proofErr w:type="gramEnd"/>
      <w:r w:rsidRPr="00ED6132">
        <w:rPr>
          <w:rFonts w:ascii="Calibri" w:eastAsia="Calibri" w:hAnsi="Calibri" w:cs="Times New Roman"/>
        </w:rPr>
        <w:t xml:space="preserve"> budżetu powiatu – na współfinansowanie projektów lub jako niezależne źródło finansowania, </w:t>
      </w:r>
    </w:p>
    <w:p w:rsidR="00ED6132" w:rsidRPr="00ED6132" w:rsidRDefault="00ED6132" w:rsidP="00A13FA7">
      <w:pPr>
        <w:numPr>
          <w:ilvl w:val="0"/>
          <w:numId w:val="41"/>
        </w:numPr>
        <w:spacing w:before="0"/>
        <w:ind w:left="567"/>
        <w:contextualSpacing/>
        <w:rPr>
          <w:rFonts w:ascii="Calibri" w:eastAsia="Calibri" w:hAnsi="Calibri" w:cs="Times New Roman"/>
        </w:rPr>
      </w:pPr>
      <w:proofErr w:type="gramStart"/>
      <w:r w:rsidRPr="00ED6132">
        <w:rPr>
          <w:rFonts w:ascii="Calibri" w:eastAsia="Calibri" w:hAnsi="Calibri" w:cs="Times New Roman"/>
        </w:rPr>
        <w:lastRenderedPageBreak/>
        <w:t>inne</w:t>
      </w:r>
      <w:proofErr w:type="gramEnd"/>
      <w:r w:rsidRPr="00ED6132">
        <w:rPr>
          <w:rFonts w:ascii="Calibri" w:eastAsia="Calibri" w:hAnsi="Calibri" w:cs="Times New Roman"/>
        </w:rPr>
        <w:t xml:space="preserve"> środki publiczne, np. fundusze celowe, </w:t>
      </w:r>
    </w:p>
    <w:p w:rsidR="00ED6132" w:rsidRPr="00ED6132" w:rsidRDefault="00ED6132" w:rsidP="00A13FA7">
      <w:pPr>
        <w:numPr>
          <w:ilvl w:val="0"/>
          <w:numId w:val="41"/>
        </w:numPr>
        <w:spacing w:before="0"/>
        <w:ind w:left="567"/>
        <w:contextualSpacing/>
        <w:rPr>
          <w:rFonts w:ascii="Calibri" w:eastAsia="Calibri" w:hAnsi="Calibri" w:cs="Times New Roman"/>
        </w:rPr>
      </w:pPr>
      <w:proofErr w:type="gramStart"/>
      <w:r w:rsidRPr="00ED6132">
        <w:rPr>
          <w:rFonts w:ascii="Calibri" w:eastAsia="Calibri" w:hAnsi="Calibri" w:cs="Times New Roman"/>
        </w:rPr>
        <w:t>środki</w:t>
      </w:r>
      <w:proofErr w:type="gramEnd"/>
      <w:r w:rsidRPr="00ED6132">
        <w:rPr>
          <w:rFonts w:ascii="Calibri" w:eastAsia="Calibri" w:hAnsi="Calibri" w:cs="Times New Roman"/>
        </w:rPr>
        <w:t xml:space="preserve"> prywatne, np. przedsiębiorców, organizacji pozarządowych, mieszkańców. </w:t>
      </w:r>
    </w:p>
    <w:p w:rsidR="00ED6132" w:rsidRPr="00ED6132" w:rsidRDefault="00ED6132" w:rsidP="00ED6132">
      <w:pPr>
        <w:rPr>
          <w:rFonts w:ascii="Calibri" w:eastAsia="Calibri" w:hAnsi="Calibri" w:cs="Times New Roman"/>
        </w:rPr>
      </w:pPr>
      <w:r w:rsidRPr="00ED6132">
        <w:rPr>
          <w:rFonts w:ascii="Calibri" w:eastAsia="Calibri" w:hAnsi="Calibri" w:cs="Times New Roman"/>
        </w:rPr>
        <w:t>Z punktu widzenia dostępnych środków zewnętrznych, najistotniejszym źródłem finansowania, zarówno w zakresie zadań inwestycyjnych, jak i tzw. „projektów miękkich” (rozwój zasobów ludzkich), są fundusze europejskie. Mając na uwadze okres obowiązywania Strategii rozwoju ponadlokalnego Hrubieszowskiego Obszaru Funkcjonalnego w latach 2021 – 2030 finansowanie działań w niej określonych obejmuje okres wieloletnich ram finansowych na lata 2021 – 2027 oraz wsparcie w ramach nowego Europejskiego Funduszu Odbudowy (</w:t>
      </w:r>
      <w:proofErr w:type="spellStart"/>
      <w:r w:rsidRPr="00ED6132">
        <w:rPr>
          <w:rFonts w:ascii="Calibri" w:eastAsia="Calibri" w:hAnsi="Calibri" w:cs="Times New Roman"/>
        </w:rPr>
        <w:t>Next</w:t>
      </w:r>
      <w:proofErr w:type="spellEnd"/>
      <w:r w:rsidRPr="00ED6132">
        <w:rPr>
          <w:rFonts w:ascii="Calibri" w:eastAsia="Calibri" w:hAnsi="Calibri" w:cs="Times New Roman"/>
        </w:rPr>
        <w:t xml:space="preserve"> </w:t>
      </w:r>
      <w:proofErr w:type="spellStart"/>
      <w:r w:rsidRPr="00ED6132">
        <w:rPr>
          <w:rFonts w:ascii="Calibri" w:eastAsia="Calibri" w:hAnsi="Calibri" w:cs="Times New Roman"/>
        </w:rPr>
        <w:t>Generation</w:t>
      </w:r>
      <w:proofErr w:type="spellEnd"/>
      <w:r w:rsidRPr="00ED6132">
        <w:rPr>
          <w:rFonts w:ascii="Calibri" w:eastAsia="Calibri" w:hAnsi="Calibri" w:cs="Times New Roman"/>
        </w:rPr>
        <w:t xml:space="preserve"> EU).</w:t>
      </w:r>
    </w:p>
    <w:p w:rsidR="00ED6132" w:rsidRPr="00ED6132" w:rsidRDefault="00ED6132" w:rsidP="00ED6132">
      <w:pPr>
        <w:rPr>
          <w:rFonts w:ascii="Calibri" w:eastAsia="Calibri" w:hAnsi="Calibri" w:cs="Times New Roman"/>
        </w:rPr>
      </w:pPr>
      <w:r w:rsidRPr="00ED6132">
        <w:rPr>
          <w:rFonts w:ascii="Calibri" w:eastAsia="Calibri" w:hAnsi="Calibri" w:cs="Times New Roman"/>
        </w:rPr>
        <w:t>Nowy siedmioletni budżet Unii Europejskiej (wieloletnie ramy finansowe) zaplanowano na 1 074,3 mld euro, a antykryzysowy pakiet odbudowy skumulowany w pierwszych latach ma wynieść 750 mld euro, w tym 390 mld euro w formie dotacji. Łącznie oznacza to kwotę 1 824,3 mld euro. Środki te mają wspierać odbudowę państw po pandemii Covid-19 oraz inwestycje w transformację ekologiczną i cyfrową. Tematyczne kierunki wydatkowania środków określono następująco:</w:t>
      </w:r>
    </w:p>
    <w:p w:rsidR="00ED6132" w:rsidRPr="00ED6132" w:rsidRDefault="00ED6132" w:rsidP="00A13FA7">
      <w:pPr>
        <w:numPr>
          <w:ilvl w:val="0"/>
          <w:numId w:val="48"/>
        </w:numPr>
        <w:spacing w:before="0" w:after="0"/>
        <w:ind w:left="567"/>
        <w:contextualSpacing/>
        <w:rPr>
          <w:rFonts w:ascii="Calibri" w:eastAsia="Calibri" w:hAnsi="Calibri" w:cs="Times New Roman"/>
        </w:rPr>
      </w:pPr>
      <w:r w:rsidRPr="00ED6132">
        <w:rPr>
          <w:rFonts w:ascii="Calibri" w:eastAsia="Calibri" w:hAnsi="Calibri" w:cs="Times New Roman"/>
        </w:rPr>
        <w:t xml:space="preserve">Jednolity rynek, innowacje i gospodarka cyfrowa: 143,4 mld euro (z tego 10,6 mld euro w ramach </w:t>
      </w:r>
      <w:proofErr w:type="spellStart"/>
      <w:r w:rsidRPr="00ED6132">
        <w:rPr>
          <w:rFonts w:ascii="Calibri" w:eastAsia="Calibri" w:hAnsi="Calibri" w:cs="Times New Roman"/>
        </w:rPr>
        <w:t>Next</w:t>
      </w:r>
      <w:proofErr w:type="spellEnd"/>
      <w:r w:rsidRPr="00ED6132">
        <w:rPr>
          <w:rFonts w:ascii="Calibri" w:eastAsia="Calibri" w:hAnsi="Calibri" w:cs="Times New Roman"/>
        </w:rPr>
        <w:t xml:space="preserve"> </w:t>
      </w:r>
      <w:proofErr w:type="spellStart"/>
      <w:r w:rsidRPr="00ED6132">
        <w:rPr>
          <w:rFonts w:ascii="Calibri" w:eastAsia="Calibri" w:hAnsi="Calibri" w:cs="Times New Roman"/>
        </w:rPr>
        <w:t>Generation</w:t>
      </w:r>
      <w:proofErr w:type="spellEnd"/>
      <w:r w:rsidRPr="00ED6132">
        <w:rPr>
          <w:rFonts w:ascii="Calibri" w:eastAsia="Calibri" w:hAnsi="Calibri" w:cs="Times New Roman"/>
        </w:rPr>
        <w:t xml:space="preserve"> EU), w tym: Horyzont Europa i Fundusz </w:t>
      </w:r>
      <w:proofErr w:type="spellStart"/>
      <w:r w:rsidRPr="00ED6132">
        <w:rPr>
          <w:rFonts w:ascii="Calibri" w:eastAsia="Calibri" w:hAnsi="Calibri" w:cs="Times New Roman"/>
        </w:rPr>
        <w:t>InvestEU</w:t>
      </w:r>
      <w:proofErr w:type="spellEnd"/>
      <w:r w:rsidRPr="00ED6132">
        <w:rPr>
          <w:rFonts w:ascii="Calibri" w:eastAsia="Calibri" w:hAnsi="Calibri" w:cs="Times New Roman"/>
        </w:rPr>
        <w:t>;</w:t>
      </w:r>
    </w:p>
    <w:p w:rsidR="00ED6132" w:rsidRPr="00ED6132" w:rsidRDefault="00ED6132" w:rsidP="00A13FA7">
      <w:pPr>
        <w:numPr>
          <w:ilvl w:val="0"/>
          <w:numId w:val="48"/>
        </w:numPr>
        <w:spacing w:before="0" w:after="0"/>
        <w:ind w:left="567"/>
        <w:contextualSpacing/>
        <w:rPr>
          <w:rFonts w:ascii="Calibri" w:eastAsia="Calibri" w:hAnsi="Calibri" w:cs="Times New Roman"/>
        </w:rPr>
      </w:pPr>
      <w:r w:rsidRPr="00ED6132">
        <w:rPr>
          <w:rFonts w:ascii="Calibri" w:eastAsia="Calibri" w:hAnsi="Calibri" w:cs="Times New Roman"/>
        </w:rPr>
        <w:t xml:space="preserve">Spójność, odporność i wartości: 1 099,7 mld euro (721,9 mld euro - fundusz odbudowy), w tym: fundusze polityki spójności, Instrument na rzecz Odbudowy i Zwiększania Odporności, Unijny Mechanizm Ochrony Ludności – </w:t>
      </w:r>
      <w:proofErr w:type="spellStart"/>
      <w:r w:rsidRPr="00ED6132">
        <w:rPr>
          <w:rFonts w:ascii="Calibri" w:eastAsia="Calibri" w:hAnsi="Calibri" w:cs="Times New Roman"/>
        </w:rPr>
        <w:t>RescEU</w:t>
      </w:r>
      <w:proofErr w:type="spellEnd"/>
      <w:r w:rsidRPr="00ED6132">
        <w:rPr>
          <w:rFonts w:ascii="Calibri" w:eastAsia="Calibri" w:hAnsi="Calibri" w:cs="Times New Roman"/>
        </w:rPr>
        <w:t>, program działań w dziedzinie zdrowia, Fundusz na rzecz Sprawiedliwej Transformacji;</w:t>
      </w:r>
    </w:p>
    <w:p w:rsidR="00ED6132" w:rsidRPr="00ED6132" w:rsidRDefault="00ED6132" w:rsidP="00A13FA7">
      <w:pPr>
        <w:numPr>
          <w:ilvl w:val="0"/>
          <w:numId w:val="48"/>
        </w:numPr>
        <w:spacing w:before="0" w:after="0"/>
        <w:ind w:left="567"/>
        <w:contextualSpacing/>
        <w:rPr>
          <w:rFonts w:ascii="Calibri" w:eastAsia="Calibri" w:hAnsi="Calibri" w:cs="Times New Roman"/>
        </w:rPr>
      </w:pPr>
      <w:r w:rsidRPr="00ED6132">
        <w:rPr>
          <w:rFonts w:ascii="Calibri" w:eastAsia="Calibri" w:hAnsi="Calibri" w:cs="Times New Roman"/>
        </w:rPr>
        <w:t>Zasoby naturalne i środowisko: 373,9 mld euro (17,5 mld euro - fundusz odbudowy), w tym: wspólna polityka rolna;</w:t>
      </w:r>
    </w:p>
    <w:p w:rsidR="00ED6132" w:rsidRPr="00ED6132" w:rsidRDefault="00ED6132" w:rsidP="00A13FA7">
      <w:pPr>
        <w:numPr>
          <w:ilvl w:val="0"/>
          <w:numId w:val="48"/>
        </w:numPr>
        <w:spacing w:before="0" w:after="0"/>
        <w:ind w:left="567"/>
        <w:contextualSpacing/>
        <w:rPr>
          <w:rFonts w:ascii="Calibri" w:eastAsia="Calibri" w:hAnsi="Calibri" w:cs="Times New Roman"/>
        </w:rPr>
      </w:pPr>
      <w:r w:rsidRPr="00ED6132">
        <w:rPr>
          <w:rFonts w:ascii="Calibri" w:eastAsia="Calibri" w:hAnsi="Calibri" w:cs="Times New Roman"/>
        </w:rPr>
        <w:t>Migracja i zarządzanie granicami: 22,7 mld euro, w tym: Fundusz Azylu i Migracji oraz Fundusz Zintegrowanego Zarządzania Granicami;</w:t>
      </w:r>
    </w:p>
    <w:p w:rsidR="00ED6132" w:rsidRPr="00ED6132" w:rsidRDefault="00ED6132" w:rsidP="00A13FA7">
      <w:pPr>
        <w:numPr>
          <w:ilvl w:val="0"/>
          <w:numId w:val="48"/>
        </w:numPr>
        <w:spacing w:before="0" w:after="0"/>
        <w:ind w:left="567"/>
        <w:contextualSpacing/>
        <w:rPr>
          <w:rFonts w:ascii="Calibri" w:eastAsia="Calibri" w:hAnsi="Calibri" w:cs="Times New Roman"/>
        </w:rPr>
      </w:pPr>
      <w:r w:rsidRPr="00ED6132">
        <w:rPr>
          <w:rFonts w:ascii="Calibri" w:eastAsia="Calibri" w:hAnsi="Calibri" w:cs="Times New Roman"/>
        </w:rPr>
        <w:t>Bezpieczeństwo i obrona: 13,2 mld euro, w tym: Europejski Fundusz Obronny i Fundusz Bezpieczeństwa Wewnętrznego;</w:t>
      </w:r>
    </w:p>
    <w:p w:rsidR="00ED6132" w:rsidRPr="00ED6132" w:rsidRDefault="00ED6132" w:rsidP="00A13FA7">
      <w:pPr>
        <w:numPr>
          <w:ilvl w:val="0"/>
          <w:numId w:val="48"/>
        </w:numPr>
        <w:spacing w:before="0" w:after="0"/>
        <w:ind w:left="567"/>
        <w:contextualSpacing/>
        <w:rPr>
          <w:rFonts w:ascii="Calibri" w:eastAsia="Calibri" w:hAnsi="Calibri" w:cs="Times New Roman"/>
        </w:rPr>
      </w:pPr>
      <w:r w:rsidRPr="00ED6132">
        <w:rPr>
          <w:rFonts w:ascii="Calibri" w:eastAsia="Calibri" w:hAnsi="Calibri" w:cs="Times New Roman"/>
        </w:rPr>
        <w:t>Sąsiedztwo i świat: 98,4 mld euro, w tym Instrument Sąsiedztwa oraz Współpracy Międzynarodowej i Rozwojowej oraz Instrument Pomocy Humanitarnej;</w:t>
      </w:r>
    </w:p>
    <w:p w:rsidR="00ED6132" w:rsidRPr="00ED6132" w:rsidRDefault="00ED6132" w:rsidP="00A13FA7">
      <w:pPr>
        <w:numPr>
          <w:ilvl w:val="0"/>
          <w:numId w:val="48"/>
        </w:numPr>
        <w:spacing w:before="0" w:after="0"/>
        <w:ind w:left="567"/>
        <w:contextualSpacing/>
        <w:rPr>
          <w:rFonts w:ascii="Calibri" w:eastAsia="Calibri" w:hAnsi="Calibri" w:cs="Times New Roman"/>
        </w:rPr>
      </w:pPr>
      <w:r w:rsidRPr="00ED6132">
        <w:rPr>
          <w:rFonts w:ascii="Calibri" w:eastAsia="Calibri" w:hAnsi="Calibri" w:cs="Times New Roman"/>
        </w:rPr>
        <w:t>Europejska administracja publiczna: 73,1 mld euro</w:t>
      </w:r>
      <w:r w:rsidRPr="00ED6132">
        <w:rPr>
          <w:rFonts w:ascii="Calibri" w:eastAsia="Calibri" w:hAnsi="Calibri" w:cs="Times New Roman"/>
          <w:vertAlign w:val="superscript"/>
        </w:rPr>
        <w:footnoteReference w:id="34"/>
      </w:r>
      <w:r w:rsidRPr="00ED6132">
        <w:rPr>
          <w:rFonts w:ascii="Calibri" w:eastAsia="Calibri" w:hAnsi="Calibri" w:cs="Times New Roman"/>
        </w:rPr>
        <w:t>.</w:t>
      </w:r>
    </w:p>
    <w:p w:rsidR="00ED6132" w:rsidRPr="00ED6132" w:rsidRDefault="00ED6132" w:rsidP="00ED6132">
      <w:pPr>
        <w:rPr>
          <w:rFonts w:ascii="Calibri" w:eastAsia="Calibri" w:hAnsi="Calibri" w:cs="Times New Roman"/>
        </w:rPr>
      </w:pPr>
      <w:r w:rsidRPr="00ED6132">
        <w:rPr>
          <w:rFonts w:ascii="Calibri" w:eastAsia="Calibri" w:hAnsi="Calibri" w:cs="Times New Roman"/>
        </w:rPr>
        <w:t>Obecnie określone priorytety przewidują wzrost inwestycji przeznaczonych na transformację klimatyczną i cyfrową. Zakłada się, że wydatki przeznaczone na kwestie klimatyczne osiągną 30% łącznych wydatków ze wszystkich programów. Filarem unijnego planu odbudowy ma być Instrument na rzecz Odbudowy i Zwiększania Odporności, zapewniający krajom europejskim wsparcie finansowe, by złagodzić społeczno-gospodarcze skutki pandemii Covid-19. Jego budżet ogółem to 672,5 mld euro. Środki będą wypłacane państwom członkowskim na podstawie krajowych planów odbudowy i zwiększania odporności, w których znajdą się projekty reform i inwestycji publicznych. Plany muszą odzwierciedlać wyzwania krajowe, a jednocześnie być zgodne z priorytetami Unii.</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Identyfikacja i wybór potencjalnych źródeł, z których mogą być finansowane poszczególne przedsięwzięcia w ramach Strategii wymaga właściwej organizacji i koordynacji procesu pozyskiwania </w:t>
      </w:r>
      <w:r w:rsidRPr="00ED6132">
        <w:rPr>
          <w:rFonts w:ascii="Calibri" w:eastAsia="Calibri" w:hAnsi="Calibri" w:cs="Times New Roman"/>
        </w:rPr>
        <w:lastRenderedPageBreak/>
        <w:t>tych środków – zarówno na poziomie każdej z gmin jak też na poziomie struktur współpracy partnerskiej.</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Tworząc ramy finansowe związane z realizacją przedsięwzięć uwzględnionych w Strategii należy wziąć pod uwagę prognozy dotyczące źródeł i wysokości finansowania projektów w ramach wieloletnich ram finansowych na lata 2021-2027, prognozy dotyczącej stanu finansów publicznych oraz sytuacji, w jakiej znajdować się będzie budżet Gminy Miejskiej Hrubieszów oraz Gminy Hrubieszów w perspektywie najbliższych lat. Założenia przyjęte w analizie dotyczą m.in.: </w:t>
      </w:r>
    </w:p>
    <w:p w:rsidR="00ED6132" w:rsidRPr="00ED6132" w:rsidRDefault="00ED6132" w:rsidP="00A13FA7">
      <w:pPr>
        <w:numPr>
          <w:ilvl w:val="0"/>
          <w:numId w:val="44"/>
        </w:numPr>
        <w:spacing w:before="0" w:after="0"/>
        <w:ind w:left="567"/>
        <w:contextualSpacing/>
        <w:rPr>
          <w:rFonts w:ascii="Calibri" w:eastAsia="Calibri" w:hAnsi="Calibri" w:cs="Times New Roman"/>
        </w:rPr>
      </w:pPr>
      <w:r w:rsidRPr="00ED6132">
        <w:rPr>
          <w:rFonts w:ascii="Calibri" w:eastAsia="Calibri" w:hAnsi="Calibri" w:cs="Times New Roman"/>
        </w:rPr>
        <w:t>Wieloletniego planu finansowego, w szczególności powiązania Strategii z Wieloletnią Prognozą Finansową Gminy Hrubieszów na lata 2021-2026, Wieloletnią Prognozą Finansową Gminy Miejskiej Hrubieszów na lata 2022-2040, Wieloletnim Planem Finansowym Państwa, Krajową Strategią Rozwoju Regionalnego 2030, Strategią na rzecz Odpowiedzialnego Rozwoju do roku 2020 (z perspektywą do 2030 r.) itp.</w:t>
      </w:r>
    </w:p>
    <w:p w:rsidR="00ED6132" w:rsidRPr="00ED6132" w:rsidRDefault="00ED6132" w:rsidP="00A13FA7">
      <w:pPr>
        <w:numPr>
          <w:ilvl w:val="0"/>
          <w:numId w:val="44"/>
        </w:numPr>
        <w:spacing w:before="0" w:after="0"/>
        <w:ind w:left="567"/>
        <w:contextualSpacing/>
        <w:rPr>
          <w:rFonts w:ascii="Calibri" w:eastAsia="Calibri" w:hAnsi="Calibri" w:cs="Times New Roman"/>
        </w:rPr>
      </w:pPr>
      <w:r w:rsidRPr="00ED6132">
        <w:rPr>
          <w:rFonts w:ascii="Calibri" w:eastAsia="Calibri" w:hAnsi="Calibri" w:cs="Times New Roman"/>
        </w:rPr>
        <w:t xml:space="preserve">Dużej liczby podmiotów publicznych, których środki mogą być wykorzystywane dla realizacji celów zapisanych w Strategii w sposób bezpośredni np. środków w ramach RPO lub </w:t>
      </w:r>
      <w:proofErr w:type="gramStart"/>
      <w:r w:rsidRPr="00ED6132">
        <w:rPr>
          <w:rFonts w:ascii="Calibri" w:eastAsia="Calibri" w:hAnsi="Calibri" w:cs="Times New Roman"/>
        </w:rPr>
        <w:t>pośredni jako</w:t>
      </w:r>
      <w:proofErr w:type="gramEnd"/>
      <w:r w:rsidRPr="00ED6132">
        <w:rPr>
          <w:rFonts w:ascii="Calibri" w:eastAsia="Calibri" w:hAnsi="Calibri" w:cs="Times New Roman"/>
        </w:rPr>
        <w:t xml:space="preserve"> element programów sektorowych.</w:t>
      </w:r>
    </w:p>
    <w:p w:rsidR="00ED6132" w:rsidRPr="00ED6132" w:rsidRDefault="00ED6132" w:rsidP="00A13FA7">
      <w:pPr>
        <w:numPr>
          <w:ilvl w:val="0"/>
          <w:numId w:val="44"/>
        </w:numPr>
        <w:spacing w:before="0" w:after="0"/>
        <w:ind w:left="567"/>
        <w:contextualSpacing/>
        <w:rPr>
          <w:rFonts w:ascii="Calibri" w:eastAsia="Calibri" w:hAnsi="Calibri" w:cs="Times New Roman"/>
        </w:rPr>
      </w:pPr>
      <w:r w:rsidRPr="00ED6132">
        <w:rPr>
          <w:rFonts w:ascii="Calibri" w:eastAsia="Calibri" w:hAnsi="Calibri" w:cs="Times New Roman"/>
        </w:rPr>
        <w:t>Rosnącej roli środków prywatnych, za pomocą, których można realizować cele rozwojowe zapisane w Strategii (m.in. fundusze pożyczkowe, gwarancje i poręczenia kredytowe, bankowe usługi finansowe czy formy partnerstwa publiczno-prywatnego).</w:t>
      </w:r>
    </w:p>
    <w:p w:rsidR="00ED6132" w:rsidRPr="00ED6132" w:rsidRDefault="00ED6132" w:rsidP="00A13FA7">
      <w:pPr>
        <w:numPr>
          <w:ilvl w:val="0"/>
          <w:numId w:val="44"/>
        </w:numPr>
        <w:spacing w:before="0" w:after="0"/>
        <w:ind w:left="567"/>
        <w:contextualSpacing/>
        <w:rPr>
          <w:rFonts w:ascii="Calibri" w:eastAsia="Calibri" w:hAnsi="Calibri" w:cs="Times New Roman"/>
        </w:rPr>
      </w:pPr>
      <w:r w:rsidRPr="00ED6132">
        <w:rPr>
          <w:rFonts w:ascii="Calibri" w:eastAsia="Calibri" w:hAnsi="Calibri" w:cs="Times New Roman"/>
        </w:rPr>
        <w:t>Dużej wysokości środków wydatkowanych przez budżet UE, budżet państwa i inne podmioty publiczne na realizację przedsięwzięć wspierających rozwój społeczny, gospodarczy, środowiskowy i przestrzenny oraz kreujących konkurencyjność w wymiarze lokalnym i regionalnym.</w:t>
      </w:r>
    </w:p>
    <w:p w:rsidR="00ED6132" w:rsidRPr="00ED6132" w:rsidRDefault="00ED6132" w:rsidP="00ED6132">
      <w:pPr>
        <w:rPr>
          <w:rFonts w:ascii="Calibri" w:eastAsia="Calibri" w:hAnsi="Calibri" w:cs="Times New Roman"/>
        </w:rPr>
      </w:pPr>
      <w:r w:rsidRPr="00ED6132">
        <w:rPr>
          <w:rFonts w:ascii="Calibri" w:eastAsia="Calibri" w:hAnsi="Calibri" w:cs="Times New Roman"/>
        </w:rPr>
        <w:t>W zakresie oceny zdolności finansowej gmin do realizacji Strategii uwzględnić należy zarówno skalę wydatków przewidzianych w Strategii, jak i historyczne dane finansowe gmin, obrazujące ich możliwości inwestycyjne.</w:t>
      </w:r>
    </w:p>
    <w:p w:rsidR="00ED6132" w:rsidRPr="00ED6132" w:rsidRDefault="00ED6132" w:rsidP="00ED6132">
      <w:pPr>
        <w:rPr>
          <w:rFonts w:ascii="Calibri" w:eastAsia="Calibri" w:hAnsi="Calibri" w:cs="Times New Roman"/>
        </w:rPr>
      </w:pPr>
      <w:r w:rsidRPr="001748D8">
        <w:rPr>
          <w:rFonts w:ascii="Calibri" w:eastAsia="Calibri" w:hAnsi="Calibri" w:cs="Times New Roman"/>
          <w:b/>
        </w:rPr>
        <w:t xml:space="preserve">Horyzont czasowy założonych działań obejmuje rok 2030. Skala wydatków związana z realizacją Strategii rozwoju ponadlokalnego Hrubieszowskiego Obszaru Funkcjonalnego to </w:t>
      </w:r>
      <w:r w:rsidR="00AA57E3" w:rsidRPr="001748D8">
        <w:rPr>
          <w:rFonts w:ascii="Calibri" w:eastAsia="Calibri" w:hAnsi="Calibri" w:cs="Times New Roman"/>
          <w:b/>
        </w:rPr>
        <w:t>428,06</w:t>
      </w:r>
      <w:r w:rsidRPr="001748D8">
        <w:rPr>
          <w:rFonts w:ascii="Calibri" w:eastAsia="Calibri" w:hAnsi="Calibri" w:cs="Times New Roman"/>
          <w:b/>
        </w:rPr>
        <w:t xml:space="preserve"> mln zł, w podziale na lata realizacji jest to kwota </w:t>
      </w:r>
      <w:r w:rsidR="005869F1" w:rsidRPr="001748D8">
        <w:rPr>
          <w:rFonts w:ascii="Calibri" w:eastAsia="Calibri" w:hAnsi="Calibri" w:cs="Times New Roman"/>
          <w:b/>
        </w:rPr>
        <w:t>47,56</w:t>
      </w:r>
      <w:r w:rsidRPr="001748D8">
        <w:rPr>
          <w:rFonts w:ascii="Calibri" w:eastAsia="Calibri" w:hAnsi="Calibri" w:cs="Times New Roman"/>
          <w:b/>
        </w:rPr>
        <w:t xml:space="preserve"> mln zł rocznie. </w:t>
      </w:r>
      <w:r w:rsidR="005869F1" w:rsidRPr="001748D8">
        <w:rPr>
          <w:rFonts w:ascii="Calibri" w:eastAsia="Calibri" w:hAnsi="Calibri" w:cs="Times New Roman"/>
        </w:rPr>
        <w:t xml:space="preserve">Należy mieć na uwadze, że jest to tylko wyliczenie szacunkowe, a w każdym roku kwota realizacji przedsięwzięć może być inna. W przypadku przedsięwzięć finansowanych w ramach Zintegrowanych Inwestycji Terytorialnych szczegółowy podział wydatków został opisany w załączniku: </w:t>
      </w:r>
      <w:r w:rsidR="005869F1" w:rsidRPr="001748D8">
        <w:rPr>
          <w:rFonts w:ascii="Calibri" w:eastAsia="Calibri" w:hAnsi="Calibri" w:cs="Times New Roman"/>
          <w:i/>
        </w:rPr>
        <w:t>„Zarys planu działań ZIT”</w:t>
      </w:r>
      <w:r w:rsidR="005869F1" w:rsidRPr="001748D8">
        <w:rPr>
          <w:rFonts w:ascii="Calibri" w:eastAsia="Calibri" w:hAnsi="Calibri" w:cs="Times New Roman"/>
        </w:rPr>
        <w:t xml:space="preserve">. </w:t>
      </w:r>
      <w:r w:rsidRPr="001748D8">
        <w:rPr>
          <w:rFonts w:ascii="Calibri" w:eastAsia="Calibri" w:hAnsi="Calibri" w:cs="Times New Roman"/>
        </w:rPr>
        <w:t>Szacowanie kosztów realizacji strategii oparte było na wiedzy i doświadczeniu zgromadzonym podczas prac nad ramami finansowymi dla innych dokumentów funkcjonujących na poziomie gmin HOF czy realizacji różnego typu inwestycji w ostatnich latach.</w:t>
      </w:r>
    </w:p>
    <w:p w:rsidR="00ED6132" w:rsidRPr="00ED6132" w:rsidRDefault="00ED6132" w:rsidP="00ED6132">
      <w:pPr>
        <w:spacing w:after="120"/>
        <w:rPr>
          <w:rFonts w:ascii="Calibri" w:eastAsia="Calibri" w:hAnsi="Calibri" w:cs="Times New Roman"/>
        </w:rPr>
      </w:pPr>
      <w:r w:rsidRPr="00ED6132">
        <w:rPr>
          <w:rFonts w:ascii="Calibri" w:eastAsia="Calibri" w:hAnsi="Calibri" w:cs="Times New Roman"/>
        </w:rPr>
        <w:t>Zdolność finansową Gminy Miejskiej Hrubieszów oraz Gminy Hrubieszów należy oszacować na podstawie dotychczas ponoszonych wydatków majątkowych oraz trendu zmian dochodów własnych gmin.</w:t>
      </w:r>
    </w:p>
    <w:p w:rsidR="00ED6132" w:rsidRPr="00ED6132" w:rsidRDefault="00ED6132" w:rsidP="00ED6132">
      <w:pPr>
        <w:keepNext/>
        <w:spacing w:line="240" w:lineRule="auto"/>
        <w:rPr>
          <w:rFonts w:ascii="Calibri" w:eastAsia="Calibri" w:hAnsi="Calibri" w:cs="Times New Roman"/>
          <w:b/>
          <w:bCs/>
          <w:color w:val="00B0F0"/>
          <w:sz w:val="18"/>
          <w:szCs w:val="18"/>
        </w:rPr>
      </w:pPr>
      <w:bookmarkStart w:id="82" w:name="_Toc138068541"/>
      <w:r w:rsidRPr="00ED6132">
        <w:rPr>
          <w:rFonts w:ascii="Calibri" w:eastAsia="Calibri" w:hAnsi="Calibri" w:cs="Times New Roman"/>
          <w:b/>
          <w:bCs/>
          <w:color w:val="00B0F0"/>
          <w:sz w:val="18"/>
          <w:szCs w:val="18"/>
        </w:rPr>
        <w:lastRenderedPageBreak/>
        <w:t xml:space="preserve">Tabela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Tabela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11</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Dochody własne i wydatki majątkowe na 1 mieszkańca oraz udział subwencji z budżetu państwa w dochodzie Gminy Miejskiej Hrubieszów</w:t>
      </w:r>
      <w:bookmarkEnd w:id="82"/>
    </w:p>
    <w:tbl>
      <w:tblPr>
        <w:tblStyle w:val="Jasnasiatkaakcent211"/>
        <w:tblW w:w="9288" w:type="dxa"/>
        <w:tblLayout w:type="fixed"/>
        <w:tblLook w:val="04A0" w:firstRow="1" w:lastRow="0" w:firstColumn="1" w:lastColumn="0" w:noHBand="0" w:noVBand="1"/>
      </w:tblPr>
      <w:tblGrid>
        <w:gridCol w:w="968"/>
        <w:gridCol w:w="1403"/>
        <w:gridCol w:w="1281"/>
        <w:gridCol w:w="1347"/>
        <w:gridCol w:w="1346"/>
        <w:gridCol w:w="1398"/>
        <w:gridCol w:w="1545"/>
      </w:tblGrid>
      <w:tr w:rsidR="00ED6132" w:rsidRPr="00ED6132" w:rsidTr="00ED6132">
        <w:trPr>
          <w:cnfStyle w:val="100000000000" w:firstRow="1" w:lastRow="0" w:firstColumn="0" w:lastColumn="0" w:oddVBand="0" w:evenVBand="0" w:oddHBand="0" w:evenHBand="0" w:firstRowFirstColumn="0" w:firstRowLastColumn="0" w:lastRowFirstColumn="0" w:lastRowLastColumn="0"/>
          <w:trHeight w:val="1025"/>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left"/>
              <w:rPr>
                <w:rFonts w:ascii="Calibri" w:hAnsi="Calibri" w:cs="Calibri"/>
                <w:color w:val="000000"/>
                <w:sz w:val="20"/>
                <w:szCs w:val="20"/>
                <w:lang w:eastAsia="pl-PL"/>
              </w:rPr>
            </w:pPr>
          </w:p>
        </w:tc>
        <w:tc>
          <w:tcPr>
            <w:tcW w:w="1403" w:type="dxa"/>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8"/>
                <w:szCs w:val="18"/>
                <w:lang w:eastAsia="pl-PL"/>
              </w:rPr>
            </w:pPr>
            <w:r w:rsidRPr="00ED6132">
              <w:rPr>
                <w:rFonts w:ascii="Calibri" w:hAnsi="Calibri" w:cs="Calibri"/>
                <w:color w:val="000000"/>
                <w:sz w:val="18"/>
                <w:szCs w:val="18"/>
                <w:lang w:eastAsia="pl-PL"/>
              </w:rPr>
              <w:t>Dochody własne gminy na 1 mieszkańca (zł)</w:t>
            </w:r>
          </w:p>
        </w:tc>
        <w:tc>
          <w:tcPr>
            <w:tcW w:w="1281" w:type="dxa"/>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8"/>
                <w:szCs w:val="18"/>
                <w:lang w:eastAsia="pl-PL"/>
              </w:rPr>
            </w:pPr>
            <w:r w:rsidRPr="00ED6132">
              <w:rPr>
                <w:rFonts w:ascii="Calibri" w:hAnsi="Calibri" w:cs="Calibri"/>
                <w:color w:val="000000"/>
                <w:sz w:val="18"/>
                <w:szCs w:val="18"/>
                <w:lang w:eastAsia="pl-PL"/>
              </w:rPr>
              <w:t>Trend zmian w stosunku do roku poprzedniego</w:t>
            </w:r>
          </w:p>
        </w:tc>
        <w:tc>
          <w:tcPr>
            <w:tcW w:w="1347" w:type="dxa"/>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ED6132">
              <w:rPr>
                <w:rFonts w:ascii="Calibri" w:hAnsi="Calibri" w:cs="Calibri"/>
                <w:sz w:val="18"/>
                <w:szCs w:val="18"/>
                <w:lang w:eastAsia="pl-PL"/>
              </w:rPr>
              <w:t>Wydatki majątkowe na 1 mieszkańca (zł)</w:t>
            </w:r>
          </w:p>
        </w:tc>
        <w:tc>
          <w:tcPr>
            <w:tcW w:w="1346" w:type="dxa"/>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8"/>
                <w:szCs w:val="18"/>
                <w:lang w:eastAsia="pl-PL"/>
              </w:rPr>
            </w:pPr>
            <w:r w:rsidRPr="00ED6132">
              <w:rPr>
                <w:rFonts w:ascii="Calibri" w:hAnsi="Calibri" w:cs="Calibri"/>
                <w:color w:val="000000"/>
                <w:sz w:val="18"/>
                <w:szCs w:val="18"/>
                <w:lang w:eastAsia="pl-PL"/>
              </w:rPr>
              <w:t>Trend zmian w stosunku do roku poprzedniego</w:t>
            </w:r>
          </w:p>
        </w:tc>
        <w:tc>
          <w:tcPr>
            <w:tcW w:w="1398" w:type="dxa"/>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ED6132">
              <w:rPr>
                <w:rFonts w:ascii="Calibri" w:hAnsi="Calibri" w:cs="Calibri"/>
                <w:sz w:val="18"/>
                <w:szCs w:val="18"/>
                <w:lang w:eastAsia="pl-PL"/>
              </w:rPr>
              <w:t>Udział subwencji z budżetu państwa w dochodzie gminy (%)</w:t>
            </w:r>
          </w:p>
        </w:tc>
        <w:tc>
          <w:tcPr>
            <w:tcW w:w="1545" w:type="dxa"/>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ED6132">
              <w:rPr>
                <w:rFonts w:ascii="Calibri" w:hAnsi="Calibri" w:cs="Calibri"/>
                <w:sz w:val="18"/>
                <w:szCs w:val="18"/>
                <w:lang w:eastAsia="pl-PL"/>
              </w:rPr>
              <w:t>Wydatki na obsługę długu publicznego</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2009</w:t>
            </w:r>
          </w:p>
        </w:tc>
        <w:tc>
          <w:tcPr>
            <w:tcW w:w="1403"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944,83</w:t>
            </w:r>
          </w:p>
        </w:tc>
        <w:tc>
          <w:tcPr>
            <w:tcW w:w="1281"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w:t>
            </w:r>
          </w:p>
        </w:tc>
        <w:tc>
          <w:tcPr>
            <w:tcW w:w="1347"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proofErr w:type="gramStart"/>
            <w:r w:rsidRPr="00ED6132">
              <w:rPr>
                <w:rFonts w:ascii="Calibri" w:eastAsia="Times New Roman" w:hAnsi="Calibri" w:cs="Calibri"/>
                <w:sz w:val="20"/>
                <w:szCs w:val="20"/>
                <w:lang w:eastAsia="pl-PL"/>
              </w:rPr>
              <w:t>brak</w:t>
            </w:r>
            <w:proofErr w:type="gramEnd"/>
            <w:r w:rsidRPr="00ED6132">
              <w:rPr>
                <w:rFonts w:ascii="Calibri" w:eastAsia="Times New Roman" w:hAnsi="Calibri" w:cs="Calibri"/>
                <w:sz w:val="20"/>
                <w:szCs w:val="20"/>
                <w:lang w:eastAsia="pl-PL"/>
              </w:rPr>
              <w:t xml:space="preserve"> danych</w:t>
            </w:r>
          </w:p>
        </w:tc>
        <w:tc>
          <w:tcPr>
            <w:tcW w:w="1346"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w:t>
            </w:r>
          </w:p>
        </w:tc>
        <w:tc>
          <w:tcPr>
            <w:tcW w:w="1398"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31,72</w:t>
            </w:r>
          </w:p>
        </w:tc>
        <w:tc>
          <w:tcPr>
            <w:tcW w:w="1545" w:type="dxa"/>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276 862,86</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2010</w:t>
            </w:r>
          </w:p>
        </w:tc>
        <w:tc>
          <w:tcPr>
            <w:tcW w:w="1403"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1 047,05</w:t>
            </w:r>
          </w:p>
        </w:tc>
        <w:tc>
          <w:tcPr>
            <w:tcW w:w="1281"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102,22</w:t>
            </w:r>
          </w:p>
        </w:tc>
        <w:tc>
          <w:tcPr>
            <w:tcW w:w="1347"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537</w:t>
            </w:r>
          </w:p>
        </w:tc>
        <w:tc>
          <w:tcPr>
            <w:tcW w:w="1346"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w:t>
            </w:r>
          </w:p>
        </w:tc>
        <w:tc>
          <w:tcPr>
            <w:tcW w:w="1398"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29,05</w:t>
            </w:r>
          </w:p>
        </w:tc>
        <w:tc>
          <w:tcPr>
            <w:tcW w:w="1545" w:type="dxa"/>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262 190,59</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2011</w:t>
            </w:r>
          </w:p>
        </w:tc>
        <w:tc>
          <w:tcPr>
            <w:tcW w:w="1403"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1 317,41</w:t>
            </w:r>
          </w:p>
        </w:tc>
        <w:tc>
          <w:tcPr>
            <w:tcW w:w="1281"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270,36</w:t>
            </w:r>
          </w:p>
        </w:tc>
        <w:tc>
          <w:tcPr>
            <w:tcW w:w="1347"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980</w:t>
            </w:r>
          </w:p>
        </w:tc>
        <w:tc>
          <w:tcPr>
            <w:tcW w:w="1346"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443</w:t>
            </w:r>
          </w:p>
        </w:tc>
        <w:tc>
          <w:tcPr>
            <w:tcW w:w="1398"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24,60</w:t>
            </w:r>
          </w:p>
        </w:tc>
        <w:tc>
          <w:tcPr>
            <w:tcW w:w="1545" w:type="dxa"/>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788 397,79</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2012</w:t>
            </w:r>
          </w:p>
        </w:tc>
        <w:tc>
          <w:tcPr>
            <w:tcW w:w="1403"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1 328,88</w:t>
            </w:r>
          </w:p>
        </w:tc>
        <w:tc>
          <w:tcPr>
            <w:tcW w:w="1281"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11,47</w:t>
            </w:r>
          </w:p>
        </w:tc>
        <w:tc>
          <w:tcPr>
            <w:tcW w:w="1347"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397</w:t>
            </w:r>
          </w:p>
        </w:tc>
        <w:tc>
          <w:tcPr>
            <w:tcW w:w="1346"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-583</w:t>
            </w:r>
          </w:p>
        </w:tc>
        <w:tc>
          <w:tcPr>
            <w:tcW w:w="1398"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27,67</w:t>
            </w:r>
          </w:p>
        </w:tc>
        <w:tc>
          <w:tcPr>
            <w:tcW w:w="1545" w:type="dxa"/>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1 262 967,54</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2013</w:t>
            </w:r>
          </w:p>
        </w:tc>
        <w:tc>
          <w:tcPr>
            <w:tcW w:w="1403"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1 502,14</w:t>
            </w:r>
          </w:p>
        </w:tc>
        <w:tc>
          <w:tcPr>
            <w:tcW w:w="1281"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173,26</w:t>
            </w:r>
          </w:p>
        </w:tc>
        <w:tc>
          <w:tcPr>
            <w:tcW w:w="1347"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233</w:t>
            </w:r>
          </w:p>
        </w:tc>
        <w:tc>
          <w:tcPr>
            <w:tcW w:w="1346"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-164</w:t>
            </w:r>
          </w:p>
        </w:tc>
        <w:tc>
          <w:tcPr>
            <w:tcW w:w="1398"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24,06</w:t>
            </w:r>
          </w:p>
        </w:tc>
        <w:tc>
          <w:tcPr>
            <w:tcW w:w="1545" w:type="dxa"/>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1 063 282,63</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2014</w:t>
            </w:r>
          </w:p>
        </w:tc>
        <w:tc>
          <w:tcPr>
            <w:tcW w:w="1403"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1 667,71</w:t>
            </w:r>
          </w:p>
        </w:tc>
        <w:tc>
          <w:tcPr>
            <w:tcW w:w="1281"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165,57</w:t>
            </w:r>
          </w:p>
        </w:tc>
        <w:tc>
          <w:tcPr>
            <w:tcW w:w="1347"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708</w:t>
            </w:r>
          </w:p>
        </w:tc>
        <w:tc>
          <w:tcPr>
            <w:tcW w:w="1346"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475</w:t>
            </w:r>
          </w:p>
        </w:tc>
        <w:tc>
          <w:tcPr>
            <w:tcW w:w="1398"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23,46</w:t>
            </w:r>
          </w:p>
        </w:tc>
        <w:tc>
          <w:tcPr>
            <w:tcW w:w="1545" w:type="dxa"/>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759 708,29</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2015</w:t>
            </w:r>
          </w:p>
        </w:tc>
        <w:tc>
          <w:tcPr>
            <w:tcW w:w="1403"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1 546,09</w:t>
            </w:r>
          </w:p>
        </w:tc>
        <w:tc>
          <w:tcPr>
            <w:tcW w:w="1281"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-121,62</w:t>
            </w:r>
          </w:p>
        </w:tc>
        <w:tc>
          <w:tcPr>
            <w:tcW w:w="1347"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850</w:t>
            </w:r>
          </w:p>
        </w:tc>
        <w:tc>
          <w:tcPr>
            <w:tcW w:w="1346"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142</w:t>
            </w:r>
          </w:p>
        </w:tc>
        <w:tc>
          <w:tcPr>
            <w:tcW w:w="1398"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21,16</w:t>
            </w:r>
          </w:p>
        </w:tc>
        <w:tc>
          <w:tcPr>
            <w:tcW w:w="1545" w:type="dxa"/>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646 783,15</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2016</w:t>
            </w:r>
          </w:p>
        </w:tc>
        <w:tc>
          <w:tcPr>
            <w:tcW w:w="1403"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1 536,53</w:t>
            </w:r>
          </w:p>
        </w:tc>
        <w:tc>
          <w:tcPr>
            <w:tcW w:w="1281"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-9,56</w:t>
            </w:r>
          </w:p>
        </w:tc>
        <w:tc>
          <w:tcPr>
            <w:tcW w:w="1347"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349</w:t>
            </w:r>
          </w:p>
        </w:tc>
        <w:tc>
          <w:tcPr>
            <w:tcW w:w="1346"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-501</w:t>
            </w:r>
          </w:p>
        </w:tc>
        <w:tc>
          <w:tcPr>
            <w:tcW w:w="1398"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22,29</w:t>
            </w:r>
          </w:p>
        </w:tc>
        <w:tc>
          <w:tcPr>
            <w:tcW w:w="1545" w:type="dxa"/>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478 703,65</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2017</w:t>
            </w:r>
          </w:p>
        </w:tc>
        <w:tc>
          <w:tcPr>
            <w:tcW w:w="1403"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1 550,98</w:t>
            </w:r>
          </w:p>
        </w:tc>
        <w:tc>
          <w:tcPr>
            <w:tcW w:w="1281"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14,45</w:t>
            </w:r>
          </w:p>
        </w:tc>
        <w:tc>
          <w:tcPr>
            <w:tcW w:w="1347"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274</w:t>
            </w:r>
          </w:p>
        </w:tc>
        <w:tc>
          <w:tcPr>
            <w:tcW w:w="1346"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-75</w:t>
            </w:r>
          </w:p>
        </w:tc>
        <w:tc>
          <w:tcPr>
            <w:tcW w:w="1398"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22,53</w:t>
            </w:r>
          </w:p>
        </w:tc>
        <w:tc>
          <w:tcPr>
            <w:tcW w:w="1545" w:type="dxa"/>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399 431,27</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2018</w:t>
            </w:r>
          </w:p>
        </w:tc>
        <w:tc>
          <w:tcPr>
            <w:tcW w:w="1403"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1 691,69</w:t>
            </w:r>
          </w:p>
        </w:tc>
        <w:tc>
          <w:tcPr>
            <w:tcW w:w="1281"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140,71</w:t>
            </w:r>
          </w:p>
        </w:tc>
        <w:tc>
          <w:tcPr>
            <w:tcW w:w="1347"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602</w:t>
            </w:r>
          </w:p>
        </w:tc>
        <w:tc>
          <w:tcPr>
            <w:tcW w:w="1346"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328</w:t>
            </w:r>
          </w:p>
        </w:tc>
        <w:tc>
          <w:tcPr>
            <w:tcW w:w="1398" w:type="dxa"/>
            <w:noWrap/>
            <w:hideMark/>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21,85</w:t>
            </w:r>
          </w:p>
        </w:tc>
        <w:tc>
          <w:tcPr>
            <w:tcW w:w="1545" w:type="dxa"/>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354 494,56</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2019</w:t>
            </w:r>
          </w:p>
        </w:tc>
        <w:tc>
          <w:tcPr>
            <w:tcW w:w="1403"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2 006,00</w:t>
            </w:r>
          </w:p>
        </w:tc>
        <w:tc>
          <w:tcPr>
            <w:tcW w:w="1281"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314,31</w:t>
            </w:r>
          </w:p>
        </w:tc>
        <w:tc>
          <w:tcPr>
            <w:tcW w:w="1347"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sz w:val="20"/>
                <w:szCs w:val="20"/>
                <w:lang w:eastAsia="pl-PL"/>
              </w:rPr>
            </w:pPr>
            <w:r w:rsidRPr="00ED6132">
              <w:rPr>
                <w:rFonts w:ascii="Calibri" w:eastAsia="Times New Roman" w:hAnsi="Calibri" w:cs="Calibri"/>
                <w:sz w:val="20"/>
                <w:szCs w:val="20"/>
                <w:lang w:eastAsia="pl-PL"/>
              </w:rPr>
              <w:t>383</w:t>
            </w:r>
          </w:p>
        </w:tc>
        <w:tc>
          <w:tcPr>
            <w:tcW w:w="1346"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-219</w:t>
            </w:r>
          </w:p>
        </w:tc>
        <w:tc>
          <w:tcPr>
            <w:tcW w:w="1398" w:type="dxa"/>
            <w:noWrap/>
            <w:hideMark/>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ED6132">
              <w:rPr>
                <w:rFonts w:ascii="Calibri" w:eastAsia="Times New Roman" w:hAnsi="Calibri" w:cs="Calibri"/>
                <w:color w:val="000000"/>
                <w:sz w:val="20"/>
                <w:szCs w:val="20"/>
                <w:lang w:eastAsia="pl-PL"/>
              </w:rPr>
              <w:t>20,96</w:t>
            </w:r>
          </w:p>
        </w:tc>
        <w:tc>
          <w:tcPr>
            <w:tcW w:w="1545" w:type="dxa"/>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430 267,00</w:t>
            </w:r>
          </w:p>
        </w:tc>
      </w:tr>
    </w:tbl>
    <w:p w:rsidR="00ED6132" w:rsidRPr="00ED6132" w:rsidRDefault="00ED6132" w:rsidP="00ED6132">
      <w:pPr>
        <w:rPr>
          <w:rFonts w:ascii="Calibri" w:eastAsia="Calibri" w:hAnsi="Calibri" w:cs="Times New Roman"/>
        </w:rPr>
      </w:pPr>
      <w:r w:rsidRPr="00ED6132">
        <w:rPr>
          <w:rFonts w:ascii="Calibri" w:eastAsia="Calibri" w:hAnsi="Calibri" w:cs="Times New Roman"/>
        </w:rPr>
        <w:t>W okresie poprzedzającym realizację Strategii dochody budżetu Gminy Miejskiej Hrubieszów zwiększyły się z około 35,8 mln zł w 2009 roku do około 79,04 mln zł w 2019 roku. Wyraźnie wzrosły także dochody budżetu Gminy w przeliczeniu na jednego mieszkańca. W analizowanym okresie czasu Gmina Miejska Hrubieszów osiągnęła dochody własne w przeliczeniu na 1 mieszkańca w wysokości 1 467,21 zł (średnia z 11 lat). Ich wartość ulegała wahaniom, ale ostatnie lata odznaczają się dodatnią wartością trendu, co świadczy o wzroście wysokości dochodu w porównaniu do poprzednich lat. Z punktu widzenia struktury budżetu gminy ważnym źródłem dochodów były subwencje przekazywane z budżetu państwa. W analizowanym okresie wartość subwencji wzrosła z poziomu ok. 11,4 mln zł do około 16,6 mln zł i średnio stanowi 24,5% dochodu gminy.</w:t>
      </w:r>
    </w:p>
    <w:p w:rsidR="00ED6132" w:rsidRPr="00ED6132" w:rsidRDefault="00ED6132" w:rsidP="00ED6132">
      <w:pPr>
        <w:rPr>
          <w:rFonts w:ascii="Calibri" w:eastAsia="Calibri" w:hAnsi="Calibri" w:cs="Times New Roman"/>
        </w:rPr>
      </w:pPr>
      <w:r w:rsidRPr="00ED6132">
        <w:rPr>
          <w:rFonts w:ascii="Calibri" w:eastAsia="Calibri" w:hAnsi="Calibri" w:cs="Times New Roman"/>
        </w:rPr>
        <w:t>Wydatki budżetowe stanowią odzwierciedlenie aktywności samorządu terytorialnego w kreowaniu podstaw rozwoju lokalnego. W analizowanym okresie czasu przed realizacją Strategii nastąpił duży wzrost wartości wydatków budżetowych z około 37,3 mln zł w 2009 roku do około 74,4 mln zł w 2019 roku. Szczególnym rodzajem wydatków gminy są wydatki majątkowe służące kreowaniu rozwoju społecznego, gospodarczego i przestrzenno-środowiskowego. Należy zauważyć spadek wydatków majątkowych na 1 mieszkańca ponoszonych przez Gminę Miejską Hrubieszów. Średnia z 11 lat to 531 zł na 1 mieszkańca.</w:t>
      </w:r>
    </w:p>
    <w:p w:rsidR="00ED6132" w:rsidRPr="00ED6132" w:rsidRDefault="00ED6132" w:rsidP="00ED6132">
      <w:pPr>
        <w:rPr>
          <w:rFonts w:ascii="Calibri" w:eastAsia="Calibri" w:hAnsi="Calibri" w:cs="Times New Roman"/>
        </w:rPr>
      </w:pPr>
      <w:r w:rsidRPr="00ED6132">
        <w:rPr>
          <w:rFonts w:ascii="Calibri" w:eastAsia="Calibri" w:hAnsi="Calibri" w:cs="Times New Roman"/>
        </w:rPr>
        <w:t>Mimo różnie kształtujących się wydatków, w tym również wydatków inwestycyjnych Gmina Miejska Hrubieszów z powodzeniem realizowała swoje zobowiązania z zakresu obsługi zadłużenia. W porównaniu do 2009 roku wyraźnie wzrosło obciążenie budżetu gminy z tytułu obsługi długu z </w:t>
      </w:r>
      <w:r w:rsidRPr="00ED6132">
        <w:rPr>
          <w:rFonts w:ascii="Calibri" w:eastAsia="Calibri" w:hAnsi="Calibri" w:cs="Calibri"/>
        </w:rPr>
        <w:t>276 862,86 na 430 267,00 zł, czyli lekko ponad 1,5 razy więcej.</w:t>
      </w:r>
    </w:p>
    <w:p w:rsidR="00ED6132" w:rsidRPr="00ED6132" w:rsidRDefault="00ED6132" w:rsidP="00ED6132">
      <w:pPr>
        <w:keepNext/>
        <w:spacing w:line="240" w:lineRule="auto"/>
        <w:rPr>
          <w:rFonts w:ascii="Calibri" w:eastAsia="Calibri" w:hAnsi="Calibri" w:cs="Times New Roman"/>
          <w:b/>
          <w:bCs/>
          <w:color w:val="00B0F0"/>
          <w:sz w:val="18"/>
          <w:szCs w:val="18"/>
        </w:rPr>
      </w:pPr>
      <w:bookmarkStart w:id="83" w:name="_Toc138068542"/>
      <w:r w:rsidRPr="00ED6132">
        <w:rPr>
          <w:rFonts w:ascii="Calibri" w:eastAsia="Calibri" w:hAnsi="Calibri" w:cs="Times New Roman"/>
          <w:b/>
          <w:bCs/>
          <w:color w:val="00B0F0"/>
          <w:sz w:val="18"/>
          <w:szCs w:val="18"/>
        </w:rPr>
        <w:lastRenderedPageBreak/>
        <w:t xml:space="preserve">Tabela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Tabela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12</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Dochody własne i wydatki majątkowe na 1 mieszkańca oraz udział subwencji z budżetu państwa w dochodzie i wydatki na obsługę długu publicznego Gminy Hrubieszów</w:t>
      </w:r>
      <w:bookmarkEnd w:id="83"/>
    </w:p>
    <w:tbl>
      <w:tblPr>
        <w:tblStyle w:val="Jasnasiatkaakcent22"/>
        <w:tblW w:w="9288" w:type="dxa"/>
        <w:tblLayout w:type="fixed"/>
        <w:tblLook w:val="04A0" w:firstRow="1" w:lastRow="0" w:firstColumn="1" w:lastColumn="0" w:noHBand="0" w:noVBand="1"/>
      </w:tblPr>
      <w:tblGrid>
        <w:gridCol w:w="968"/>
        <w:gridCol w:w="1403"/>
        <w:gridCol w:w="1281"/>
        <w:gridCol w:w="1347"/>
        <w:gridCol w:w="1346"/>
        <w:gridCol w:w="1398"/>
        <w:gridCol w:w="1545"/>
      </w:tblGrid>
      <w:tr w:rsidR="00ED6132" w:rsidRPr="00ED6132" w:rsidTr="00ED6132">
        <w:trPr>
          <w:cnfStyle w:val="100000000000" w:firstRow="1" w:lastRow="0" w:firstColumn="0" w:lastColumn="0" w:oddVBand="0" w:evenVBand="0" w:oddHBand="0" w:evenHBand="0" w:firstRowFirstColumn="0" w:firstRowLastColumn="0" w:lastRowFirstColumn="0" w:lastRowLastColumn="0"/>
          <w:trHeight w:val="1025"/>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p>
        </w:tc>
        <w:tc>
          <w:tcPr>
            <w:tcW w:w="1403" w:type="dxa"/>
            <w:vAlign w:val="center"/>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8"/>
                <w:szCs w:val="18"/>
                <w:lang w:eastAsia="pl-PL"/>
              </w:rPr>
            </w:pPr>
            <w:r w:rsidRPr="00ED6132">
              <w:rPr>
                <w:rFonts w:ascii="Calibri" w:hAnsi="Calibri" w:cs="Calibri"/>
                <w:color w:val="000000"/>
                <w:sz w:val="18"/>
                <w:szCs w:val="18"/>
                <w:lang w:eastAsia="pl-PL"/>
              </w:rPr>
              <w:t>Dochody własne gminy na 1 mieszkańca (zł)</w:t>
            </w:r>
          </w:p>
        </w:tc>
        <w:tc>
          <w:tcPr>
            <w:tcW w:w="1281" w:type="dxa"/>
            <w:vAlign w:val="center"/>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8"/>
                <w:szCs w:val="18"/>
                <w:lang w:eastAsia="pl-PL"/>
              </w:rPr>
            </w:pPr>
            <w:r w:rsidRPr="00ED6132">
              <w:rPr>
                <w:rFonts w:ascii="Calibri" w:hAnsi="Calibri" w:cs="Calibri"/>
                <w:color w:val="000000"/>
                <w:sz w:val="18"/>
                <w:szCs w:val="18"/>
                <w:lang w:eastAsia="pl-PL"/>
              </w:rPr>
              <w:t>Trend zmian w stosunku do roku poprzedniego</w:t>
            </w:r>
          </w:p>
        </w:tc>
        <w:tc>
          <w:tcPr>
            <w:tcW w:w="1347" w:type="dxa"/>
            <w:vAlign w:val="center"/>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ED6132">
              <w:rPr>
                <w:rFonts w:ascii="Calibri" w:hAnsi="Calibri" w:cs="Calibri"/>
                <w:sz w:val="18"/>
                <w:szCs w:val="18"/>
                <w:lang w:eastAsia="pl-PL"/>
              </w:rPr>
              <w:t>Wydatki majątkowe na 1 mieszkańca (zł)</w:t>
            </w:r>
          </w:p>
        </w:tc>
        <w:tc>
          <w:tcPr>
            <w:tcW w:w="1346" w:type="dxa"/>
            <w:vAlign w:val="center"/>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18"/>
                <w:szCs w:val="18"/>
                <w:lang w:eastAsia="pl-PL"/>
              </w:rPr>
            </w:pPr>
            <w:r w:rsidRPr="00ED6132">
              <w:rPr>
                <w:rFonts w:ascii="Calibri" w:hAnsi="Calibri" w:cs="Calibri"/>
                <w:color w:val="000000"/>
                <w:sz w:val="18"/>
                <w:szCs w:val="18"/>
                <w:lang w:eastAsia="pl-PL"/>
              </w:rPr>
              <w:t>Trend zmian w stosunku do roku poprzedniego</w:t>
            </w:r>
          </w:p>
        </w:tc>
        <w:tc>
          <w:tcPr>
            <w:tcW w:w="1398" w:type="dxa"/>
            <w:vAlign w:val="center"/>
            <w:hideMark/>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ED6132">
              <w:rPr>
                <w:rFonts w:ascii="Calibri" w:hAnsi="Calibri" w:cs="Calibri"/>
                <w:sz w:val="18"/>
                <w:szCs w:val="18"/>
                <w:lang w:eastAsia="pl-PL"/>
              </w:rPr>
              <w:t>Udział subwencji z budżetu państwa w dochodzie gminy (%)</w:t>
            </w:r>
          </w:p>
        </w:tc>
        <w:tc>
          <w:tcPr>
            <w:tcW w:w="1545" w:type="dxa"/>
            <w:vAlign w:val="center"/>
          </w:tcPr>
          <w:p w:rsidR="00ED6132" w:rsidRPr="00ED6132" w:rsidRDefault="00ED6132" w:rsidP="00ED6132">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ED6132">
              <w:rPr>
                <w:rFonts w:ascii="Calibri" w:hAnsi="Calibri" w:cs="Calibri"/>
                <w:sz w:val="18"/>
                <w:szCs w:val="18"/>
                <w:lang w:eastAsia="pl-PL"/>
              </w:rPr>
              <w:t>Wydatki na obsługę długu publicznego</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2009</w:t>
            </w:r>
          </w:p>
        </w:tc>
        <w:tc>
          <w:tcPr>
            <w:tcW w:w="1403"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630,66</w:t>
            </w:r>
          </w:p>
        </w:tc>
        <w:tc>
          <w:tcPr>
            <w:tcW w:w="1281"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w:t>
            </w:r>
          </w:p>
        </w:tc>
        <w:tc>
          <w:tcPr>
            <w:tcW w:w="1347"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proofErr w:type="gramStart"/>
            <w:r w:rsidRPr="00ED6132">
              <w:rPr>
                <w:rFonts w:ascii="Calibri" w:eastAsia="Calibri" w:hAnsi="Calibri" w:cs="Calibri"/>
                <w:sz w:val="20"/>
                <w:szCs w:val="20"/>
              </w:rPr>
              <w:t>brak</w:t>
            </w:r>
            <w:proofErr w:type="gramEnd"/>
            <w:r w:rsidRPr="00ED6132">
              <w:rPr>
                <w:rFonts w:ascii="Calibri" w:eastAsia="Calibri" w:hAnsi="Calibri" w:cs="Calibri"/>
                <w:sz w:val="20"/>
                <w:szCs w:val="20"/>
              </w:rPr>
              <w:t xml:space="preserve"> danych</w:t>
            </w:r>
          </w:p>
        </w:tc>
        <w:tc>
          <w:tcPr>
            <w:tcW w:w="1346"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w:t>
            </w:r>
          </w:p>
        </w:tc>
        <w:tc>
          <w:tcPr>
            <w:tcW w:w="1398"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51,30</w:t>
            </w:r>
          </w:p>
        </w:tc>
        <w:tc>
          <w:tcPr>
            <w:tcW w:w="1545" w:type="dxa"/>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84 994,09</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2010</w:t>
            </w:r>
          </w:p>
        </w:tc>
        <w:tc>
          <w:tcPr>
            <w:tcW w:w="1403"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584,16</w:t>
            </w:r>
          </w:p>
        </w:tc>
        <w:tc>
          <w:tcPr>
            <w:tcW w:w="1281"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-46,50</w:t>
            </w:r>
          </w:p>
        </w:tc>
        <w:tc>
          <w:tcPr>
            <w:tcW w:w="1347"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109</w:t>
            </w:r>
          </w:p>
        </w:tc>
        <w:tc>
          <w:tcPr>
            <w:tcW w:w="1346"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w:t>
            </w:r>
          </w:p>
        </w:tc>
        <w:tc>
          <w:tcPr>
            <w:tcW w:w="1398"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49,81</w:t>
            </w:r>
          </w:p>
        </w:tc>
        <w:tc>
          <w:tcPr>
            <w:tcW w:w="1545" w:type="dxa"/>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56 958,54</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2011</w:t>
            </w:r>
          </w:p>
        </w:tc>
        <w:tc>
          <w:tcPr>
            <w:tcW w:w="1403"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761,70</w:t>
            </w:r>
          </w:p>
        </w:tc>
        <w:tc>
          <w:tcPr>
            <w:tcW w:w="1281"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177,54</w:t>
            </w:r>
          </w:p>
        </w:tc>
        <w:tc>
          <w:tcPr>
            <w:tcW w:w="1347"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313</w:t>
            </w:r>
          </w:p>
        </w:tc>
        <w:tc>
          <w:tcPr>
            <w:tcW w:w="1346"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204</w:t>
            </w:r>
          </w:p>
        </w:tc>
        <w:tc>
          <w:tcPr>
            <w:tcW w:w="1398"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44,44</w:t>
            </w:r>
          </w:p>
        </w:tc>
        <w:tc>
          <w:tcPr>
            <w:tcW w:w="1545" w:type="dxa"/>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94 993,46</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2012</w:t>
            </w:r>
          </w:p>
        </w:tc>
        <w:tc>
          <w:tcPr>
            <w:tcW w:w="1403"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858,63</w:t>
            </w:r>
          </w:p>
        </w:tc>
        <w:tc>
          <w:tcPr>
            <w:tcW w:w="1281"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96,93</w:t>
            </w:r>
          </w:p>
        </w:tc>
        <w:tc>
          <w:tcPr>
            <w:tcW w:w="1347"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148</w:t>
            </w:r>
          </w:p>
        </w:tc>
        <w:tc>
          <w:tcPr>
            <w:tcW w:w="1346"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-165</w:t>
            </w:r>
          </w:p>
        </w:tc>
        <w:tc>
          <w:tcPr>
            <w:tcW w:w="1398"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44,22</w:t>
            </w:r>
          </w:p>
        </w:tc>
        <w:tc>
          <w:tcPr>
            <w:tcW w:w="1545" w:type="dxa"/>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65 740,73</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2013</w:t>
            </w:r>
          </w:p>
        </w:tc>
        <w:tc>
          <w:tcPr>
            <w:tcW w:w="1403"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1 014,90</w:t>
            </w:r>
          </w:p>
        </w:tc>
        <w:tc>
          <w:tcPr>
            <w:tcW w:w="1281"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156,27</w:t>
            </w:r>
          </w:p>
        </w:tc>
        <w:tc>
          <w:tcPr>
            <w:tcW w:w="1347"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209</w:t>
            </w:r>
          </w:p>
        </w:tc>
        <w:tc>
          <w:tcPr>
            <w:tcW w:w="1346"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61</w:t>
            </w:r>
          </w:p>
        </w:tc>
        <w:tc>
          <w:tcPr>
            <w:tcW w:w="1398"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42,23</w:t>
            </w:r>
          </w:p>
        </w:tc>
        <w:tc>
          <w:tcPr>
            <w:tcW w:w="1545" w:type="dxa"/>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26 612,64</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2014</w:t>
            </w:r>
          </w:p>
        </w:tc>
        <w:tc>
          <w:tcPr>
            <w:tcW w:w="1403"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1 207,81</w:t>
            </w:r>
          </w:p>
        </w:tc>
        <w:tc>
          <w:tcPr>
            <w:tcW w:w="1281"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192,91</w:t>
            </w:r>
          </w:p>
        </w:tc>
        <w:tc>
          <w:tcPr>
            <w:tcW w:w="1347"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531</w:t>
            </w:r>
          </w:p>
        </w:tc>
        <w:tc>
          <w:tcPr>
            <w:tcW w:w="1346"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322</w:t>
            </w:r>
          </w:p>
        </w:tc>
        <w:tc>
          <w:tcPr>
            <w:tcW w:w="1398"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36,83</w:t>
            </w:r>
          </w:p>
        </w:tc>
        <w:tc>
          <w:tcPr>
            <w:tcW w:w="1545" w:type="dxa"/>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50 598,61</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2015</w:t>
            </w:r>
          </w:p>
        </w:tc>
        <w:tc>
          <w:tcPr>
            <w:tcW w:w="1403"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1 100,38</w:t>
            </w:r>
          </w:p>
        </w:tc>
        <w:tc>
          <w:tcPr>
            <w:tcW w:w="1281"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-107,43</w:t>
            </w:r>
          </w:p>
        </w:tc>
        <w:tc>
          <w:tcPr>
            <w:tcW w:w="1347"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108</w:t>
            </w:r>
          </w:p>
        </w:tc>
        <w:tc>
          <w:tcPr>
            <w:tcW w:w="1346"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-423</w:t>
            </w:r>
          </w:p>
        </w:tc>
        <w:tc>
          <w:tcPr>
            <w:tcW w:w="1398"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39,51</w:t>
            </w:r>
          </w:p>
        </w:tc>
        <w:tc>
          <w:tcPr>
            <w:tcW w:w="1545" w:type="dxa"/>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71 337,23</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2016</w:t>
            </w:r>
          </w:p>
        </w:tc>
        <w:tc>
          <w:tcPr>
            <w:tcW w:w="1403"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1 183,04</w:t>
            </w:r>
          </w:p>
        </w:tc>
        <w:tc>
          <w:tcPr>
            <w:tcW w:w="1281"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82,66</w:t>
            </w:r>
          </w:p>
        </w:tc>
        <w:tc>
          <w:tcPr>
            <w:tcW w:w="1347"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208</w:t>
            </w:r>
          </w:p>
        </w:tc>
        <w:tc>
          <w:tcPr>
            <w:tcW w:w="1346"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100</w:t>
            </w:r>
          </w:p>
        </w:tc>
        <w:tc>
          <w:tcPr>
            <w:tcW w:w="1398"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31,97</w:t>
            </w:r>
          </w:p>
        </w:tc>
        <w:tc>
          <w:tcPr>
            <w:tcW w:w="1545" w:type="dxa"/>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62 528,35</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2017</w:t>
            </w:r>
          </w:p>
        </w:tc>
        <w:tc>
          <w:tcPr>
            <w:tcW w:w="1403"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1 173,27</w:t>
            </w:r>
          </w:p>
        </w:tc>
        <w:tc>
          <w:tcPr>
            <w:tcW w:w="1281"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-9,77</w:t>
            </w:r>
          </w:p>
        </w:tc>
        <w:tc>
          <w:tcPr>
            <w:tcW w:w="1347"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248</w:t>
            </w:r>
          </w:p>
        </w:tc>
        <w:tc>
          <w:tcPr>
            <w:tcW w:w="1346"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40</w:t>
            </w:r>
          </w:p>
        </w:tc>
        <w:tc>
          <w:tcPr>
            <w:tcW w:w="1398"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31,83</w:t>
            </w:r>
          </w:p>
        </w:tc>
        <w:tc>
          <w:tcPr>
            <w:tcW w:w="1545" w:type="dxa"/>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48 433,29</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2018</w:t>
            </w:r>
          </w:p>
        </w:tc>
        <w:tc>
          <w:tcPr>
            <w:tcW w:w="1403"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1 155,06</w:t>
            </w:r>
          </w:p>
        </w:tc>
        <w:tc>
          <w:tcPr>
            <w:tcW w:w="1281"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-18,21</w:t>
            </w:r>
          </w:p>
        </w:tc>
        <w:tc>
          <w:tcPr>
            <w:tcW w:w="1347"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586</w:t>
            </w:r>
          </w:p>
        </w:tc>
        <w:tc>
          <w:tcPr>
            <w:tcW w:w="1346"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338</w:t>
            </w:r>
          </w:p>
        </w:tc>
        <w:tc>
          <w:tcPr>
            <w:tcW w:w="1398" w:type="dxa"/>
            <w:noWrap/>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34,11</w:t>
            </w:r>
          </w:p>
        </w:tc>
        <w:tc>
          <w:tcPr>
            <w:tcW w:w="1545" w:type="dxa"/>
            <w:vAlign w:val="center"/>
          </w:tcPr>
          <w:p w:rsidR="00ED6132" w:rsidRPr="00ED6132" w:rsidRDefault="00ED6132" w:rsidP="00ED6132">
            <w:pPr>
              <w:spacing w:before="0"/>
              <w:ind w:firstLine="0"/>
              <w:jc w:val="right"/>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51 097,23</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968" w:type="dxa"/>
            <w:noWrap/>
            <w:vAlign w:val="center"/>
            <w:hideMark/>
          </w:tcPr>
          <w:p w:rsidR="00ED6132" w:rsidRPr="00ED6132" w:rsidRDefault="00ED6132" w:rsidP="00ED6132">
            <w:pPr>
              <w:spacing w:before="0"/>
              <w:ind w:firstLine="0"/>
              <w:jc w:val="right"/>
              <w:rPr>
                <w:rFonts w:ascii="Calibri" w:hAnsi="Calibri" w:cs="Calibri"/>
                <w:color w:val="000000"/>
                <w:sz w:val="20"/>
                <w:szCs w:val="20"/>
                <w:lang w:eastAsia="pl-PL"/>
              </w:rPr>
            </w:pPr>
            <w:r w:rsidRPr="00ED6132">
              <w:rPr>
                <w:rFonts w:ascii="Calibri" w:hAnsi="Calibri" w:cs="Calibri"/>
                <w:color w:val="000000"/>
                <w:sz w:val="20"/>
                <w:szCs w:val="20"/>
                <w:lang w:eastAsia="pl-PL"/>
              </w:rPr>
              <w:t>2019</w:t>
            </w:r>
          </w:p>
        </w:tc>
        <w:tc>
          <w:tcPr>
            <w:tcW w:w="1403"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1 141,68</w:t>
            </w:r>
          </w:p>
        </w:tc>
        <w:tc>
          <w:tcPr>
            <w:tcW w:w="1281"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-13,38</w:t>
            </w:r>
          </w:p>
        </w:tc>
        <w:tc>
          <w:tcPr>
            <w:tcW w:w="1347"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sz w:val="20"/>
                <w:szCs w:val="20"/>
              </w:rPr>
            </w:pPr>
            <w:r w:rsidRPr="00ED6132">
              <w:rPr>
                <w:rFonts w:ascii="Calibri" w:eastAsia="Calibri" w:hAnsi="Calibri" w:cs="Calibri"/>
                <w:sz w:val="20"/>
                <w:szCs w:val="20"/>
              </w:rPr>
              <w:t>192</w:t>
            </w:r>
          </w:p>
        </w:tc>
        <w:tc>
          <w:tcPr>
            <w:tcW w:w="1346"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-394</w:t>
            </w:r>
          </w:p>
        </w:tc>
        <w:tc>
          <w:tcPr>
            <w:tcW w:w="1398" w:type="dxa"/>
            <w:noWrap/>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35,33</w:t>
            </w:r>
          </w:p>
        </w:tc>
        <w:tc>
          <w:tcPr>
            <w:tcW w:w="1545" w:type="dxa"/>
            <w:vAlign w:val="center"/>
          </w:tcPr>
          <w:p w:rsidR="00ED6132" w:rsidRPr="00ED6132" w:rsidRDefault="00ED6132" w:rsidP="00ED6132">
            <w:pPr>
              <w:spacing w:before="0"/>
              <w:ind w:firstLine="0"/>
              <w:jc w:val="right"/>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rPr>
            </w:pPr>
            <w:r w:rsidRPr="00ED6132">
              <w:rPr>
                <w:rFonts w:ascii="Calibri" w:eastAsia="Calibri" w:hAnsi="Calibri" w:cs="Times New Roman"/>
                <w:sz w:val="20"/>
              </w:rPr>
              <w:t>64 329,66</w:t>
            </w:r>
          </w:p>
        </w:tc>
      </w:tr>
    </w:tbl>
    <w:p w:rsidR="00ED6132" w:rsidRPr="00ED6132" w:rsidRDefault="00ED6132" w:rsidP="00ED6132">
      <w:pPr>
        <w:rPr>
          <w:rFonts w:ascii="Calibri" w:eastAsia="Calibri" w:hAnsi="Calibri" w:cs="Times New Roman"/>
        </w:rPr>
      </w:pPr>
      <w:r w:rsidRPr="00ED6132">
        <w:rPr>
          <w:rFonts w:ascii="Calibri" w:eastAsia="Calibri" w:hAnsi="Calibri" w:cs="Times New Roman"/>
        </w:rPr>
        <w:t>W okresie poprzedzającym realizację Strategii dochody budżetu Gminy Hrubieszów zwiększyły się z około 24,8 mln zł w 2009 roku do około 44,8 mln zł w 2019 roku. Wyraźnie wzrosły także dochody budżetu gminy w przeliczeniu na jednego mieszkańca. W analizowanym okresie czasu Gmina Miejska Hrubieszów osiągnęła dochody własne w przeliczeniu na 1 mieszkańca w wysokości 982,84 zł (średnia z 11 lat). Ich wartość ulegała wahaniom, a ostatnie lata to ujemne wartości trendu, co świadczy o spadku wysokości dochodu w porównaniu do poprzednich lat. Z punktu widzenia struktury budżetu gminy bardzo ważnym źródłem dochodów były subwencje przekazywane z budżetu państwa. W analizowanym okresie wartość subwencji wzrosła z poziomu ok. 12,7 mln zł do około 15,8 mln zł i średnio stanowi 40,14% dochodu gminy.</w:t>
      </w:r>
    </w:p>
    <w:p w:rsidR="00ED6132" w:rsidRPr="00ED6132" w:rsidRDefault="00ED6132" w:rsidP="00ED6132">
      <w:pPr>
        <w:rPr>
          <w:rFonts w:ascii="Calibri" w:eastAsia="Calibri" w:hAnsi="Calibri" w:cs="Times New Roman"/>
        </w:rPr>
      </w:pPr>
      <w:r w:rsidRPr="00ED6132">
        <w:rPr>
          <w:rFonts w:ascii="Calibri" w:eastAsia="Calibri" w:hAnsi="Calibri" w:cs="Times New Roman"/>
        </w:rPr>
        <w:t>W analizowanym okresie czasu przed realizacją Strategii nastąpił duży wzrost wartości wydatków budżetowych z około 24,6mln zł w 2009 roku do około 43,03 mln zł w 2019 roku. Wydatki majątkowe na 1 mieszkańca podlegały dużym wahaniom, lecz generalnie ich wartość wzrosła. Średnia z 11 lat to 265 zł na 1 mieszkańca.</w:t>
      </w:r>
    </w:p>
    <w:p w:rsidR="00ED6132" w:rsidRPr="00ED6132" w:rsidRDefault="00ED6132" w:rsidP="00ED6132">
      <w:pPr>
        <w:rPr>
          <w:rFonts w:ascii="Calibri" w:eastAsia="Calibri" w:hAnsi="Calibri" w:cs="Calibri"/>
        </w:rPr>
      </w:pPr>
      <w:r w:rsidRPr="00ED6132">
        <w:rPr>
          <w:rFonts w:ascii="Calibri" w:eastAsia="Calibri" w:hAnsi="Calibri" w:cs="Times New Roman"/>
        </w:rPr>
        <w:t xml:space="preserve">Gmina Hrubieszów również z powodzeniem realizowała swoje zobowiązania z zakresu obsługi zadłużenia. W porównaniu do 2009 roku obciążenie budżetu gminy z tytułu obsługi długu zmalało z 84 994,09 </w:t>
      </w:r>
      <w:r w:rsidRPr="00ED6132">
        <w:rPr>
          <w:rFonts w:ascii="Calibri" w:eastAsia="Calibri" w:hAnsi="Calibri" w:cs="Calibri"/>
        </w:rPr>
        <w:t xml:space="preserve">na </w:t>
      </w:r>
      <w:r w:rsidRPr="00ED6132">
        <w:rPr>
          <w:rFonts w:ascii="Calibri" w:eastAsia="Calibri" w:hAnsi="Calibri" w:cs="Times New Roman"/>
        </w:rPr>
        <w:t>64 329,66</w:t>
      </w:r>
      <w:r w:rsidRPr="00ED6132">
        <w:rPr>
          <w:rFonts w:ascii="Calibri" w:eastAsia="Calibri" w:hAnsi="Calibri" w:cs="Calibri"/>
        </w:rPr>
        <w:t xml:space="preserve"> zł, czyli około 0,76 razy mniej.</w:t>
      </w:r>
    </w:p>
    <w:p w:rsidR="00ED6132" w:rsidRPr="00ED6132" w:rsidRDefault="00ED6132" w:rsidP="00ED6132">
      <w:pPr>
        <w:rPr>
          <w:rFonts w:ascii="Calibri" w:eastAsia="Calibri" w:hAnsi="Calibri" w:cs="Calibri"/>
        </w:rPr>
      </w:pPr>
      <w:r w:rsidRPr="00ED6132">
        <w:rPr>
          <w:rFonts w:ascii="Calibri" w:eastAsia="Calibri" w:hAnsi="Calibri" w:cs="Calibri"/>
        </w:rPr>
        <w:t>Wskaźniki do szacowania potencjału inwestycyjnego gmin zaczerpnięto z prognoz finansowych zawartych w Wieloletnich Prognozach Finansowych Gminy Miejskiej Hrubieszów oraz Gminy Hrubieszów. W okresie objętym Strategią z dużą ostrożnością przyjęto średnią prognozowaną wysokość wydatków ogółem rocznie:</w:t>
      </w:r>
    </w:p>
    <w:p w:rsidR="00ED6132" w:rsidRPr="00ED6132" w:rsidRDefault="00ED6132" w:rsidP="00A13FA7">
      <w:pPr>
        <w:numPr>
          <w:ilvl w:val="0"/>
          <w:numId w:val="45"/>
        </w:numPr>
        <w:spacing w:before="0" w:after="0"/>
        <w:ind w:left="709"/>
        <w:contextualSpacing/>
        <w:jc w:val="left"/>
        <w:rPr>
          <w:rFonts w:ascii="Calibri" w:eastAsia="Calibri" w:hAnsi="Calibri" w:cs="Calibri"/>
        </w:rPr>
      </w:pPr>
      <w:r w:rsidRPr="00ED6132">
        <w:rPr>
          <w:rFonts w:ascii="Calibri" w:eastAsia="Calibri" w:hAnsi="Calibri" w:cs="Calibri"/>
        </w:rPr>
        <w:t>Dla Gminy Miejskiej Hrubieszów: 67 mln zł</w:t>
      </w:r>
    </w:p>
    <w:p w:rsidR="00ED6132" w:rsidRPr="00ED6132" w:rsidRDefault="00ED6132" w:rsidP="00A13FA7">
      <w:pPr>
        <w:numPr>
          <w:ilvl w:val="0"/>
          <w:numId w:val="45"/>
        </w:numPr>
        <w:spacing w:before="0" w:after="0"/>
        <w:ind w:left="709"/>
        <w:contextualSpacing/>
        <w:jc w:val="left"/>
        <w:rPr>
          <w:rFonts w:ascii="Calibri" w:eastAsia="Calibri" w:hAnsi="Calibri" w:cs="Calibri"/>
        </w:rPr>
      </w:pPr>
      <w:r w:rsidRPr="00ED6132">
        <w:rPr>
          <w:rFonts w:ascii="Calibri" w:eastAsia="Calibri" w:hAnsi="Calibri" w:cs="Calibri"/>
        </w:rPr>
        <w:lastRenderedPageBreak/>
        <w:t>Dla Gminy Hrubieszów: 46,8 mln zł</w:t>
      </w:r>
      <w:r w:rsidRPr="00ED6132">
        <w:rPr>
          <w:rFonts w:ascii="Calibri" w:eastAsia="Calibri" w:hAnsi="Calibri" w:cs="Calibri"/>
          <w:vertAlign w:val="superscript"/>
        </w:rPr>
        <w:footnoteReference w:id="35"/>
      </w:r>
      <w:r w:rsidRPr="00ED6132">
        <w:rPr>
          <w:rFonts w:ascii="Calibri" w:eastAsia="Calibri" w:hAnsi="Calibri" w:cs="Calibri"/>
        </w:rPr>
        <w:t>.</w:t>
      </w:r>
    </w:p>
    <w:p w:rsidR="00ED6132" w:rsidRPr="00ED6132" w:rsidRDefault="00ED6132" w:rsidP="00ED6132">
      <w:pPr>
        <w:rPr>
          <w:rFonts w:ascii="Calibri" w:eastAsia="Calibri" w:hAnsi="Calibri" w:cs="Calibri"/>
        </w:rPr>
      </w:pPr>
      <w:r w:rsidRPr="00ED6132">
        <w:rPr>
          <w:rFonts w:ascii="Calibri" w:eastAsia="Calibri" w:hAnsi="Calibri" w:cs="Calibri"/>
        </w:rPr>
        <w:t>Szacując potencjał inwestycyjny gmin posłużono się następującym wzorem:</w:t>
      </w:r>
    </w:p>
    <w:p w:rsidR="00ED6132" w:rsidRPr="00ED6132" w:rsidRDefault="00ED6132" w:rsidP="00ED6132">
      <w:pPr>
        <w:jc w:val="center"/>
        <w:rPr>
          <w:rFonts w:ascii="Calibri" w:eastAsia="Calibri" w:hAnsi="Calibri" w:cs="Calibri"/>
        </w:rPr>
      </w:pPr>
      <w:r w:rsidRPr="00ED6132">
        <w:rPr>
          <w:rFonts w:ascii="Calibri" w:eastAsia="Calibri" w:hAnsi="Calibri" w:cs="Calibri"/>
        </w:rPr>
        <w:t xml:space="preserve">Pi = </w:t>
      </w:r>
      <w:proofErr w:type="spellStart"/>
      <w:r w:rsidRPr="00ED6132">
        <w:rPr>
          <w:rFonts w:ascii="Calibri" w:eastAsia="Calibri" w:hAnsi="Calibri" w:cs="Calibri"/>
        </w:rPr>
        <w:t>Wog</w:t>
      </w:r>
      <w:proofErr w:type="spellEnd"/>
      <w:r w:rsidRPr="00ED6132">
        <w:rPr>
          <w:rFonts w:ascii="Calibri" w:eastAsia="Calibri" w:hAnsi="Calibri" w:cs="Calibri"/>
        </w:rPr>
        <w:t xml:space="preserve">. * </w:t>
      </w:r>
      <w:proofErr w:type="spellStart"/>
      <w:r w:rsidRPr="00ED6132">
        <w:rPr>
          <w:rFonts w:ascii="Calibri" w:eastAsia="Calibri" w:hAnsi="Calibri" w:cs="Calibri"/>
        </w:rPr>
        <w:t>Wi</w:t>
      </w:r>
      <w:proofErr w:type="spellEnd"/>
    </w:p>
    <w:p w:rsidR="00ED6132" w:rsidRPr="00ED6132" w:rsidRDefault="00ED6132" w:rsidP="00ED6132">
      <w:pPr>
        <w:spacing w:after="0"/>
        <w:rPr>
          <w:rFonts w:ascii="Calibri" w:eastAsia="Calibri" w:hAnsi="Calibri" w:cs="Calibri"/>
        </w:rPr>
      </w:pPr>
      <w:r w:rsidRPr="00ED6132">
        <w:rPr>
          <w:rFonts w:ascii="Calibri" w:eastAsia="Calibri" w:hAnsi="Calibri" w:cs="Calibri"/>
        </w:rPr>
        <w:t>Pi – potencjał inwestycyjny gminy</w:t>
      </w:r>
    </w:p>
    <w:p w:rsidR="00ED6132" w:rsidRPr="00ED6132" w:rsidRDefault="00ED6132" w:rsidP="00ED6132">
      <w:pPr>
        <w:spacing w:before="0" w:after="0"/>
        <w:rPr>
          <w:rFonts w:ascii="Calibri" w:eastAsia="Calibri" w:hAnsi="Calibri" w:cs="Calibri"/>
        </w:rPr>
      </w:pPr>
      <w:proofErr w:type="spellStart"/>
      <w:r w:rsidRPr="00ED6132">
        <w:rPr>
          <w:rFonts w:ascii="Calibri" w:eastAsia="Calibri" w:hAnsi="Calibri" w:cs="Calibri"/>
        </w:rPr>
        <w:t>Wog</w:t>
      </w:r>
      <w:proofErr w:type="spellEnd"/>
      <w:r w:rsidRPr="00ED6132">
        <w:rPr>
          <w:rFonts w:ascii="Calibri" w:eastAsia="Calibri" w:hAnsi="Calibri" w:cs="Calibri"/>
        </w:rPr>
        <w:t xml:space="preserve">. – </w:t>
      </w:r>
      <w:proofErr w:type="gramStart"/>
      <w:r w:rsidRPr="00ED6132">
        <w:rPr>
          <w:rFonts w:ascii="Calibri" w:eastAsia="Calibri" w:hAnsi="Calibri" w:cs="Calibri"/>
        </w:rPr>
        <w:t>prognozowane</w:t>
      </w:r>
      <w:proofErr w:type="gramEnd"/>
      <w:r w:rsidRPr="00ED6132">
        <w:rPr>
          <w:rFonts w:ascii="Calibri" w:eastAsia="Calibri" w:hAnsi="Calibri" w:cs="Calibri"/>
        </w:rPr>
        <w:t xml:space="preserve"> wydatki budżetowe ogółem w okresie objętym prognozą</w:t>
      </w:r>
    </w:p>
    <w:p w:rsidR="00ED6132" w:rsidRPr="00ED6132" w:rsidRDefault="00ED6132" w:rsidP="00ED6132">
      <w:pPr>
        <w:spacing w:before="0"/>
        <w:rPr>
          <w:rFonts w:ascii="Calibri" w:eastAsia="Calibri" w:hAnsi="Calibri" w:cs="Calibri"/>
        </w:rPr>
      </w:pPr>
      <w:proofErr w:type="spellStart"/>
      <w:r w:rsidRPr="00ED6132">
        <w:rPr>
          <w:rFonts w:ascii="Calibri" w:eastAsia="Calibri" w:hAnsi="Calibri" w:cs="Calibri"/>
        </w:rPr>
        <w:t>Wi</w:t>
      </w:r>
      <w:proofErr w:type="spellEnd"/>
      <w:r w:rsidRPr="00ED6132">
        <w:rPr>
          <w:rFonts w:ascii="Calibri" w:eastAsia="Calibri" w:hAnsi="Calibri" w:cs="Calibri"/>
        </w:rPr>
        <w:t xml:space="preserve"> – średni procentowy udział wydatków inwestycyjnych w wydatkach ogółem gminy w okresie poprzednim do prognozowanego. Wyliczony potencjał można uznać za podstawę przyszłej aktywności inwestycyjnej gmin.</w:t>
      </w:r>
    </w:p>
    <w:p w:rsidR="00ED6132" w:rsidRPr="00ED6132" w:rsidRDefault="00ED6132" w:rsidP="00ED6132">
      <w:pPr>
        <w:spacing w:before="0"/>
        <w:rPr>
          <w:rFonts w:ascii="Calibri" w:eastAsia="Calibri" w:hAnsi="Calibri" w:cs="Calibri"/>
        </w:rPr>
      </w:pPr>
      <w:r w:rsidRPr="00ED6132">
        <w:rPr>
          <w:rFonts w:ascii="Calibri" w:eastAsia="Calibri" w:hAnsi="Calibri" w:cs="Calibri"/>
        </w:rPr>
        <w:t>Analizując dane historyczne, ustalono, że średnia wartość procentowego udziału wydatków inwestycyjnych ponoszonych przez gminy w okresie 2009-2019 wynosiła:</w:t>
      </w:r>
    </w:p>
    <w:p w:rsidR="00ED6132" w:rsidRPr="00ED6132" w:rsidRDefault="00ED6132" w:rsidP="00A13FA7">
      <w:pPr>
        <w:numPr>
          <w:ilvl w:val="0"/>
          <w:numId w:val="45"/>
        </w:numPr>
        <w:spacing w:before="0" w:after="0"/>
        <w:ind w:left="709"/>
        <w:contextualSpacing/>
        <w:jc w:val="left"/>
        <w:rPr>
          <w:rFonts w:ascii="Calibri" w:eastAsia="Calibri" w:hAnsi="Calibri" w:cs="Calibri"/>
        </w:rPr>
      </w:pPr>
      <w:r w:rsidRPr="00ED6132">
        <w:rPr>
          <w:rFonts w:ascii="Calibri" w:eastAsia="Calibri" w:hAnsi="Calibri" w:cs="Calibri"/>
        </w:rPr>
        <w:t>Dla Gminy Miejskiej Hrubieszów: 15,7%</w:t>
      </w:r>
    </w:p>
    <w:p w:rsidR="00ED6132" w:rsidRPr="00ED6132" w:rsidRDefault="00ED6132" w:rsidP="00A13FA7">
      <w:pPr>
        <w:numPr>
          <w:ilvl w:val="0"/>
          <w:numId w:val="45"/>
        </w:numPr>
        <w:spacing w:before="0" w:after="0"/>
        <w:ind w:left="709"/>
        <w:contextualSpacing/>
        <w:jc w:val="left"/>
        <w:rPr>
          <w:rFonts w:ascii="Calibri" w:eastAsia="Calibri" w:hAnsi="Calibri" w:cs="Calibri"/>
        </w:rPr>
      </w:pPr>
      <w:r w:rsidRPr="00ED6132">
        <w:rPr>
          <w:rFonts w:ascii="Calibri" w:eastAsia="Calibri" w:hAnsi="Calibri" w:cs="Calibri"/>
        </w:rPr>
        <w:t>Dla Gminy Hrubieszów: 8,5%.</w:t>
      </w:r>
    </w:p>
    <w:p w:rsidR="00ED6132" w:rsidRPr="00ED6132" w:rsidRDefault="00ED6132" w:rsidP="00ED6132">
      <w:pPr>
        <w:ind w:left="349" w:firstLine="0"/>
        <w:rPr>
          <w:rFonts w:ascii="Calibri" w:eastAsia="Calibri" w:hAnsi="Calibri" w:cs="Calibri"/>
        </w:rPr>
      </w:pPr>
      <w:r w:rsidRPr="00ED6132">
        <w:rPr>
          <w:rFonts w:ascii="Calibri" w:eastAsia="Calibri" w:hAnsi="Calibri" w:cs="Calibri"/>
        </w:rPr>
        <w:t>Dzięki tym informacjom możliwe było oszacowanie potencjału inwestycyjnego gmin w okresie realizacji Strategii. Wykorzystując wyżej opisany wzór otrzymano szacunki około:</w:t>
      </w:r>
    </w:p>
    <w:p w:rsidR="00ED6132" w:rsidRPr="00ED6132" w:rsidRDefault="00ED6132" w:rsidP="00A13FA7">
      <w:pPr>
        <w:numPr>
          <w:ilvl w:val="0"/>
          <w:numId w:val="45"/>
        </w:numPr>
        <w:spacing w:before="0" w:after="0"/>
        <w:ind w:left="709"/>
        <w:contextualSpacing/>
        <w:jc w:val="left"/>
        <w:rPr>
          <w:rFonts w:ascii="Calibri" w:eastAsia="Calibri" w:hAnsi="Calibri" w:cs="Calibri"/>
        </w:rPr>
      </w:pPr>
      <w:r w:rsidRPr="00ED6132">
        <w:rPr>
          <w:rFonts w:ascii="Calibri" w:eastAsia="Calibri" w:hAnsi="Calibri" w:cs="Calibri"/>
        </w:rPr>
        <w:t>Dla Gminy Miejskiej Hrubieszów: 105 mln zł</w:t>
      </w:r>
    </w:p>
    <w:p w:rsidR="00ED6132" w:rsidRPr="00ED6132" w:rsidRDefault="00ED6132" w:rsidP="00A13FA7">
      <w:pPr>
        <w:numPr>
          <w:ilvl w:val="0"/>
          <w:numId w:val="45"/>
        </w:numPr>
        <w:spacing w:before="0" w:after="0"/>
        <w:ind w:left="709"/>
        <w:contextualSpacing/>
        <w:jc w:val="left"/>
        <w:rPr>
          <w:rFonts w:ascii="Calibri" w:eastAsia="Calibri" w:hAnsi="Calibri" w:cs="Calibri"/>
        </w:rPr>
      </w:pPr>
      <w:r w:rsidRPr="00ED6132">
        <w:rPr>
          <w:rFonts w:ascii="Calibri" w:eastAsia="Calibri" w:hAnsi="Calibri" w:cs="Calibri"/>
        </w:rPr>
        <w:t>Dla Gminy Hrubieszów</w:t>
      </w:r>
      <w:r w:rsidRPr="00ED6132">
        <w:rPr>
          <w:rFonts w:ascii="Calibri" w:eastAsia="Calibri" w:hAnsi="Calibri" w:cs="Calibri"/>
          <w:vertAlign w:val="superscript"/>
        </w:rPr>
        <w:footnoteReference w:id="36"/>
      </w:r>
      <w:r w:rsidRPr="00ED6132">
        <w:rPr>
          <w:rFonts w:ascii="Calibri" w:eastAsia="Calibri" w:hAnsi="Calibri" w:cs="Calibri"/>
        </w:rPr>
        <w:t>: 23,8 ml zł.</w:t>
      </w:r>
    </w:p>
    <w:p w:rsidR="00ED6132" w:rsidRPr="00ED6132" w:rsidRDefault="00ED6132" w:rsidP="00ED6132">
      <w:pPr>
        <w:rPr>
          <w:rFonts w:ascii="Calibri" w:eastAsia="Calibri" w:hAnsi="Calibri" w:cs="Times New Roman"/>
        </w:rPr>
      </w:pPr>
      <w:r w:rsidRPr="00ED6132">
        <w:rPr>
          <w:rFonts w:ascii="Calibri" w:eastAsia="Calibri" w:hAnsi="Calibri" w:cs="Times New Roman"/>
        </w:rPr>
        <w:t>Z powyższych wyliczeń wynika, że średniorocznie na inwestycje gminy mogą przeznaczyć:</w:t>
      </w:r>
    </w:p>
    <w:p w:rsidR="00ED6132" w:rsidRPr="00ED6132" w:rsidRDefault="00ED6132" w:rsidP="00A13FA7">
      <w:pPr>
        <w:numPr>
          <w:ilvl w:val="0"/>
          <w:numId w:val="47"/>
        </w:numPr>
        <w:spacing w:before="0" w:after="0"/>
        <w:ind w:left="709"/>
        <w:contextualSpacing/>
        <w:jc w:val="left"/>
        <w:rPr>
          <w:rFonts w:ascii="Calibri" w:eastAsia="Calibri" w:hAnsi="Calibri" w:cs="Times New Roman"/>
        </w:rPr>
      </w:pPr>
      <w:r w:rsidRPr="00ED6132">
        <w:rPr>
          <w:rFonts w:ascii="Calibri" w:eastAsia="Calibri" w:hAnsi="Calibri" w:cs="Times New Roman"/>
        </w:rPr>
        <w:t>Gmina Miejska Hrubieszów: 10,5 mln zł</w:t>
      </w:r>
    </w:p>
    <w:p w:rsidR="00ED6132" w:rsidRPr="00ED6132" w:rsidRDefault="00ED6132" w:rsidP="00A13FA7">
      <w:pPr>
        <w:numPr>
          <w:ilvl w:val="0"/>
          <w:numId w:val="47"/>
        </w:numPr>
        <w:spacing w:before="0" w:after="0"/>
        <w:ind w:left="709"/>
        <w:contextualSpacing/>
        <w:jc w:val="left"/>
        <w:rPr>
          <w:rFonts w:ascii="Calibri" w:eastAsia="Calibri" w:hAnsi="Calibri" w:cs="Times New Roman"/>
        </w:rPr>
      </w:pPr>
      <w:r w:rsidRPr="00ED6132">
        <w:rPr>
          <w:rFonts w:ascii="Calibri" w:eastAsia="Calibri" w:hAnsi="Calibri" w:cs="Times New Roman"/>
        </w:rPr>
        <w:t>Gmina Hrubieszów: 3,97 mln zł.</w:t>
      </w:r>
    </w:p>
    <w:p w:rsidR="00ED6132" w:rsidRPr="001748D8" w:rsidRDefault="00ED6132" w:rsidP="00ED6132">
      <w:pPr>
        <w:rPr>
          <w:rFonts w:ascii="Calibri" w:eastAsia="Calibri" w:hAnsi="Calibri" w:cs="Calibri"/>
        </w:rPr>
      </w:pPr>
      <w:r w:rsidRPr="00ED6132">
        <w:rPr>
          <w:rFonts w:ascii="Calibri" w:eastAsia="Calibri" w:hAnsi="Calibri" w:cs="Calibri"/>
        </w:rPr>
        <w:t>Przeprowadzona analiza wykazała, że w okresie 2009-2019 gminy HOF prowadziły zrównoważoną politykę budżetową. W sposób odpowiedzialny gospodarowano środkami budżetowymi, prowadząc skuteczną politykę zwiększania dochodów przy jednoczesnym zwiększeniu wydatków</w:t>
      </w:r>
      <w:r w:rsidRPr="001748D8">
        <w:rPr>
          <w:rFonts w:ascii="Calibri" w:eastAsia="Calibri" w:hAnsi="Calibri" w:cs="Calibri"/>
        </w:rPr>
        <w:t>. Wykonana analiza potwierdza możliwość wykorzystania wsparcia funduszy zewnętrznych w realizacji projektów zapisanych w Strategii.</w:t>
      </w:r>
      <w:r w:rsidR="00FD0318" w:rsidRPr="001748D8">
        <w:rPr>
          <w:rFonts w:ascii="Calibri" w:eastAsia="Calibri" w:hAnsi="Calibri" w:cs="Calibri"/>
        </w:rPr>
        <w:t xml:space="preserve"> Na niektóre projekty </w:t>
      </w:r>
      <w:r w:rsidR="00BD1A55" w:rsidRPr="001748D8">
        <w:rPr>
          <w:rFonts w:ascii="Calibri" w:eastAsia="Calibri" w:hAnsi="Calibri" w:cs="Calibri"/>
        </w:rPr>
        <w:t>wskazane w wykazie przedsięwzięć zostały już podpisane umowy o dofinansowanie – wsparcie zewnętrzne (EOG, budżet państwa, program rządowy Fundusz Polski Ład: program inwestycji strategicznych).</w:t>
      </w:r>
      <w:r w:rsidR="00735294" w:rsidRPr="001748D8">
        <w:rPr>
          <w:rFonts w:ascii="Calibri" w:eastAsia="Calibri" w:hAnsi="Calibri" w:cs="Calibri"/>
        </w:rPr>
        <w:t xml:space="preserve"> W ramach </w:t>
      </w:r>
      <w:r w:rsidR="00735294" w:rsidRPr="001748D8">
        <w:rPr>
          <w:rFonts w:ascii="Calibri" w:eastAsia="Calibri" w:hAnsi="Calibri" w:cs="Times New Roman"/>
        </w:rPr>
        <w:t>programu Fundusze Europejskie dla Lubelskiego na lata 2021-2030</w:t>
      </w:r>
      <w:r w:rsidR="00735294" w:rsidRPr="001748D8">
        <w:rPr>
          <w:rFonts w:ascii="Calibri" w:eastAsia="Calibri" w:hAnsi="Calibri" w:cs="Calibri"/>
        </w:rPr>
        <w:t xml:space="preserve"> zostaną dofinansowane przedsięwzięcia realizowane w formie zintegrowanych inwestycji terytorialnych</w:t>
      </w:r>
      <w:r w:rsidR="00735294" w:rsidRPr="001748D8">
        <w:rPr>
          <w:rFonts w:ascii="Calibri" w:eastAsia="Calibri" w:hAnsi="Calibri" w:cs="Times New Roman"/>
        </w:rPr>
        <w:t xml:space="preserve"> (wpisane d</w:t>
      </w:r>
      <w:r w:rsidR="00AA57E3" w:rsidRPr="001748D8">
        <w:rPr>
          <w:rFonts w:ascii="Calibri" w:eastAsia="Calibri" w:hAnsi="Calibri" w:cs="Times New Roman"/>
        </w:rPr>
        <w:t>o wykazu przedsięwzięć),</w:t>
      </w:r>
      <w:r w:rsidR="00735294" w:rsidRPr="001748D8">
        <w:rPr>
          <w:rFonts w:ascii="Calibri" w:eastAsia="Calibri" w:hAnsi="Calibri" w:cs="Times New Roman"/>
        </w:rPr>
        <w:t xml:space="preserve"> co oznacza finansowe wsparcie zewnętrzne dla Gmin HOF.</w:t>
      </w:r>
    </w:p>
    <w:p w:rsidR="00ED6132" w:rsidRPr="001748D8" w:rsidRDefault="00ED6132" w:rsidP="00ED6132">
      <w:pPr>
        <w:rPr>
          <w:rFonts w:ascii="Calibri" w:eastAsia="Calibri" w:hAnsi="Calibri" w:cs="Times New Roman"/>
        </w:rPr>
      </w:pPr>
      <w:r w:rsidRPr="001748D8">
        <w:rPr>
          <w:rFonts w:ascii="Calibri" w:eastAsia="Calibri" w:hAnsi="Calibri" w:cs="Calibri"/>
        </w:rPr>
        <w:t>W ramach pozostałych zadań (z wykluczeniem zadań ZIT) można przyjąć, że p</w:t>
      </w:r>
      <w:r w:rsidRPr="001748D8">
        <w:rPr>
          <w:rFonts w:ascii="Calibri" w:eastAsia="Calibri" w:hAnsi="Calibri" w:cs="Times New Roman"/>
        </w:rPr>
        <w:t>ozyskanie środków zewnętrznych na współfinansowanie przedsięwzięć i działań szacuje się na poziomie ok. 60-70%.</w:t>
      </w:r>
    </w:p>
    <w:p w:rsidR="00B6001E" w:rsidRDefault="00C83112" w:rsidP="00B6001E">
      <w:pPr>
        <w:rPr>
          <w:rFonts w:ascii="Calibri" w:eastAsia="Calibri" w:hAnsi="Calibri" w:cs="Times New Roman"/>
        </w:rPr>
      </w:pPr>
      <w:r w:rsidRPr="001748D8">
        <w:rPr>
          <w:rFonts w:ascii="Calibri" w:eastAsia="Calibri" w:hAnsi="Calibri" w:cs="Times New Roman"/>
        </w:rPr>
        <w:lastRenderedPageBreak/>
        <w:t xml:space="preserve">Wykonalność finansowa zintegrowanych inwestycji terytorialnych została oparta o środki własne JST oraz EFRR i EFS+ w ramach programu Fundusze Europejskie dla Lubelskiego na lata 2021-2030. Horyzont czasowy założonych działań obejmuje rok 2030. Skala wydatków związana z realizacją przedsięwzięć ZIT Strategii rozwoju ponadlokalnego Hrubieszowskiego Obszaru Funkcjonalnego to </w:t>
      </w:r>
      <w:r w:rsidR="00B0129B" w:rsidRPr="001748D8">
        <w:rPr>
          <w:rFonts w:ascii="Calibri" w:eastAsia="Calibri" w:hAnsi="Calibri" w:cs="Times New Roman"/>
        </w:rPr>
        <w:t>7,89</w:t>
      </w:r>
      <w:r w:rsidRPr="001748D8">
        <w:rPr>
          <w:rFonts w:ascii="Calibri" w:eastAsia="Calibri" w:hAnsi="Calibri" w:cs="Times New Roman"/>
        </w:rPr>
        <w:t xml:space="preserve"> mln euro, w podziale na lata realizacji jest to średnio kwota </w:t>
      </w:r>
      <w:r w:rsidR="00B0129B" w:rsidRPr="001748D8">
        <w:rPr>
          <w:rFonts w:ascii="Calibri" w:eastAsia="Calibri" w:hAnsi="Calibri" w:cs="Times New Roman"/>
        </w:rPr>
        <w:t>1,13</w:t>
      </w:r>
      <w:r w:rsidRPr="001748D8">
        <w:rPr>
          <w:rFonts w:ascii="Calibri" w:eastAsia="Calibri" w:hAnsi="Calibri" w:cs="Times New Roman"/>
        </w:rPr>
        <w:t xml:space="preserve"> mln euro rocznie. </w:t>
      </w:r>
      <w:r w:rsidR="00722BAB" w:rsidRPr="001748D8">
        <w:rPr>
          <w:rFonts w:ascii="Calibri" w:eastAsia="Calibri" w:hAnsi="Calibri" w:cs="Times New Roman"/>
        </w:rPr>
        <w:t xml:space="preserve">Wartość dofinansowania, to 6,71 mln euro. </w:t>
      </w:r>
      <w:r w:rsidRPr="001748D8">
        <w:rPr>
          <w:rFonts w:ascii="Calibri" w:eastAsia="Calibri" w:hAnsi="Calibri" w:cs="Times New Roman"/>
        </w:rPr>
        <w:t>Głównym i jednym źródłem finansowania przedsięwzięć zintegrowanych w ramach Strategii rozwoju ponadlokalnego Hrubieszowskiego Obszaru Funkcjonalnego na lata 2021 – 2030 są środki własne JST oraz program Fundusze Europejskie dla lubelskiego na lata 2021-2027. Dokładny plan finansowy zintegrowanych inwestycji terytorialnych został przedstawiony w załączniku: „Zarys Planu Działań ZIT”.</w:t>
      </w:r>
    </w:p>
    <w:p w:rsidR="00ED6132" w:rsidRPr="00ED6132" w:rsidRDefault="00ED6132" w:rsidP="00A13FA7">
      <w:pPr>
        <w:keepNext/>
        <w:keepLines/>
        <w:numPr>
          <w:ilvl w:val="1"/>
          <w:numId w:val="46"/>
        </w:numPr>
        <w:spacing w:before="200" w:after="0"/>
        <w:contextualSpacing/>
        <w:jc w:val="left"/>
        <w:outlineLvl w:val="1"/>
        <w:rPr>
          <w:rFonts w:ascii="Candara" w:eastAsia="Times New Roman" w:hAnsi="Candara" w:cs="Times New Roman"/>
          <w:b/>
          <w:bCs/>
          <w:color w:val="31B6FD"/>
          <w:sz w:val="26"/>
          <w:szCs w:val="26"/>
        </w:rPr>
      </w:pPr>
      <w:bookmarkStart w:id="84" w:name="_Toc138068788"/>
      <w:r w:rsidRPr="00ED6132">
        <w:rPr>
          <w:rFonts w:ascii="Candara" w:eastAsia="Times New Roman" w:hAnsi="Candara" w:cs="Times New Roman"/>
          <w:b/>
          <w:bCs/>
          <w:color w:val="31B6FD"/>
          <w:sz w:val="26"/>
          <w:szCs w:val="26"/>
        </w:rPr>
        <w:t>Proces monitoringu, ewaluacja i aktualizacja Strategii</w:t>
      </w:r>
      <w:bookmarkEnd w:id="84"/>
    </w:p>
    <w:p w:rsidR="00ED6132" w:rsidRPr="00ED6132" w:rsidRDefault="00ED6132" w:rsidP="00ED6132">
      <w:pPr>
        <w:pBdr>
          <w:bottom w:val="single" w:sz="4" w:space="4" w:color="31B6FD"/>
        </w:pBdr>
        <w:spacing w:before="200" w:after="280"/>
        <w:ind w:left="936" w:right="936" w:firstLine="357"/>
        <w:rPr>
          <w:rFonts w:ascii="Calibri" w:eastAsia="Calibri" w:hAnsi="Calibri" w:cs="Times New Roman"/>
          <w:b/>
          <w:bCs/>
          <w:i/>
          <w:iCs/>
          <w:color w:val="31B6FD"/>
        </w:rPr>
      </w:pPr>
      <w:r w:rsidRPr="00ED6132">
        <w:rPr>
          <w:rFonts w:ascii="Calibri" w:eastAsia="Calibri" w:hAnsi="Calibri" w:cs="Times New Roman"/>
          <w:b/>
          <w:bCs/>
          <w:i/>
          <w:iCs/>
          <w:color w:val="31B6FD"/>
        </w:rPr>
        <w:t>Zasady przeprowadzenia monitoringu i aktualizacji Strategii</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Zapewnienie właściwego poziomu monitorowania procesu wdrażania Strategii rozwoju ponadlokalnego Hrubieszowskiego Obszaru Funkcjonalnego na lata 2021 – 2030 wymaga określenia założeń, zasad i uruchomienia systemu monitoringu. Celem systemu monitorowania Strategii jest weryfikacja skuteczności działań określonych w ramach celów strategicznych ujętych w dokumencie – ich produktów i rezultatów. Monitoring stanowi narzędzie zarządzania umożliwiające efektywne planowanie i wydatkowanie środków finansowych, okresową ocenę i dostosowanie podejmowanych działań do zmieniających się warunków społeczno-gospodarczych i zdiagnozowanych potrzeb. </w:t>
      </w:r>
    </w:p>
    <w:p w:rsidR="00ED6132" w:rsidRPr="00ED6132" w:rsidRDefault="00ED6132" w:rsidP="00ED6132">
      <w:pPr>
        <w:rPr>
          <w:rFonts w:ascii="Calibri" w:eastAsia="Calibri" w:hAnsi="Calibri" w:cs="Times New Roman"/>
        </w:rPr>
      </w:pPr>
      <w:r w:rsidRPr="00ED6132">
        <w:rPr>
          <w:rFonts w:ascii="Calibri" w:eastAsia="Calibri" w:hAnsi="Calibri" w:cs="Times New Roman"/>
        </w:rPr>
        <w:t>Zgodnie z przyjętą definicją: monitoring to stała obserwacja ilościowych oraz jakościowych zmian pewnych wielkości, mająca na celu pozyskanie informacji na temat stopnia realizacji zamierzonych zadań i celów oraz ich ewentualną modyfikację. Służy on badaniu i ocenie sposobu dochodzenia do wyznaczonych celów, a także poziomu ich osiągania. Dlatego też monitoring realizacji Strategii prowadzony będzie w odniesieniu do wskaźników produktów i rezultatów mających swoje źródło w efektach poszczególnych zadań. Niniejsze wskaźniki zaprezentowano w tabeli zamieszczonej w dalszej części rozdziału.</w:t>
      </w:r>
    </w:p>
    <w:p w:rsidR="00ED6132" w:rsidRPr="00ED6132" w:rsidRDefault="00ED6132" w:rsidP="00ED6132">
      <w:pPr>
        <w:keepNext/>
        <w:spacing w:line="240" w:lineRule="auto"/>
        <w:rPr>
          <w:rFonts w:ascii="Calibri" w:eastAsia="Calibri" w:hAnsi="Calibri" w:cs="Times New Roman"/>
          <w:b/>
          <w:bCs/>
          <w:color w:val="00B0F0"/>
          <w:sz w:val="18"/>
          <w:szCs w:val="18"/>
        </w:rPr>
      </w:pPr>
      <w:bookmarkStart w:id="85" w:name="_Toc138068520"/>
      <w:r w:rsidRPr="00ED6132">
        <w:rPr>
          <w:rFonts w:ascii="Calibri" w:eastAsia="Calibri" w:hAnsi="Calibri" w:cs="Times New Roman"/>
          <w:b/>
          <w:bCs/>
          <w:color w:val="00B0F0"/>
          <w:sz w:val="18"/>
          <w:szCs w:val="18"/>
        </w:rPr>
        <w:lastRenderedPageBreak/>
        <w:t xml:space="preserve">Ryc.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Ryc.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24</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Podmioty biorące udział w procesie monitorowania i ewaluacji realizacji Strategii</w:t>
      </w:r>
      <w:bookmarkEnd w:id="85"/>
    </w:p>
    <w:p w:rsidR="00ED6132" w:rsidRPr="00ED6132" w:rsidRDefault="00ED6132" w:rsidP="00ED6132">
      <w:pPr>
        <w:ind w:firstLine="567"/>
        <w:rPr>
          <w:rFonts w:ascii="Calibri" w:eastAsia="Calibri" w:hAnsi="Calibri" w:cs="Times New Roman"/>
        </w:rPr>
      </w:pPr>
      <w:r w:rsidRPr="00ED6132">
        <w:rPr>
          <w:rFonts w:ascii="Calibri" w:eastAsia="Calibri" w:hAnsi="Calibri" w:cs="Times New Roman"/>
          <w:noProof/>
          <w:lang w:eastAsia="pl-PL"/>
        </w:rPr>
        <w:drawing>
          <wp:inline distT="0" distB="0" distL="0" distR="0" wp14:anchorId="70B06051" wp14:editId="396BECB3">
            <wp:extent cx="4895850" cy="4502150"/>
            <wp:effectExtent l="0" t="0" r="0" b="0"/>
            <wp:docPr id="87" name="Diagram 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rsidR="00ED6132" w:rsidRPr="00ED6132" w:rsidRDefault="00ED6132" w:rsidP="00ED6132">
      <w:pPr>
        <w:rPr>
          <w:rFonts w:ascii="Calibri" w:eastAsia="Calibri" w:hAnsi="Calibri" w:cs="Calibri"/>
        </w:rPr>
      </w:pPr>
      <w:r w:rsidRPr="00ED6132">
        <w:rPr>
          <w:rFonts w:ascii="Calibri" w:eastAsia="Calibri" w:hAnsi="Calibri" w:cs="Calibri"/>
        </w:rPr>
        <w:t>Do głównych obszarów objętych monitoringiem i ewaluacją należą:</w:t>
      </w:r>
    </w:p>
    <w:p w:rsidR="00ED6132" w:rsidRPr="00ED6132" w:rsidRDefault="00ED6132" w:rsidP="00A13FA7">
      <w:pPr>
        <w:numPr>
          <w:ilvl w:val="0"/>
          <w:numId w:val="56"/>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rPr>
        <w:t>analiza</w:t>
      </w:r>
      <w:proofErr w:type="gramEnd"/>
      <w:r w:rsidRPr="00ED6132">
        <w:rPr>
          <w:rFonts w:ascii="Calibri" w:eastAsia="Calibri" w:hAnsi="Calibri" w:cs="Times New Roman"/>
        </w:rPr>
        <w:t xml:space="preserve"> zmian społecznych, gospodarczych i środowiskowych zachodzących w granicach HOF;</w:t>
      </w:r>
    </w:p>
    <w:p w:rsidR="00ED6132" w:rsidRPr="00ED6132" w:rsidRDefault="00ED6132" w:rsidP="00A13FA7">
      <w:pPr>
        <w:numPr>
          <w:ilvl w:val="0"/>
          <w:numId w:val="56"/>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rPr>
        <w:t>obserwacja</w:t>
      </w:r>
      <w:proofErr w:type="gramEnd"/>
      <w:r w:rsidRPr="00ED6132">
        <w:rPr>
          <w:rFonts w:ascii="Calibri" w:eastAsia="Calibri" w:hAnsi="Calibri" w:cs="Times New Roman"/>
        </w:rPr>
        <w:t xml:space="preserve"> zmian zachodzących w ramach poszczególnych obszarów strategicznych i przypisanych im celów operacyjnych, które zostały wyznaczone w strategii;</w:t>
      </w:r>
    </w:p>
    <w:p w:rsidR="00ED6132" w:rsidRPr="00ED6132" w:rsidRDefault="00ED6132" w:rsidP="00A13FA7">
      <w:pPr>
        <w:numPr>
          <w:ilvl w:val="0"/>
          <w:numId w:val="56"/>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rPr>
        <w:t>identyfikacja</w:t>
      </w:r>
      <w:proofErr w:type="gramEnd"/>
      <w:r w:rsidRPr="00ED6132">
        <w:rPr>
          <w:rFonts w:ascii="Calibri" w:eastAsia="Calibri" w:hAnsi="Calibri" w:cs="Times New Roman"/>
        </w:rPr>
        <w:t xml:space="preserve"> nowych uwarunkowań związanych z wyznaczonymi celami i formułowanie rekomendacji dotyczących zamierzeń w nich określonych;</w:t>
      </w:r>
    </w:p>
    <w:p w:rsidR="00ED6132" w:rsidRPr="00ED6132" w:rsidRDefault="00ED6132" w:rsidP="00A13FA7">
      <w:pPr>
        <w:numPr>
          <w:ilvl w:val="0"/>
          <w:numId w:val="56"/>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rPr>
        <w:t>formułowanie</w:t>
      </w:r>
      <w:proofErr w:type="gramEnd"/>
      <w:r w:rsidRPr="00ED6132">
        <w:rPr>
          <w:rFonts w:ascii="Calibri" w:eastAsia="Calibri" w:hAnsi="Calibri" w:cs="Times New Roman"/>
        </w:rPr>
        <w:t xml:space="preserve"> nowych prognoz i scenariuszy rozwoju HOF.</w:t>
      </w:r>
    </w:p>
    <w:p w:rsidR="00ED6132" w:rsidRPr="00ED6132" w:rsidRDefault="00ED6132" w:rsidP="00ED6132">
      <w:pPr>
        <w:rPr>
          <w:rFonts w:ascii="Calibri" w:eastAsia="Calibri" w:hAnsi="Calibri" w:cs="Times New Roman"/>
        </w:rPr>
      </w:pPr>
      <w:r w:rsidRPr="00ED6132">
        <w:rPr>
          <w:rFonts w:ascii="Calibri" w:eastAsia="Calibri" w:hAnsi="Calibri" w:cs="Times New Roman"/>
        </w:rPr>
        <w:t>Efektywnej sprawozdawczości służyć będą podstawowe instrumenty w postaci raportów, a wdrożenie raportowania odpowiadać będzie na potrzeby Rady Porozumienia – w postaci rekomendacji i w formie informacji.</w:t>
      </w:r>
    </w:p>
    <w:p w:rsidR="00ED6132" w:rsidRPr="00ED6132" w:rsidRDefault="00ED6132" w:rsidP="00ED6132">
      <w:pPr>
        <w:keepNext/>
        <w:spacing w:after="0" w:line="240" w:lineRule="auto"/>
        <w:ind w:left="720" w:firstLine="0"/>
        <w:jc w:val="center"/>
        <w:rPr>
          <w:rFonts w:ascii="Calibri" w:eastAsia="Calibri" w:hAnsi="Calibri" w:cs="Times New Roman"/>
          <w:b/>
          <w:bCs/>
          <w:color w:val="00B0F0"/>
          <w:sz w:val="18"/>
          <w:szCs w:val="18"/>
        </w:rPr>
      </w:pPr>
      <w:bookmarkStart w:id="86" w:name="_Toc138068521"/>
      <w:r w:rsidRPr="00ED6132">
        <w:rPr>
          <w:rFonts w:ascii="Calibri" w:eastAsia="Calibri" w:hAnsi="Calibri" w:cs="Times New Roman"/>
          <w:b/>
          <w:bCs/>
          <w:color w:val="00B0F0"/>
          <w:sz w:val="18"/>
          <w:szCs w:val="18"/>
        </w:rPr>
        <w:lastRenderedPageBreak/>
        <w:t xml:space="preserve">Ryc.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Ryc.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25</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xml:space="preserve"> Schemat funkcjonowania systemu wdrażania strategii</w:t>
      </w:r>
      <w:bookmarkEnd w:id="86"/>
    </w:p>
    <w:p w:rsidR="00ED6132" w:rsidRPr="00ED6132" w:rsidRDefault="00ED6132" w:rsidP="00ED6132">
      <w:pPr>
        <w:spacing w:after="0"/>
        <w:ind w:left="720" w:firstLine="0"/>
        <w:contextualSpacing/>
        <w:rPr>
          <w:rFonts w:ascii="Calibri" w:eastAsia="Calibri" w:hAnsi="Calibri" w:cs="Times New Roman"/>
        </w:rPr>
      </w:pPr>
      <w:r w:rsidRPr="00ED6132">
        <w:rPr>
          <w:rFonts w:ascii="Calibri" w:eastAsia="Calibri" w:hAnsi="Calibri" w:cs="Times New Roman"/>
          <w:noProof/>
          <w:lang w:eastAsia="pl-PL"/>
        </w:rPr>
        <w:drawing>
          <wp:inline distT="0" distB="0" distL="0" distR="0" wp14:anchorId="7C6470CE" wp14:editId="3448909D">
            <wp:extent cx="5034173" cy="3625850"/>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ces wdrażania strategii1.jpg"/>
                    <pic:cNvPicPr/>
                  </pic:nvPicPr>
                  <pic:blipFill rotWithShape="1">
                    <a:blip r:embed="rId116">
                      <a:extLst>
                        <a:ext uri="{28A0092B-C50C-407E-A947-70E740481C1C}">
                          <a14:useLocalDpi xmlns:a14="http://schemas.microsoft.com/office/drawing/2010/main" val="0"/>
                        </a:ext>
                      </a:extLst>
                    </a:blip>
                    <a:srcRect l="12108" t="9746" r="15359" b="53307"/>
                    <a:stretch/>
                  </pic:blipFill>
                  <pic:spPr bwMode="auto">
                    <a:xfrm>
                      <a:off x="0" y="0"/>
                      <a:ext cx="5041914" cy="3631425"/>
                    </a:xfrm>
                    <a:prstGeom prst="rect">
                      <a:avLst/>
                    </a:prstGeom>
                    <a:ln>
                      <a:noFill/>
                    </a:ln>
                    <a:extLst>
                      <a:ext uri="{53640926-AAD7-44D8-BBD7-CCE9431645EC}">
                        <a14:shadowObscured xmlns:a14="http://schemas.microsoft.com/office/drawing/2010/main"/>
                      </a:ext>
                    </a:extLst>
                  </pic:spPr>
                </pic:pic>
              </a:graphicData>
            </a:graphic>
          </wp:inline>
        </w:drawing>
      </w:r>
    </w:p>
    <w:p w:rsidR="00ED6132" w:rsidRPr="00ED6132" w:rsidRDefault="00ED6132" w:rsidP="00ED6132">
      <w:pPr>
        <w:rPr>
          <w:rFonts w:ascii="Calibri" w:eastAsia="Calibri" w:hAnsi="Calibri" w:cs="Calibri"/>
        </w:rPr>
      </w:pPr>
      <w:r w:rsidRPr="00ED6132">
        <w:rPr>
          <w:rFonts w:ascii="Calibri" w:eastAsia="Calibri" w:hAnsi="Calibri" w:cs="Calibri"/>
        </w:rPr>
        <w:t xml:space="preserve">Podstawowe narzędzie procesu monitoringu stanowi </w:t>
      </w:r>
      <w:r w:rsidRPr="00ED6132">
        <w:rPr>
          <w:rFonts w:ascii="Calibri" w:eastAsia="Calibri" w:hAnsi="Calibri" w:cs="Calibri"/>
          <w:b/>
        </w:rPr>
        <w:t xml:space="preserve">Raport z realizacji </w:t>
      </w:r>
      <w:r w:rsidRPr="00ED6132">
        <w:rPr>
          <w:rFonts w:ascii="Calibri" w:eastAsia="Calibri" w:hAnsi="Calibri" w:cs="Times New Roman"/>
          <w:b/>
          <w:bCs/>
        </w:rPr>
        <w:t xml:space="preserve">Strategii rozwoju ponadlokalnego Hrubieszowskiego Obszaru Funkcjonalnego na lata 2021 – 2030, </w:t>
      </w:r>
      <w:r w:rsidRPr="00ED6132">
        <w:rPr>
          <w:rFonts w:ascii="Calibri" w:eastAsia="Calibri" w:hAnsi="Calibri" w:cs="Times New Roman"/>
          <w:bCs/>
        </w:rPr>
        <w:t xml:space="preserve">który będzie </w:t>
      </w:r>
      <w:r w:rsidRPr="00ED6132">
        <w:rPr>
          <w:rFonts w:ascii="Calibri" w:eastAsia="Calibri" w:hAnsi="Calibri" w:cs="Times New Roman"/>
        </w:rPr>
        <w:t xml:space="preserve">przygotowywany w cyklu corocznym. Jednostką odpowiedzialną za przygotowanie raportu będzie </w:t>
      </w:r>
      <w:r w:rsidRPr="00ED6132">
        <w:rPr>
          <w:rFonts w:ascii="Calibri" w:eastAsia="Calibri" w:hAnsi="Calibri" w:cs="Calibri"/>
        </w:rPr>
        <w:t>powołana w tym celu odrębna grupa zadaniowa/ grupy zadaniowe odpowiedzialna/e za monitoring, ewaluację i aktualizację Strategii oraz jej uspołecznienie.</w:t>
      </w:r>
    </w:p>
    <w:p w:rsidR="00ED6132" w:rsidRPr="00ED6132" w:rsidRDefault="00ED6132" w:rsidP="00ED6132">
      <w:pPr>
        <w:rPr>
          <w:rFonts w:ascii="Calibri" w:eastAsia="Calibri" w:hAnsi="Calibri" w:cs="Times New Roman"/>
        </w:rPr>
      </w:pPr>
      <w:r w:rsidRPr="00ED6132">
        <w:rPr>
          <w:rFonts w:ascii="Calibri" w:eastAsia="Calibri" w:hAnsi="Calibri" w:cs="Times New Roman"/>
          <w:color w:val="FF0000"/>
        </w:rPr>
        <w:t xml:space="preserve"> </w:t>
      </w:r>
      <w:r w:rsidRPr="00ED6132">
        <w:rPr>
          <w:rFonts w:ascii="Calibri" w:eastAsia="Calibri" w:hAnsi="Calibri" w:cs="Times New Roman"/>
        </w:rPr>
        <w:t>Dokument ten będzie powstawał w oparciu o dane pochodzące ze statystyki ogólnej (GUS, BDL) oraz informacji od podmiotów bezpośrednio odpowiedzialnych za wdrażanie przedsięwzięć/działań w ramach Strategii (w tym od Kierowników Grup Zadaniowych i członków Grup Zadaniowych). Sporządzany corocznie Raport monitoringowy będzie zawierać pełne sprawozdanie z realizacji Strategii w oparciu o wskaźniki monitoringowe, których wartość będzie wskazywać na stan realizacji dokumentu i stanowić podstawę do podejmowania ewentualnych działań korygujących. Raport stanowić będzie również podstawę do wszelkich prac związanych z aktualizacją Strategii, w tym także przedłużających okres jej obowiązywania na kolejne lata.</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Efektywne monitorowanie procesu wdrażania Strategii zapewni właściwy dobór wskaźników, mierzalnych i dostępnych w statystyce publicznej i wewnętrznych źródłach danych gmin. Wskaźniki definiowane są, jako mierzalne mierniki osiągniętego efektu w realizacji wyznaczonego celu. Wskaźnik powinien składać się z nazwy identyfikującej jego zakres, wartości oraz jednostki miary. Wyróżniamy: </w:t>
      </w:r>
    </w:p>
    <w:p w:rsidR="000C66D1" w:rsidRPr="001E4970" w:rsidRDefault="000C66D1" w:rsidP="00A13FA7">
      <w:pPr>
        <w:pStyle w:val="Akapitzlist"/>
        <w:numPr>
          <w:ilvl w:val="0"/>
          <w:numId w:val="79"/>
        </w:numPr>
        <w:ind w:left="567"/>
        <w:rPr>
          <w:b/>
          <w:bCs/>
          <w:szCs w:val="24"/>
        </w:rPr>
      </w:pPr>
      <w:proofErr w:type="gramStart"/>
      <w:r w:rsidRPr="001E4970">
        <w:rPr>
          <w:b/>
          <w:bCs/>
          <w:szCs w:val="24"/>
        </w:rPr>
        <w:t>wskaźniki</w:t>
      </w:r>
      <w:proofErr w:type="gramEnd"/>
      <w:r w:rsidRPr="001E4970">
        <w:rPr>
          <w:b/>
          <w:bCs/>
          <w:szCs w:val="24"/>
        </w:rPr>
        <w:t xml:space="preserve"> oddziaływania </w:t>
      </w:r>
      <w:r w:rsidRPr="001E4970">
        <w:rPr>
          <w:bCs/>
          <w:szCs w:val="24"/>
        </w:rPr>
        <w:t xml:space="preserve">- oceniają efekty w dłuższej perspektywie, czyli nie bezpośrednio po zakończeniu przedsięwzięcia, ich celem jest pokazanie trwałych </w:t>
      </w:r>
      <w:r w:rsidR="00D65813" w:rsidRPr="001E4970">
        <w:rPr>
          <w:bCs/>
          <w:szCs w:val="24"/>
        </w:rPr>
        <w:t>zmian, jakie</w:t>
      </w:r>
      <w:r w:rsidRPr="001E4970">
        <w:rPr>
          <w:bCs/>
          <w:szCs w:val="24"/>
        </w:rPr>
        <w:t xml:space="preserve"> spowodowały inwestycje w otoczeniu społeczno-ekonomicznym.</w:t>
      </w:r>
    </w:p>
    <w:p w:rsidR="00ED6132" w:rsidRPr="00ED6132" w:rsidRDefault="00ED6132" w:rsidP="00A13FA7">
      <w:pPr>
        <w:numPr>
          <w:ilvl w:val="0"/>
          <w:numId w:val="79"/>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b/>
        </w:rPr>
        <w:lastRenderedPageBreak/>
        <w:t>wskaźniki</w:t>
      </w:r>
      <w:proofErr w:type="gramEnd"/>
      <w:r w:rsidRPr="00ED6132">
        <w:rPr>
          <w:rFonts w:ascii="Calibri" w:eastAsia="Calibri" w:hAnsi="Calibri" w:cs="Times New Roman"/>
          <w:b/>
        </w:rPr>
        <w:t xml:space="preserve"> produktu</w:t>
      </w:r>
      <w:r w:rsidRPr="00ED6132">
        <w:rPr>
          <w:rFonts w:ascii="Calibri" w:eastAsia="Calibri" w:hAnsi="Calibri" w:cs="Times New Roman"/>
        </w:rPr>
        <w:t xml:space="preserve"> – bezpośrednie wytwory materialne i usługi, które są otrzymywane lub wytwarzane w trakcie realizacji przedsięwzięcia/działania przy wykorzystaniu zaangażowanych zasobów (głównie finansowych) mierzonych wskaźnikami wkładu. </w:t>
      </w:r>
    </w:p>
    <w:p w:rsidR="00ED6132" w:rsidRPr="00A13D1F" w:rsidRDefault="00FC36FD" w:rsidP="00A13FA7">
      <w:pPr>
        <w:pStyle w:val="Akapitzlist"/>
        <w:numPr>
          <w:ilvl w:val="0"/>
          <w:numId w:val="79"/>
        </w:numPr>
        <w:ind w:left="567"/>
      </w:pPr>
      <w:proofErr w:type="gramStart"/>
      <w:r w:rsidRPr="00E55029">
        <w:rPr>
          <w:b/>
        </w:rPr>
        <w:t>wskaźniki</w:t>
      </w:r>
      <w:proofErr w:type="gramEnd"/>
      <w:r w:rsidRPr="00E55029">
        <w:rPr>
          <w:b/>
        </w:rPr>
        <w:t xml:space="preserve"> rezultatu </w:t>
      </w:r>
      <w:r w:rsidRPr="00795E41">
        <w:t>– bezpośrednie i natychmiastowe efekty przedsięwzięć/działań, zmiany, jakie nastąpiły w wyniku ich wdrożenia</w:t>
      </w:r>
      <w:r w:rsidR="00A13D1F">
        <w:t>.</w:t>
      </w:r>
    </w:p>
    <w:p w:rsidR="009F7157" w:rsidRDefault="009F7157" w:rsidP="009F7157">
      <w:pPr>
        <w:rPr>
          <w:rFonts w:ascii="Calibri" w:eastAsia="Calibri" w:hAnsi="Calibri" w:cs="Times New Roman"/>
        </w:rPr>
      </w:pPr>
      <w:r w:rsidRPr="001748D8">
        <w:rPr>
          <w:rFonts w:ascii="Calibri" w:eastAsia="Calibri" w:hAnsi="Calibri" w:cs="Times New Roman"/>
        </w:rPr>
        <w:t xml:space="preserve">Doprecyzowanie zasad procedury sprawozdawczej i monitoringowej przedsięwzięć ZIT znajduje się w załączniku </w:t>
      </w:r>
      <w:r w:rsidRPr="001748D8">
        <w:rPr>
          <w:rFonts w:ascii="Calibri" w:eastAsia="Calibri" w:hAnsi="Calibri" w:cs="Times New Roman"/>
          <w:i/>
        </w:rPr>
        <w:t>„Zarys planu działań ZIT”.</w:t>
      </w:r>
    </w:p>
    <w:p w:rsidR="000C66D1" w:rsidRPr="000C66D1" w:rsidRDefault="000C66D1" w:rsidP="000C66D1">
      <w:pPr>
        <w:spacing w:before="0"/>
        <w:ind w:firstLine="0"/>
        <w:jc w:val="left"/>
        <w:rPr>
          <w:rFonts w:eastAsia="Calibri" w:cs="Times New Roman"/>
        </w:rPr>
        <w:sectPr w:rsidR="000C66D1" w:rsidRPr="000C66D1" w:rsidSect="00ED6132">
          <w:pgSz w:w="11906" w:h="16838"/>
          <w:pgMar w:top="1417" w:right="1417" w:bottom="1417" w:left="1417" w:header="708" w:footer="708" w:gutter="0"/>
          <w:cols w:space="708"/>
          <w:docGrid w:linePitch="360"/>
        </w:sectPr>
      </w:pPr>
    </w:p>
    <w:p w:rsidR="00ED6132" w:rsidRDefault="00ED6132" w:rsidP="00ED6132">
      <w:pPr>
        <w:keepNext/>
        <w:spacing w:after="0" w:line="240" w:lineRule="auto"/>
        <w:rPr>
          <w:rFonts w:ascii="Calibri" w:eastAsia="Calibri" w:hAnsi="Calibri" w:cs="Times New Roman"/>
          <w:b/>
          <w:bCs/>
          <w:color w:val="00B0F0"/>
          <w:sz w:val="18"/>
          <w:szCs w:val="18"/>
        </w:rPr>
      </w:pPr>
      <w:bookmarkStart w:id="87" w:name="_Toc138068543"/>
      <w:r w:rsidRPr="00ED6132">
        <w:rPr>
          <w:rFonts w:ascii="Calibri" w:eastAsia="Calibri" w:hAnsi="Calibri" w:cs="Times New Roman"/>
          <w:b/>
          <w:bCs/>
          <w:color w:val="00B0F0"/>
          <w:sz w:val="18"/>
          <w:szCs w:val="18"/>
        </w:rPr>
        <w:lastRenderedPageBreak/>
        <w:t xml:space="preserve">Tabela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Tabela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13</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Wskaźniki monitoringowe Strategii rozwoju ponadlokalnego Hrubieszowskiego Obszaru Funkcjonalnego na lata 2021 – 2030</w:t>
      </w:r>
      <w:bookmarkEnd w:id="87"/>
    </w:p>
    <w:tbl>
      <w:tblPr>
        <w:tblStyle w:val="Jasnasiatkaakcent2"/>
        <w:tblpPr w:leftFromText="141" w:rightFromText="141" w:vertAnchor="text" w:tblpX="182" w:tblpY="1"/>
        <w:tblW w:w="13858" w:type="dxa"/>
        <w:tblLook w:val="04A0" w:firstRow="1" w:lastRow="0" w:firstColumn="1" w:lastColumn="0" w:noHBand="0" w:noVBand="1"/>
      </w:tblPr>
      <w:tblGrid>
        <w:gridCol w:w="6204"/>
        <w:gridCol w:w="2551"/>
        <w:gridCol w:w="1701"/>
        <w:gridCol w:w="1701"/>
        <w:gridCol w:w="1701"/>
      </w:tblGrid>
      <w:tr w:rsidR="00094CC4" w:rsidRPr="000C66D1" w:rsidTr="00094C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vAlign w:val="center"/>
          </w:tcPr>
          <w:p w:rsidR="00094CC4" w:rsidRPr="000C66D1" w:rsidRDefault="00094CC4" w:rsidP="00CB54E2">
            <w:pPr>
              <w:tabs>
                <w:tab w:val="left" w:pos="6555"/>
              </w:tabs>
              <w:ind w:right="34" w:firstLine="0"/>
              <w:jc w:val="center"/>
              <w:rPr>
                <w:rFonts w:asciiTheme="minorHAnsi" w:hAnsiTheme="minorHAnsi" w:cstheme="minorHAnsi"/>
                <w:sz w:val="20"/>
                <w:szCs w:val="20"/>
              </w:rPr>
            </w:pPr>
            <w:r w:rsidRPr="000C66D1">
              <w:rPr>
                <w:rFonts w:asciiTheme="minorHAnsi" w:hAnsiTheme="minorHAnsi" w:cstheme="minorHAnsi"/>
                <w:sz w:val="20"/>
                <w:szCs w:val="20"/>
              </w:rPr>
              <w:t>Nazwa wskaźnika oddziaływania</w:t>
            </w:r>
          </w:p>
        </w:tc>
        <w:tc>
          <w:tcPr>
            <w:tcW w:w="2551" w:type="dxa"/>
            <w:vAlign w:val="center"/>
          </w:tcPr>
          <w:p w:rsidR="00094CC4" w:rsidRPr="000C66D1" w:rsidRDefault="00094CC4" w:rsidP="00CB54E2">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C66D1">
              <w:rPr>
                <w:rFonts w:asciiTheme="minorHAnsi" w:hAnsiTheme="minorHAnsi" w:cstheme="minorHAnsi"/>
                <w:sz w:val="20"/>
                <w:szCs w:val="20"/>
              </w:rPr>
              <w:t>Podmioty odpowiedzialne za przekazanie danych monitoringowych</w:t>
            </w:r>
          </w:p>
        </w:tc>
        <w:tc>
          <w:tcPr>
            <w:tcW w:w="1701" w:type="dxa"/>
            <w:vAlign w:val="center"/>
          </w:tcPr>
          <w:p w:rsidR="00094CC4" w:rsidRPr="000C66D1" w:rsidRDefault="00094CC4" w:rsidP="00CB54E2">
            <w:pPr>
              <w:tabs>
                <w:tab w:val="left" w:pos="2048"/>
              </w:tabs>
              <w:ind w:right="41"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C66D1">
              <w:rPr>
                <w:rFonts w:asciiTheme="minorHAnsi" w:hAnsiTheme="minorHAnsi" w:cstheme="minorHAnsi"/>
                <w:sz w:val="20"/>
                <w:szCs w:val="20"/>
              </w:rPr>
              <w:t>Kierunek zmian do 2030 roku</w:t>
            </w:r>
          </w:p>
        </w:tc>
        <w:tc>
          <w:tcPr>
            <w:tcW w:w="1701" w:type="dxa"/>
            <w:vAlign w:val="center"/>
          </w:tcPr>
          <w:p w:rsidR="00094CC4" w:rsidRPr="00094CC4" w:rsidRDefault="00094CC4" w:rsidP="00CB54E2">
            <w:pPr>
              <w:tabs>
                <w:tab w:val="left" w:pos="2048"/>
              </w:tabs>
              <w:ind w:right="41"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Cs w:val="0"/>
                <w:sz w:val="20"/>
                <w:szCs w:val="20"/>
              </w:rPr>
            </w:pPr>
            <w:r w:rsidRPr="00094CC4">
              <w:rPr>
                <w:rFonts w:asciiTheme="minorHAnsi" w:hAnsiTheme="minorHAnsi" w:cstheme="minorHAnsi"/>
                <w:bCs w:val="0"/>
                <w:sz w:val="20"/>
                <w:szCs w:val="20"/>
              </w:rPr>
              <w:t>Wartość bazowa (2019)</w:t>
            </w:r>
          </w:p>
        </w:tc>
        <w:tc>
          <w:tcPr>
            <w:tcW w:w="1701" w:type="dxa"/>
            <w:vAlign w:val="center"/>
          </w:tcPr>
          <w:p w:rsidR="00094CC4" w:rsidRPr="000C66D1" w:rsidRDefault="00D65813" w:rsidP="00CB54E2">
            <w:pPr>
              <w:tabs>
                <w:tab w:val="left" w:pos="2295"/>
              </w:tabs>
              <w:ind w:right="11"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C66D1">
              <w:rPr>
                <w:rFonts w:asciiTheme="minorHAnsi" w:hAnsiTheme="minorHAnsi" w:cstheme="minorHAnsi"/>
                <w:sz w:val="20"/>
                <w:szCs w:val="20"/>
              </w:rPr>
              <w:t>Źródło danych</w:t>
            </w:r>
          </w:p>
        </w:tc>
      </w:tr>
      <w:tr w:rsidR="00094CC4" w:rsidRPr="000C66D1" w:rsidTr="00094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3"/>
          </w:tcPr>
          <w:p w:rsidR="00094CC4" w:rsidRPr="000C66D1" w:rsidRDefault="00094CC4" w:rsidP="000C66D1">
            <w:pPr>
              <w:spacing w:before="0"/>
              <w:ind w:firstLine="0"/>
              <w:jc w:val="center"/>
              <w:rPr>
                <w:rFonts w:asciiTheme="minorHAnsi" w:hAnsiTheme="minorHAnsi" w:cstheme="minorHAnsi"/>
                <w:sz w:val="20"/>
                <w:szCs w:val="20"/>
              </w:rPr>
            </w:pPr>
            <w:r w:rsidRPr="00ED6132">
              <w:rPr>
                <w:rFonts w:cs="Calibri"/>
                <w:sz w:val="18"/>
                <w:szCs w:val="18"/>
              </w:rPr>
              <w:t>Cel strategiczny</w:t>
            </w:r>
            <w:r>
              <w:rPr>
                <w:rFonts w:cs="Calibri"/>
                <w:sz w:val="18"/>
                <w:szCs w:val="18"/>
              </w:rPr>
              <w:t xml:space="preserve"> </w:t>
            </w:r>
            <w:r w:rsidRPr="00ED6132">
              <w:rPr>
                <w:sz w:val="20"/>
                <w:szCs w:val="20"/>
              </w:rPr>
              <w:t xml:space="preserve">1. </w:t>
            </w:r>
            <w:proofErr w:type="gramStart"/>
            <w:r w:rsidRPr="00ED6132">
              <w:rPr>
                <w:sz w:val="20"/>
                <w:szCs w:val="20"/>
              </w:rPr>
              <w:t>LEPSZA JAKOŚĆ</w:t>
            </w:r>
            <w:proofErr w:type="gramEnd"/>
            <w:r w:rsidRPr="00ED6132">
              <w:rPr>
                <w:sz w:val="20"/>
                <w:szCs w:val="20"/>
              </w:rPr>
              <w:t xml:space="preserve"> ŻYCIA I ZINTEGROWANA SPOŁECZNOŚĆ LOKALNA</w:t>
            </w:r>
          </w:p>
        </w:tc>
        <w:tc>
          <w:tcPr>
            <w:tcW w:w="3402" w:type="dxa"/>
            <w:gridSpan w:val="2"/>
          </w:tcPr>
          <w:p w:rsidR="00094CC4" w:rsidRPr="000C66D1" w:rsidRDefault="00094CC4" w:rsidP="000C66D1">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sz w:val="20"/>
                <w:szCs w:val="20"/>
              </w:rPr>
            </w:pPr>
          </w:p>
        </w:tc>
      </w:tr>
      <w:tr w:rsidR="00094CC4"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rsidR="00094CC4" w:rsidRPr="000C66D1" w:rsidRDefault="00D65813" w:rsidP="00094CC4">
            <w:pPr>
              <w:ind w:right="34" w:firstLine="0"/>
              <w:jc w:val="left"/>
              <w:rPr>
                <w:rFonts w:asciiTheme="minorHAnsi" w:hAnsiTheme="minorHAnsi" w:cstheme="minorHAnsi"/>
                <w:b w:val="0"/>
                <w:sz w:val="20"/>
                <w:szCs w:val="20"/>
              </w:rPr>
            </w:pPr>
            <w:r w:rsidRPr="000C66D1">
              <w:rPr>
                <w:rFonts w:asciiTheme="minorHAnsi" w:hAnsiTheme="minorHAnsi" w:cstheme="minorHAnsi"/>
                <w:b w:val="0"/>
                <w:sz w:val="20"/>
                <w:szCs w:val="20"/>
              </w:rPr>
              <w:t>Udział ludności w wieku produkcyjnym w ludności ogółem (%)</w:t>
            </w:r>
          </w:p>
        </w:tc>
        <w:tc>
          <w:tcPr>
            <w:tcW w:w="2551" w:type="dxa"/>
          </w:tcPr>
          <w:p w:rsidR="00094CC4" w:rsidRPr="000C66D1" w:rsidRDefault="00094CC4" w:rsidP="000C66D1">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Calibri"/>
                <w:color w:val="000000"/>
                <w:sz w:val="20"/>
                <w:szCs w:val="20"/>
              </w:rPr>
              <w:t>Gmina Miejska Hrubieszów, Gmina Hrubieszów</w:t>
            </w:r>
          </w:p>
        </w:tc>
        <w:tc>
          <w:tcPr>
            <w:tcW w:w="1701" w:type="dxa"/>
          </w:tcPr>
          <w:p w:rsidR="00094CC4" w:rsidRPr="000C66D1" w:rsidRDefault="00094CC4" w:rsidP="000C66D1">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Times New Roman"/>
                <w:noProof/>
                <w:lang w:eastAsia="pl-PL"/>
              </w:rPr>
              <w:drawing>
                <wp:inline distT="0" distB="0" distL="0" distR="0" wp14:anchorId="017DA0E6" wp14:editId="4B9241E4">
                  <wp:extent cx="261110" cy="171232"/>
                  <wp:effectExtent l="6985" t="0" r="0" b="0"/>
                  <wp:docPr id="685" name="Obraz 685"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rsidR="00094CC4" w:rsidRPr="000C66D1"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60,47%</w:t>
            </w:r>
          </w:p>
        </w:tc>
        <w:tc>
          <w:tcPr>
            <w:tcW w:w="1701" w:type="dxa"/>
          </w:tcPr>
          <w:p w:rsidR="00094CC4" w:rsidRPr="000C66D1" w:rsidRDefault="00094CC4" w:rsidP="00094CC4">
            <w:pPr>
              <w:tabs>
                <w:tab w:val="left" w:pos="2295"/>
              </w:tabs>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0C66D1">
              <w:rPr>
                <w:rFonts w:cstheme="minorHAnsi"/>
                <w:sz w:val="20"/>
                <w:szCs w:val="20"/>
              </w:rPr>
              <w:t>BDL GUS</w:t>
            </w:r>
          </w:p>
        </w:tc>
      </w:tr>
      <w:tr w:rsidR="00094CC4" w:rsidRPr="000C66D1" w:rsidTr="00094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3"/>
          </w:tcPr>
          <w:p w:rsidR="00094CC4" w:rsidRPr="000C66D1" w:rsidRDefault="00094CC4" w:rsidP="000C66D1">
            <w:pPr>
              <w:spacing w:before="0"/>
              <w:ind w:firstLine="0"/>
              <w:jc w:val="center"/>
              <w:rPr>
                <w:rFonts w:asciiTheme="minorHAnsi" w:hAnsiTheme="minorHAnsi" w:cstheme="minorHAnsi"/>
                <w:sz w:val="20"/>
                <w:szCs w:val="20"/>
              </w:rPr>
            </w:pPr>
            <w:r w:rsidRPr="000C66D1">
              <w:rPr>
                <w:rFonts w:cs="Calibri"/>
                <w:sz w:val="20"/>
                <w:szCs w:val="20"/>
              </w:rPr>
              <w:t xml:space="preserve">Cel strategiczny </w:t>
            </w:r>
            <w:r w:rsidRPr="000C66D1">
              <w:rPr>
                <w:sz w:val="20"/>
                <w:szCs w:val="20"/>
              </w:rPr>
              <w:t>2. CZYSTE ŚRODOWISKO I ADAPTACJA DO ZMIAN KLIMATU</w:t>
            </w:r>
          </w:p>
        </w:tc>
        <w:tc>
          <w:tcPr>
            <w:tcW w:w="3402" w:type="dxa"/>
            <w:gridSpan w:val="2"/>
          </w:tcPr>
          <w:p w:rsidR="00094CC4" w:rsidRPr="000C66D1" w:rsidRDefault="00094CC4" w:rsidP="000C66D1">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sz w:val="20"/>
                <w:szCs w:val="20"/>
              </w:rPr>
            </w:pPr>
          </w:p>
        </w:tc>
      </w:tr>
      <w:tr w:rsidR="00094CC4"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vAlign w:val="center"/>
          </w:tcPr>
          <w:p w:rsidR="00094CC4" w:rsidRPr="000C66D1" w:rsidRDefault="00094CC4" w:rsidP="000C66D1">
            <w:pPr>
              <w:spacing w:before="0"/>
              <w:ind w:right="-249" w:firstLine="0"/>
              <w:jc w:val="left"/>
              <w:rPr>
                <w:rFonts w:asciiTheme="minorHAnsi" w:hAnsiTheme="minorHAnsi" w:cstheme="minorHAnsi"/>
                <w:b w:val="0"/>
                <w:sz w:val="20"/>
                <w:szCs w:val="20"/>
              </w:rPr>
            </w:pPr>
            <w:r w:rsidRPr="000C66D1">
              <w:rPr>
                <w:rFonts w:ascii="Calibri" w:eastAsia="Calibri" w:hAnsi="Calibri" w:cs="Times New Roman"/>
                <w:b w:val="0"/>
                <w:sz w:val="20"/>
              </w:rPr>
              <w:t>Odpady zebrane selektywnie w relacji do ogółu odpadów (%)</w:t>
            </w:r>
          </w:p>
        </w:tc>
        <w:tc>
          <w:tcPr>
            <w:tcW w:w="2551" w:type="dxa"/>
          </w:tcPr>
          <w:p w:rsidR="00094CC4" w:rsidRPr="000C66D1" w:rsidRDefault="00094CC4" w:rsidP="000C66D1">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Calibri"/>
                <w:color w:val="000000"/>
                <w:sz w:val="20"/>
                <w:szCs w:val="20"/>
              </w:rPr>
              <w:t>Gmina Miejska Hrubieszów, Gmina Hrubieszów</w:t>
            </w:r>
          </w:p>
        </w:tc>
        <w:tc>
          <w:tcPr>
            <w:tcW w:w="1701" w:type="dxa"/>
          </w:tcPr>
          <w:p w:rsidR="00094CC4" w:rsidRPr="000C66D1" w:rsidRDefault="00094CC4" w:rsidP="000C66D1">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Times New Roman"/>
                <w:noProof/>
                <w:lang w:eastAsia="pl-PL"/>
              </w:rPr>
              <w:drawing>
                <wp:inline distT="0" distB="0" distL="0" distR="0" wp14:anchorId="5EA9956F" wp14:editId="2AD6B78A">
                  <wp:extent cx="261110" cy="171232"/>
                  <wp:effectExtent l="6985" t="0" r="0" b="0"/>
                  <wp:docPr id="686" name="Obraz 686"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rsidR="00094CC4" w:rsidRPr="000C66D1"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24,4%</w:t>
            </w:r>
          </w:p>
        </w:tc>
        <w:tc>
          <w:tcPr>
            <w:tcW w:w="1701" w:type="dxa"/>
            <w:vAlign w:val="center"/>
          </w:tcPr>
          <w:p w:rsidR="00094CC4" w:rsidRPr="000C66D1" w:rsidRDefault="00094CC4" w:rsidP="000C66D1">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0C66D1">
              <w:rPr>
                <w:rFonts w:cstheme="minorHAnsi"/>
                <w:sz w:val="20"/>
                <w:szCs w:val="20"/>
              </w:rPr>
              <w:t>BDL GUS</w:t>
            </w:r>
          </w:p>
        </w:tc>
      </w:tr>
      <w:tr w:rsidR="00094CC4" w:rsidRPr="000C66D1" w:rsidTr="00094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3"/>
            <w:vAlign w:val="center"/>
          </w:tcPr>
          <w:p w:rsidR="00094CC4" w:rsidRPr="000C66D1" w:rsidRDefault="00094CC4" w:rsidP="000C66D1">
            <w:pPr>
              <w:spacing w:before="0"/>
              <w:ind w:firstLine="0"/>
              <w:jc w:val="center"/>
              <w:rPr>
                <w:rFonts w:asciiTheme="minorHAnsi" w:hAnsiTheme="minorHAnsi" w:cstheme="minorHAnsi"/>
                <w:sz w:val="20"/>
                <w:szCs w:val="20"/>
              </w:rPr>
            </w:pPr>
            <w:r w:rsidRPr="000C66D1">
              <w:rPr>
                <w:rFonts w:cs="Calibri"/>
                <w:sz w:val="20"/>
                <w:szCs w:val="20"/>
              </w:rPr>
              <w:t xml:space="preserve">Cel strategiczny </w:t>
            </w:r>
            <w:r w:rsidRPr="000C66D1">
              <w:rPr>
                <w:sz w:val="20"/>
                <w:szCs w:val="20"/>
              </w:rPr>
              <w:t>3. ROZWIJAJĄCA SIĘ GOSPODARKA I LOKALNY RYNEK PRACY</w:t>
            </w:r>
          </w:p>
        </w:tc>
        <w:tc>
          <w:tcPr>
            <w:tcW w:w="3402" w:type="dxa"/>
            <w:gridSpan w:val="2"/>
            <w:vAlign w:val="center"/>
          </w:tcPr>
          <w:p w:rsidR="00094CC4" w:rsidRPr="000C66D1" w:rsidRDefault="00094CC4" w:rsidP="000C66D1">
            <w:pPr>
              <w:spacing w:before="0"/>
              <w:ind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sz w:val="20"/>
                <w:szCs w:val="20"/>
              </w:rPr>
            </w:pPr>
          </w:p>
        </w:tc>
      </w:tr>
      <w:tr w:rsidR="00094CC4" w:rsidRPr="000C66D1" w:rsidTr="00B5553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tcPr>
          <w:p w:rsidR="00094CC4" w:rsidRPr="000C66D1" w:rsidRDefault="00094CC4" w:rsidP="000C66D1">
            <w:pPr>
              <w:spacing w:before="0"/>
              <w:ind w:right="318" w:firstLine="0"/>
              <w:jc w:val="left"/>
              <w:rPr>
                <w:rFonts w:asciiTheme="minorHAnsi" w:hAnsiTheme="minorHAnsi" w:cstheme="minorHAnsi"/>
                <w:b w:val="0"/>
                <w:sz w:val="20"/>
                <w:szCs w:val="20"/>
              </w:rPr>
            </w:pPr>
            <w:r w:rsidRPr="000C66D1">
              <w:rPr>
                <w:rFonts w:ascii="Calibri" w:eastAsia="Calibri" w:hAnsi="Calibri" w:cs="Times New Roman"/>
                <w:b w:val="0"/>
                <w:sz w:val="20"/>
              </w:rPr>
              <w:t>Wskaźnik przedsiębiorczości (liczba podmiotów gospodarczych wpisanych do REGON na 10 tys. mieszkańców w wieku produkcyjnym)</w:t>
            </w:r>
          </w:p>
        </w:tc>
        <w:tc>
          <w:tcPr>
            <w:tcW w:w="2551" w:type="dxa"/>
            <w:vAlign w:val="center"/>
          </w:tcPr>
          <w:p w:rsidR="00094CC4" w:rsidRPr="000C66D1" w:rsidRDefault="00094CC4" w:rsidP="00B55536">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Calibri"/>
                <w:color w:val="000000"/>
                <w:sz w:val="20"/>
                <w:szCs w:val="20"/>
              </w:rPr>
              <w:t>Gmina Miejska Hrubieszów, Gmina Hrubieszów</w:t>
            </w:r>
          </w:p>
        </w:tc>
        <w:tc>
          <w:tcPr>
            <w:tcW w:w="1701" w:type="dxa"/>
            <w:vAlign w:val="center"/>
          </w:tcPr>
          <w:p w:rsidR="00094CC4" w:rsidRPr="000C66D1" w:rsidRDefault="00094CC4" w:rsidP="00B55536">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Times New Roman"/>
                <w:noProof/>
                <w:lang w:eastAsia="pl-PL"/>
              </w:rPr>
              <w:drawing>
                <wp:inline distT="0" distB="0" distL="0" distR="0" wp14:anchorId="63630139" wp14:editId="6832D819">
                  <wp:extent cx="261110" cy="171232"/>
                  <wp:effectExtent l="6985" t="0" r="0" b="0"/>
                  <wp:docPr id="687" name="Obraz 687"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rsidR="00094CC4" w:rsidRPr="000C66D1" w:rsidRDefault="00B55536" w:rsidP="00B55536">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1</w:t>
            </w:r>
            <w:r w:rsidR="00694912">
              <w:rPr>
                <w:rFonts w:cstheme="minorHAnsi"/>
                <w:sz w:val="20"/>
                <w:szCs w:val="20"/>
              </w:rPr>
              <w:t xml:space="preserve"> 536,01</w:t>
            </w:r>
          </w:p>
        </w:tc>
        <w:tc>
          <w:tcPr>
            <w:tcW w:w="1701" w:type="dxa"/>
            <w:vAlign w:val="center"/>
          </w:tcPr>
          <w:p w:rsidR="00094CC4" w:rsidRPr="000C66D1" w:rsidRDefault="00094CC4" w:rsidP="000C66D1">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0C66D1">
              <w:rPr>
                <w:rFonts w:cstheme="minorHAnsi"/>
                <w:sz w:val="20"/>
                <w:szCs w:val="20"/>
              </w:rPr>
              <w:t>BDL GUS</w:t>
            </w:r>
          </w:p>
        </w:tc>
      </w:tr>
      <w:tr w:rsidR="00094CC4" w:rsidRPr="000C66D1" w:rsidTr="00094C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56" w:type="dxa"/>
            <w:gridSpan w:val="3"/>
          </w:tcPr>
          <w:p w:rsidR="00094CC4" w:rsidRPr="000C66D1" w:rsidRDefault="00094CC4" w:rsidP="000C66D1">
            <w:pPr>
              <w:spacing w:before="0"/>
              <w:ind w:firstLine="0"/>
              <w:jc w:val="center"/>
              <w:rPr>
                <w:sz w:val="20"/>
                <w:szCs w:val="20"/>
              </w:rPr>
            </w:pPr>
            <w:r w:rsidRPr="000C66D1">
              <w:rPr>
                <w:rFonts w:cs="Calibri"/>
                <w:sz w:val="20"/>
                <w:szCs w:val="20"/>
              </w:rPr>
              <w:t xml:space="preserve">Cel strategiczny </w:t>
            </w:r>
            <w:r w:rsidRPr="000C66D1">
              <w:rPr>
                <w:sz w:val="20"/>
                <w:szCs w:val="20"/>
              </w:rPr>
              <w:t>4. SPRAWNA ADMINISTRACJA I AKTYWNE SPOŁECZEŃSTWO OBYWATELSKIE</w:t>
            </w:r>
          </w:p>
        </w:tc>
        <w:tc>
          <w:tcPr>
            <w:tcW w:w="3402" w:type="dxa"/>
            <w:gridSpan w:val="2"/>
          </w:tcPr>
          <w:p w:rsidR="00094CC4" w:rsidRPr="000C66D1" w:rsidRDefault="00094CC4" w:rsidP="000C66D1">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Theme="majorHAnsi" w:eastAsiaTheme="majorEastAsia" w:hAnsiTheme="majorHAnsi" w:cstheme="majorBidi"/>
                <w:b/>
                <w:bCs/>
                <w:sz w:val="20"/>
                <w:szCs w:val="20"/>
              </w:rPr>
            </w:pPr>
          </w:p>
        </w:tc>
      </w:tr>
      <w:tr w:rsidR="00094CC4" w:rsidRPr="000C66D1" w:rsidTr="000F092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4" w:type="dxa"/>
            <w:vAlign w:val="center"/>
          </w:tcPr>
          <w:p w:rsidR="00094CC4" w:rsidRPr="000C66D1" w:rsidRDefault="00094CC4" w:rsidP="000C66D1">
            <w:pPr>
              <w:tabs>
                <w:tab w:val="left" w:pos="6237"/>
              </w:tabs>
              <w:spacing w:before="0"/>
              <w:ind w:right="1374" w:firstLine="0"/>
              <w:jc w:val="left"/>
              <w:rPr>
                <w:rFonts w:asciiTheme="minorHAnsi" w:hAnsiTheme="minorHAnsi" w:cstheme="minorHAnsi"/>
                <w:b w:val="0"/>
                <w:sz w:val="20"/>
                <w:szCs w:val="20"/>
              </w:rPr>
            </w:pPr>
            <w:r w:rsidRPr="000C66D1">
              <w:rPr>
                <w:rFonts w:asciiTheme="minorHAnsi" w:hAnsiTheme="minorHAnsi" w:cstheme="minorHAnsi"/>
                <w:b w:val="0"/>
                <w:sz w:val="20"/>
                <w:szCs w:val="20"/>
              </w:rPr>
              <w:t>Dochody własne Gminy na jednego mieszkańca (zł)</w:t>
            </w:r>
          </w:p>
        </w:tc>
        <w:tc>
          <w:tcPr>
            <w:tcW w:w="2551" w:type="dxa"/>
          </w:tcPr>
          <w:p w:rsidR="00094CC4" w:rsidRPr="000C66D1" w:rsidRDefault="00094CC4" w:rsidP="000C66D1">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Calibri"/>
                <w:color w:val="000000"/>
                <w:sz w:val="20"/>
                <w:szCs w:val="20"/>
              </w:rPr>
              <w:t>Gmina Miejska Hrubieszów, Gmina Hrubieszów</w:t>
            </w:r>
          </w:p>
        </w:tc>
        <w:tc>
          <w:tcPr>
            <w:tcW w:w="1701" w:type="dxa"/>
            <w:vAlign w:val="center"/>
          </w:tcPr>
          <w:p w:rsidR="00094CC4" w:rsidRPr="000C66D1" w:rsidRDefault="00094CC4" w:rsidP="000F092F">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Times New Roman"/>
                <w:noProof/>
                <w:lang w:eastAsia="pl-PL"/>
              </w:rPr>
              <w:drawing>
                <wp:inline distT="0" distB="0" distL="0" distR="0" wp14:anchorId="6A24FB0B" wp14:editId="27BFBD73">
                  <wp:extent cx="261110" cy="171232"/>
                  <wp:effectExtent l="6985" t="0" r="0" b="0"/>
                  <wp:docPr id="688" name="Obraz 688"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701" w:type="dxa"/>
            <w:vAlign w:val="center"/>
          </w:tcPr>
          <w:p w:rsidR="00094CC4" w:rsidRPr="000C66D1" w:rsidRDefault="00694912" w:rsidP="00694912">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1 701,56</w:t>
            </w:r>
          </w:p>
        </w:tc>
        <w:tc>
          <w:tcPr>
            <w:tcW w:w="1701" w:type="dxa"/>
            <w:vAlign w:val="center"/>
          </w:tcPr>
          <w:p w:rsidR="00094CC4" w:rsidRPr="000C66D1" w:rsidRDefault="00094CC4" w:rsidP="000C66D1">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0C66D1">
              <w:rPr>
                <w:rFonts w:cstheme="minorHAnsi"/>
                <w:sz w:val="20"/>
                <w:szCs w:val="20"/>
              </w:rPr>
              <w:t>BDL GUS</w:t>
            </w:r>
          </w:p>
        </w:tc>
      </w:tr>
    </w:tbl>
    <w:p w:rsidR="00E36417" w:rsidRDefault="00E36417" w:rsidP="00ED6132">
      <w:pPr>
        <w:keepNext/>
        <w:spacing w:after="0" w:line="240" w:lineRule="auto"/>
        <w:rPr>
          <w:rFonts w:ascii="Calibri" w:eastAsia="Calibri" w:hAnsi="Calibri" w:cs="Times New Roman"/>
          <w:b/>
          <w:bCs/>
          <w:color w:val="00B0F0"/>
          <w:sz w:val="18"/>
          <w:szCs w:val="18"/>
        </w:rPr>
      </w:pPr>
    </w:p>
    <w:tbl>
      <w:tblPr>
        <w:tblStyle w:val="Jasnasiatkaakcent2"/>
        <w:tblpPr w:leftFromText="141" w:rightFromText="141" w:vertAnchor="text" w:tblpX="182" w:tblpY="1"/>
        <w:tblW w:w="13858" w:type="dxa"/>
        <w:tblLook w:val="04A0" w:firstRow="1" w:lastRow="0" w:firstColumn="1" w:lastColumn="0" w:noHBand="0" w:noVBand="1"/>
      </w:tblPr>
      <w:tblGrid>
        <w:gridCol w:w="7678"/>
        <w:gridCol w:w="2262"/>
        <w:gridCol w:w="553"/>
        <w:gridCol w:w="1678"/>
        <w:gridCol w:w="1687"/>
      </w:tblGrid>
      <w:tr w:rsidR="002426AA" w:rsidRPr="000C66D1" w:rsidTr="002426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0C66D1" w:rsidRDefault="002426AA" w:rsidP="002426AA">
            <w:pPr>
              <w:spacing w:before="0"/>
              <w:ind w:firstLine="0"/>
              <w:jc w:val="center"/>
              <w:rPr>
                <w:rFonts w:ascii="Arial" w:hAnsi="Arial" w:cs="Arial"/>
                <w:sz w:val="20"/>
                <w:szCs w:val="20"/>
              </w:rPr>
            </w:pPr>
            <w:r w:rsidRPr="00542767">
              <w:rPr>
                <w:rFonts w:ascii="Arial" w:hAnsi="Arial" w:cs="Arial"/>
                <w:sz w:val="20"/>
                <w:szCs w:val="20"/>
              </w:rPr>
              <w:t>Naz</w:t>
            </w:r>
            <w:r>
              <w:rPr>
                <w:rFonts w:ascii="Arial" w:hAnsi="Arial" w:cs="Arial"/>
                <w:sz w:val="20"/>
                <w:szCs w:val="20"/>
              </w:rPr>
              <w:t>wa wskaźnika produktu/rezultatu</w:t>
            </w:r>
          </w:p>
        </w:tc>
        <w:tc>
          <w:tcPr>
            <w:tcW w:w="2815" w:type="dxa"/>
            <w:gridSpan w:val="2"/>
            <w:vAlign w:val="center"/>
          </w:tcPr>
          <w:p w:rsidR="002426AA" w:rsidRPr="000C66D1" w:rsidRDefault="002426AA" w:rsidP="002426AA">
            <w:pPr>
              <w:spacing w:before="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C66D1">
              <w:rPr>
                <w:rFonts w:asciiTheme="minorHAnsi" w:hAnsiTheme="minorHAnsi" w:cstheme="minorHAnsi"/>
                <w:sz w:val="20"/>
                <w:szCs w:val="20"/>
              </w:rPr>
              <w:t>Podmioty odpowiedzialne za przekazanie danych monitoringowych</w:t>
            </w:r>
          </w:p>
        </w:tc>
        <w:tc>
          <w:tcPr>
            <w:tcW w:w="1678" w:type="dxa"/>
            <w:vAlign w:val="center"/>
          </w:tcPr>
          <w:p w:rsidR="002426AA" w:rsidRPr="000C66D1" w:rsidRDefault="002426AA" w:rsidP="002426AA">
            <w:pPr>
              <w:tabs>
                <w:tab w:val="left" w:pos="2048"/>
              </w:tabs>
              <w:spacing w:before="0"/>
              <w:ind w:right="41"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C66D1">
              <w:rPr>
                <w:rFonts w:asciiTheme="minorHAnsi" w:hAnsiTheme="minorHAnsi" w:cstheme="minorHAnsi"/>
                <w:sz w:val="20"/>
                <w:szCs w:val="20"/>
              </w:rPr>
              <w:t>Kierunek zmian do 2030 roku</w:t>
            </w:r>
          </w:p>
        </w:tc>
        <w:tc>
          <w:tcPr>
            <w:tcW w:w="1687" w:type="dxa"/>
            <w:vAlign w:val="center"/>
          </w:tcPr>
          <w:p w:rsidR="002426AA" w:rsidRPr="000C66D1" w:rsidRDefault="002426AA" w:rsidP="002426AA">
            <w:pPr>
              <w:tabs>
                <w:tab w:val="left" w:pos="2295"/>
              </w:tabs>
              <w:spacing w:before="0"/>
              <w:ind w:right="11"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0C66D1">
              <w:rPr>
                <w:rFonts w:asciiTheme="minorHAnsi" w:hAnsiTheme="minorHAnsi" w:cstheme="minorHAnsi"/>
                <w:sz w:val="20"/>
                <w:szCs w:val="20"/>
              </w:rPr>
              <w:t>Źródło danych</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shd w:val="clear" w:color="auto" w:fill="2861A9" w:themeFill="accent2" w:themeFillShade="BF"/>
          </w:tcPr>
          <w:p w:rsidR="002426AA" w:rsidRPr="000C66D1" w:rsidRDefault="002426AA" w:rsidP="002426AA">
            <w:pPr>
              <w:spacing w:before="0"/>
              <w:ind w:firstLine="0"/>
              <w:jc w:val="center"/>
              <w:rPr>
                <w:rFonts w:asciiTheme="minorHAnsi" w:hAnsiTheme="minorHAnsi" w:cstheme="minorHAnsi"/>
                <w:sz w:val="20"/>
                <w:szCs w:val="20"/>
              </w:rPr>
            </w:pPr>
            <w:r w:rsidRPr="000C66D1">
              <w:rPr>
                <w:rFonts w:cs="Calibri"/>
                <w:color w:val="FFFFFF" w:themeColor="background1"/>
                <w:sz w:val="18"/>
                <w:szCs w:val="18"/>
              </w:rPr>
              <w:t xml:space="preserve">Cel strategiczny </w:t>
            </w:r>
            <w:r w:rsidRPr="000C66D1">
              <w:rPr>
                <w:color w:val="FFFFFF" w:themeColor="background1"/>
                <w:sz w:val="20"/>
                <w:szCs w:val="20"/>
              </w:rPr>
              <w:t xml:space="preserve">1. </w:t>
            </w:r>
            <w:proofErr w:type="gramStart"/>
            <w:r w:rsidRPr="000C66D1">
              <w:rPr>
                <w:color w:val="FFFFFF" w:themeColor="background1"/>
                <w:sz w:val="20"/>
                <w:szCs w:val="20"/>
              </w:rPr>
              <w:t>LEPSZA JAKOŚĆ</w:t>
            </w:r>
            <w:proofErr w:type="gramEnd"/>
            <w:r w:rsidRPr="000C66D1">
              <w:rPr>
                <w:color w:val="FFFFFF" w:themeColor="background1"/>
                <w:sz w:val="20"/>
                <w:szCs w:val="20"/>
              </w:rPr>
              <w:t xml:space="preserve"> ŻYCIA I ZINTEGROWANA SPOŁECZNOŚĆ LOKALNA</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tcPr>
          <w:p w:rsidR="002426AA" w:rsidRPr="00ED6132" w:rsidRDefault="002426AA" w:rsidP="002426AA">
            <w:pPr>
              <w:spacing w:before="0"/>
              <w:ind w:firstLine="0"/>
              <w:jc w:val="center"/>
              <w:rPr>
                <w:rFonts w:cs="Calibri"/>
                <w:sz w:val="18"/>
                <w:szCs w:val="18"/>
              </w:rPr>
            </w:pPr>
            <w:r w:rsidRPr="00770EF5">
              <w:rPr>
                <w:rFonts w:cs="Calibri"/>
                <w:sz w:val="20"/>
                <w:szCs w:val="18"/>
              </w:rPr>
              <w:t>Cel operacyjny 1.1 Lepsza dostępność komunikacyjna obszaru HOF</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D65813">
            <w:pPr>
              <w:spacing w:before="0"/>
              <w:ind w:firstLine="0"/>
              <w:jc w:val="left"/>
              <w:rPr>
                <w:rFonts w:asciiTheme="minorHAnsi" w:hAnsiTheme="minorHAnsi" w:cstheme="minorHAnsi"/>
                <w:b w:val="0"/>
                <w:sz w:val="20"/>
              </w:rPr>
            </w:pPr>
            <w:r w:rsidRPr="00227F6F">
              <w:rPr>
                <w:rFonts w:asciiTheme="minorHAnsi" w:hAnsiTheme="minorHAnsi" w:cstheme="minorHAnsi"/>
                <w:b w:val="0"/>
                <w:sz w:val="20"/>
              </w:rPr>
              <w:t>Długość wyremontowanych, przebudowanych, ro</w:t>
            </w:r>
            <w:r>
              <w:rPr>
                <w:rFonts w:asciiTheme="minorHAnsi" w:hAnsiTheme="minorHAnsi" w:cstheme="minorHAnsi"/>
                <w:b w:val="0"/>
                <w:sz w:val="20"/>
              </w:rPr>
              <w:t>zbudowanych lub wybudowanych</w:t>
            </w:r>
            <w:r w:rsidR="00D65813" w:rsidRPr="00227F6F">
              <w:rPr>
                <w:rFonts w:asciiTheme="minorHAnsi" w:hAnsiTheme="minorHAnsi" w:cstheme="minorHAnsi"/>
                <w:b w:val="0"/>
                <w:sz w:val="20"/>
              </w:rPr>
              <w:t xml:space="preserve"> dróg</w:t>
            </w:r>
          </w:p>
        </w:tc>
        <w:tc>
          <w:tcPr>
            <w:tcW w:w="2815" w:type="dxa"/>
            <w:gridSpan w:val="2"/>
            <w:vMerge w:val="restart"/>
            <w:vAlign w:val="center"/>
          </w:tcPr>
          <w:p w:rsidR="002426AA" w:rsidRPr="000C66D1"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2426AA" w:rsidRPr="000C66D1"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D6132">
              <w:rPr>
                <w:rFonts w:ascii="Calibri" w:eastAsia="Calibri" w:hAnsi="Calibri" w:cs="Times New Roman"/>
                <w:noProof/>
                <w:lang w:eastAsia="pl-PL"/>
              </w:rPr>
              <w:drawing>
                <wp:inline distT="0" distB="0" distL="0" distR="0" wp14:anchorId="538D5E8C" wp14:editId="71711645">
                  <wp:extent cx="240498" cy="157715"/>
                  <wp:effectExtent l="3175" t="0" r="0" b="0"/>
                  <wp:docPr id="689" name="Obraz 689"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0498" cy="157715"/>
                          </a:xfrm>
                          <a:prstGeom prst="rect">
                            <a:avLst/>
                          </a:prstGeom>
                          <a:noFill/>
                          <a:ln>
                            <a:noFill/>
                          </a:ln>
                          <a:extLst>
                            <a:ext uri="{53640926-AAD7-44D8-BBD7-CCE9431645EC}">
                              <a14:shadowObscured xmlns:a14="http://schemas.microsoft.com/office/drawing/2010/main"/>
                            </a:ext>
                          </a:extLst>
                        </pic:spPr>
                      </pic:pic>
                    </a:graphicData>
                  </a:graphic>
                </wp:inline>
              </w:drawing>
            </w:r>
            <w:r>
              <w:rPr>
                <w:rFonts w:cstheme="minorHAnsi"/>
                <w:sz w:val="20"/>
                <w:szCs w:val="20"/>
              </w:rPr>
              <w:t xml:space="preserve"> </w:t>
            </w:r>
          </w:p>
        </w:tc>
        <w:tc>
          <w:tcPr>
            <w:tcW w:w="1687" w:type="dxa"/>
            <w:vAlign w:val="center"/>
          </w:tcPr>
          <w:p w:rsidR="002426AA" w:rsidRPr="000C66D1"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D65813" w:rsidP="002426AA">
            <w:pPr>
              <w:spacing w:before="0"/>
              <w:ind w:firstLine="0"/>
              <w:jc w:val="left"/>
              <w:rPr>
                <w:rFonts w:asciiTheme="minorHAnsi" w:hAnsiTheme="minorHAnsi" w:cstheme="minorHAnsi"/>
                <w:b w:val="0"/>
                <w:sz w:val="20"/>
              </w:rPr>
            </w:pPr>
            <w:r w:rsidRPr="00227F6F">
              <w:rPr>
                <w:rFonts w:asciiTheme="minorHAnsi" w:hAnsiTheme="minorHAnsi" w:cstheme="minorHAnsi"/>
                <w:b w:val="0"/>
                <w:sz w:val="20"/>
              </w:rPr>
              <w:t>Długość wyremontowanych, przebudowanych, ro</w:t>
            </w:r>
            <w:r>
              <w:rPr>
                <w:rFonts w:asciiTheme="minorHAnsi" w:hAnsiTheme="minorHAnsi" w:cstheme="minorHAnsi"/>
                <w:b w:val="0"/>
                <w:sz w:val="20"/>
              </w:rPr>
              <w:t xml:space="preserve">zbudowanych lub wybudowanych </w:t>
            </w:r>
            <w:r w:rsidR="002426AA">
              <w:rPr>
                <w:rFonts w:asciiTheme="minorHAnsi" w:hAnsiTheme="minorHAnsi" w:cstheme="minorHAnsi"/>
                <w:b w:val="0"/>
                <w:sz w:val="20"/>
              </w:rPr>
              <w:t>chodników</w:t>
            </w:r>
          </w:p>
        </w:tc>
        <w:tc>
          <w:tcPr>
            <w:tcW w:w="2815" w:type="dxa"/>
            <w:gridSpan w:val="2"/>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46FF56BD" wp14:editId="4CAF6674">
                  <wp:extent cx="240498" cy="157715"/>
                  <wp:effectExtent l="3175" t="0" r="0" b="0"/>
                  <wp:docPr id="694" name="Obraz 694"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0C66D1"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E6089A" w:rsidP="00E6089A">
            <w:pPr>
              <w:spacing w:before="0"/>
              <w:ind w:firstLine="0"/>
              <w:jc w:val="left"/>
              <w:rPr>
                <w:rFonts w:cstheme="minorHAnsi"/>
                <w:b w:val="0"/>
                <w:sz w:val="20"/>
              </w:rPr>
            </w:pPr>
            <w:r>
              <w:rPr>
                <w:rFonts w:cstheme="minorHAnsi"/>
                <w:b w:val="0"/>
                <w:sz w:val="20"/>
              </w:rPr>
              <w:t>Liczba oferowanych</w:t>
            </w:r>
            <w:r w:rsidRPr="00E6089A">
              <w:rPr>
                <w:rFonts w:cstheme="minorHAnsi"/>
                <w:b w:val="0"/>
                <w:sz w:val="20"/>
              </w:rPr>
              <w:t xml:space="preserve"> przez </w:t>
            </w:r>
            <w:proofErr w:type="spellStart"/>
            <w:r w:rsidRPr="00E6089A">
              <w:rPr>
                <w:rFonts w:cstheme="minorHAnsi"/>
                <w:b w:val="0"/>
                <w:sz w:val="20"/>
              </w:rPr>
              <w:t>jst</w:t>
            </w:r>
            <w:proofErr w:type="spellEnd"/>
            <w:r>
              <w:rPr>
                <w:rFonts w:cstheme="minorHAnsi"/>
                <w:b w:val="0"/>
                <w:sz w:val="20"/>
              </w:rPr>
              <w:t xml:space="preserve"> e-usług skierowanych do mieszkańców</w:t>
            </w:r>
          </w:p>
        </w:tc>
        <w:tc>
          <w:tcPr>
            <w:tcW w:w="2815" w:type="dxa"/>
            <w:gridSpan w:val="2"/>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7FFA4927" wp14:editId="3FD55547">
                  <wp:extent cx="240498" cy="157715"/>
                  <wp:effectExtent l="3175" t="0" r="0" b="0"/>
                  <wp:docPr id="695" name="Obraz 695"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0C66D1"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2426AA" w:rsidRPr="00B36AE4" w:rsidRDefault="002426AA" w:rsidP="002426AA">
            <w:pPr>
              <w:spacing w:before="0"/>
              <w:ind w:firstLine="0"/>
              <w:jc w:val="center"/>
              <w:rPr>
                <w:sz w:val="20"/>
                <w:szCs w:val="20"/>
              </w:rPr>
            </w:pPr>
            <w:r>
              <w:rPr>
                <w:sz w:val="20"/>
                <w:szCs w:val="20"/>
              </w:rPr>
              <w:t>Cel operacyjn</w:t>
            </w:r>
            <w:r w:rsidRPr="00ED6132">
              <w:rPr>
                <w:sz w:val="20"/>
                <w:szCs w:val="20"/>
              </w:rPr>
              <w:t xml:space="preserve">y 1.2 Lepszy dostęp do </w:t>
            </w:r>
            <w:r>
              <w:rPr>
                <w:sz w:val="20"/>
                <w:szCs w:val="20"/>
              </w:rPr>
              <w:t>m</w:t>
            </w:r>
            <w:r w:rsidRPr="00ED6132">
              <w:rPr>
                <w:sz w:val="20"/>
                <w:szCs w:val="20"/>
              </w:rPr>
              <w:t>ieszkań oraz ich wyższy standard</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2426AA">
            <w:pPr>
              <w:spacing w:before="0"/>
              <w:ind w:firstLine="0"/>
              <w:jc w:val="left"/>
              <w:rPr>
                <w:rFonts w:ascii="Calibri" w:hAnsi="Calibri" w:cs="Calibri"/>
                <w:b w:val="0"/>
                <w:color w:val="000000"/>
                <w:sz w:val="20"/>
                <w:szCs w:val="20"/>
              </w:rPr>
            </w:pPr>
            <w:r w:rsidRPr="00B3443C">
              <w:rPr>
                <w:rFonts w:asciiTheme="minorHAnsi" w:hAnsiTheme="minorHAnsi" w:cstheme="minorHAnsi"/>
                <w:b w:val="0"/>
                <w:sz w:val="20"/>
                <w:szCs w:val="18"/>
              </w:rPr>
              <w:t>Liczba mieszkań z zasobu gminnego</w:t>
            </w:r>
          </w:p>
        </w:tc>
        <w:tc>
          <w:tcPr>
            <w:tcW w:w="2815" w:type="dxa"/>
            <w:gridSpan w:val="2"/>
            <w:vMerge w:val="restart"/>
            <w:vAlign w:val="center"/>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2426AA" w:rsidRPr="00ED613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1B89374D" wp14:editId="7A1B396B">
                  <wp:extent cx="240498" cy="157715"/>
                  <wp:effectExtent l="3175" t="0" r="0" b="0"/>
                  <wp:docPr id="568" name="Obraz 568"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2426AA">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 xml:space="preserve">Liczba mieszkań </w:t>
            </w:r>
            <w:proofErr w:type="spellStart"/>
            <w:r>
              <w:rPr>
                <w:rFonts w:ascii="Calibri" w:hAnsi="Calibri" w:cs="Calibri"/>
                <w:b w:val="0"/>
                <w:color w:val="000000"/>
                <w:sz w:val="20"/>
                <w:szCs w:val="20"/>
              </w:rPr>
              <w:t>niskoczynszowych</w:t>
            </w:r>
            <w:proofErr w:type="spellEnd"/>
          </w:p>
        </w:tc>
        <w:tc>
          <w:tcPr>
            <w:tcW w:w="2815" w:type="dxa"/>
            <w:gridSpan w:val="2"/>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6BB26FBB" wp14:editId="3775389E">
                  <wp:extent cx="240498" cy="157715"/>
                  <wp:effectExtent l="3175" t="0" r="0" b="0"/>
                  <wp:docPr id="569" name="Obraz 569"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2426AA" w:rsidRPr="00B36AE4" w:rsidRDefault="002426AA" w:rsidP="002426AA">
            <w:pPr>
              <w:tabs>
                <w:tab w:val="left" w:pos="2295"/>
              </w:tabs>
              <w:spacing w:before="0"/>
              <w:ind w:right="11" w:firstLine="0"/>
              <w:jc w:val="center"/>
              <w:rPr>
                <w:sz w:val="20"/>
                <w:szCs w:val="20"/>
              </w:rPr>
            </w:pPr>
            <w:r w:rsidRPr="00ED6132">
              <w:rPr>
                <w:sz w:val="20"/>
                <w:szCs w:val="20"/>
              </w:rPr>
              <w:lastRenderedPageBreak/>
              <w:t>Cel operacyjny 1.3 Lepszy dostęp i jakość usług w zakresie opieki nad dzieckiem oraz edukacji dzieci i młodzieży</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306C3B" w:rsidRDefault="002426AA" w:rsidP="002426AA">
            <w:pPr>
              <w:spacing w:before="0"/>
              <w:ind w:firstLine="0"/>
              <w:jc w:val="left"/>
              <w:rPr>
                <w:rFonts w:asciiTheme="minorHAnsi" w:hAnsiTheme="minorHAnsi" w:cstheme="minorHAnsi"/>
                <w:b w:val="0"/>
                <w:color w:val="000000"/>
                <w:sz w:val="20"/>
                <w:szCs w:val="20"/>
              </w:rPr>
            </w:pPr>
            <w:r w:rsidRPr="00306C3B">
              <w:rPr>
                <w:rFonts w:asciiTheme="minorHAnsi" w:hAnsiTheme="minorHAnsi" w:cstheme="minorHAnsi"/>
                <w:b w:val="0"/>
                <w:color w:val="000000"/>
                <w:sz w:val="20"/>
                <w:szCs w:val="20"/>
              </w:rPr>
              <w:t>Liczba inicjatyw edukacyjnych wyrównujących poziom kompetencji zawodowych kadry pedagogicznej</w:t>
            </w:r>
          </w:p>
        </w:tc>
        <w:tc>
          <w:tcPr>
            <w:tcW w:w="2815" w:type="dxa"/>
            <w:gridSpan w:val="2"/>
            <w:vMerge w:val="restart"/>
            <w:vAlign w:val="center"/>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2426AA" w:rsidRPr="00ED6132"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07651BBA" wp14:editId="4CE55130">
                  <wp:extent cx="240498" cy="157715"/>
                  <wp:effectExtent l="3175" t="0" r="0" b="0"/>
                  <wp:docPr id="706" name="Obraz 706"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306C3B" w:rsidRDefault="002426AA" w:rsidP="002426AA">
            <w:pPr>
              <w:spacing w:before="0"/>
              <w:ind w:firstLine="0"/>
              <w:jc w:val="left"/>
              <w:rPr>
                <w:rFonts w:asciiTheme="minorHAnsi" w:hAnsiTheme="minorHAnsi" w:cstheme="minorHAnsi"/>
                <w:b w:val="0"/>
                <w:sz w:val="20"/>
                <w:szCs w:val="20"/>
              </w:rPr>
            </w:pPr>
            <w:r w:rsidRPr="00306C3B">
              <w:rPr>
                <w:rFonts w:asciiTheme="minorHAnsi" w:hAnsiTheme="minorHAnsi" w:cstheme="minorHAnsi"/>
                <w:b w:val="0"/>
                <w:sz w:val="20"/>
                <w:szCs w:val="20"/>
              </w:rPr>
              <w:t>Liczba</w:t>
            </w:r>
            <w:r w:rsidRPr="00306C3B">
              <w:rPr>
                <w:rFonts w:asciiTheme="minorHAnsi" w:hAnsiTheme="minorHAnsi" w:cstheme="minorHAnsi"/>
                <w:b w:val="0"/>
                <w:bCs w:val="0"/>
                <w:sz w:val="20"/>
                <w:szCs w:val="20"/>
              </w:rPr>
              <w:t xml:space="preserve"> utworzonych/wspartych żłobków/klubów dziecięcych/przedszkoli/ oddziałów przedszkolnych </w:t>
            </w:r>
            <w:r w:rsidRPr="00306C3B">
              <w:rPr>
                <w:rFonts w:asciiTheme="minorHAnsi" w:hAnsiTheme="minorHAnsi" w:cstheme="minorHAnsi"/>
                <w:b w:val="0"/>
                <w:sz w:val="20"/>
                <w:szCs w:val="20"/>
              </w:rPr>
              <w:t>(szt.)</w:t>
            </w:r>
          </w:p>
        </w:tc>
        <w:tc>
          <w:tcPr>
            <w:tcW w:w="2815" w:type="dxa"/>
            <w:gridSpan w:val="2"/>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14687522" wp14:editId="066252E6">
                  <wp:extent cx="240498" cy="157715"/>
                  <wp:effectExtent l="3175" t="0" r="0" b="0"/>
                  <wp:docPr id="707" name="Obraz 707"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306C3B" w:rsidRDefault="002426AA" w:rsidP="002426AA">
            <w:pPr>
              <w:spacing w:before="0"/>
              <w:ind w:firstLine="0"/>
              <w:jc w:val="left"/>
              <w:rPr>
                <w:rFonts w:asciiTheme="minorHAnsi" w:hAnsiTheme="minorHAnsi" w:cstheme="minorHAnsi"/>
                <w:b w:val="0"/>
                <w:sz w:val="20"/>
                <w:szCs w:val="20"/>
              </w:rPr>
            </w:pPr>
            <w:r w:rsidRPr="00306C3B">
              <w:rPr>
                <w:rFonts w:asciiTheme="minorHAnsi" w:hAnsiTheme="minorHAnsi" w:cstheme="minorHAnsi"/>
                <w:b w:val="0"/>
                <w:sz w:val="20"/>
                <w:szCs w:val="20"/>
              </w:rPr>
              <w:t>Liczba udzielonych st</w:t>
            </w:r>
            <w:r>
              <w:rPr>
                <w:rFonts w:asciiTheme="minorHAnsi" w:hAnsiTheme="minorHAnsi" w:cstheme="minorHAnsi"/>
                <w:b w:val="0"/>
                <w:sz w:val="20"/>
                <w:szCs w:val="20"/>
              </w:rPr>
              <w:t>ypendiów naukowych i sportowych</w:t>
            </w:r>
          </w:p>
        </w:tc>
        <w:tc>
          <w:tcPr>
            <w:tcW w:w="2815" w:type="dxa"/>
            <w:gridSpan w:val="2"/>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5B65B4E4" wp14:editId="67D97E18">
                  <wp:extent cx="240498" cy="157715"/>
                  <wp:effectExtent l="3175" t="0" r="0" b="0"/>
                  <wp:docPr id="708" name="Obraz 708"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170C19" w:rsidRDefault="002426AA" w:rsidP="002426AA">
            <w:pPr>
              <w:spacing w:before="0"/>
              <w:ind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Liczba uczestników dodatkowych zajęć edukacyjnych</w:t>
            </w:r>
          </w:p>
        </w:tc>
        <w:tc>
          <w:tcPr>
            <w:tcW w:w="2815" w:type="dxa"/>
            <w:gridSpan w:val="2"/>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1DC754CF" wp14:editId="030D46DF">
                  <wp:extent cx="240498" cy="157715"/>
                  <wp:effectExtent l="3175" t="0" r="0" b="0"/>
                  <wp:docPr id="740" name="Obraz 740"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Szkoły</w:t>
            </w:r>
            <w:r w:rsidR="00E6089A">
              <w:rPr>
                <w:sz w:val="20"/>
                <w:szCs w:val="20"/>
              </w:rPr>
              <w:t>, przedszkola</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2426AA" w:rsidRPr="00B36AE4" w:rsidRDefault="002426AA" w:rsidP="002426AA">
            <w:pPr>
              <w:tabs>
                <w:tab w:val="left" w:pos="2295"/>
              </w:tabs>
              <w:spacing w:before="0"/>
              <w:ind w:right="11" w:firstLine="0"/>
              <w:jc w:val="center"/>
              <w:rPr>
                <w:sz w:val="20"/>
                <w:szCs w:val="20"/>
              </w:rPr>
            </w:pPr>
            <w:r w:rsidRPr="00ED6132">
              <w:rPr>
                <w:sz w:val="20"/>
                <w:szCs w:val="20"/>
              </w:rPr>
              <w:t>Cel operacyjny 1.4 Poprawa dostępności mieszkańców do usług zdrowia i opieki społecznej</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2426AA">
            <w:pPr>
              <w:spacing w:before="0"/>
              <w:ind w:firstLine="0"/>
              <w:jc w:val="left"/>
              <w:rPr>
                <w:rFonts w:ascii="Calibri" w:hAnsi="Calibri" w:cs="Calibri"/>
                <w:b w:val="0"/>
                <w:color w:val="000000"/>
                <w:sz w:val="20"/>
                <w:szCs w:val="20"/>
              </w:rPr>
            </w:pPr>
            <w:r w:rsidRPr="00306C3B">
              <w:rPr>
                <w:rFonts w:ascii="Calibri" w:hAnsi="Calibri" w:cs="Calibri"/>
                <w:b w:val="0"/>
                <w:color w:val="000000"/>
                <w:sz w:val="20"/>
                <w:szCs w:val="20"/>
              </w:rPr>
              <w:t>Liczba udzielonych świadczeń z zakresu pomocy społecznej</w:t>
            </w:r>
          </w:p>
        </w:tc>
        <w:tc>
          <w:tcPr>
            <w:tcW w:w="2815" w:type="dxa"/>
            <w:gridSpan w:val="2"/>
            <w:vMerge w:val="restart"/>
            <w:vAlign w:val="center"/>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2426AA" w:rsidRPr="00ED613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53B13615" wp14:editId="50749D18">
                  <wp:extent cx="230225" cy="150978"/>
                  <wp:effectExtent l="1587" t="0" r="318" b="317"/>
                  <wp:docPr id="709" name="Obraz 709"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333" t="15150" r="2513" b="11259"/>
                          <a:stretch/>
                        </pic:blipFill>
                        <pic:spPr bwMode="auto">
                          <a:xfrm rot="5400000">
                            <a:off x="0" y="0"/>
                            <a:ext cx="233589" cy="1531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2426AA">
            <w:pPr>
              <w:spacing w:before="0"/>
              <w:ind w:firstLine="0"/>
              <w:jc w:val="left"/>
              <w:rPr>
                <w:rFonts w:ascii="Calibri" w:hAnsi="Calibri" w:cs="Calibri"/>
                <w:b w:val="0"/>
                <w:color w:val="000000"/>
                <w:sz w:val="20"/>
                <w:szCs w:val="20"/>
              </w:rPr>
            </w:pPr>
            <w:r w:rsidRPr="00170C19">
              <w:rPr>
                <w:rFonts w:ascii="Calibri" w:hAnsi="Calibri" w:cs="Calibri"/>
                <w:b w:val="0"/>
                <w:color w:val="000000"/>
                <w:sz w:val="20"/>
                <w:szCs w:val="20"/>
              </w:rPr>
              <w:t>Liczba osób biorących udział w programach profilaktyki, badań i akcji z zakresu ochrony zdrowia</w:t>
            </w:r>
          </w:p>
        </w:tc>
        <w:tc>
          <w:tcPr>
            <w:tcW w:w="2815" w:type="dxa"/>
            <w:gridSpan w:val="2"/>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39268FE8" wp14:editId="176B79E5">
                  <wp:extent cx="240498" cy="157715"/>
                  <wp:effectExtent l="3175" t="0" r="0" b="0"/>
                  <wp:docPr id="741" name="Obraz 741"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2426AA" w:rsidRPr="00B36AE4" w:rsidRDefault="002426AA" w:rsidP="002426AA">
            <w:pPr>
              <w:tabs>
                <w:tab w:val="left" w:pos="2295"/>
              </w:tabs>
              <w:spacing w:before="0"/>
              <w:ind w:right="11" w:firstLine="0"/>
              <w:jc w:val="center"/>
              <w:rPr>
                <w:sz w:val="20"/>
                <w:szCs w:val="20"/>
              </w:rPr>
            </w:pPr>
            <w:r w:rsidRPr="00ED6132">
              <w:rPr>
                <w:sz w:val="20"/>
                <w:szCs w:val="20"/>
              </w:rPr>
              <w:t>Cel operacyjny 1.5 Lepsza oferta w zakresie kultury i rekreacji dla mieszkańców</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2426AA">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Powierzchnia obiektów, które zostały przystosowane do pełnienia funkcji kulturalnych, rekreacyjnych i sportowych</w:t>
            </w:r>
          </w:p>
        </w:tc>
        <w:tc>
          <w:tcPr>
            <w:tcW w:w="2815" w:type="dxa"/>
            <w:gridSpan w:val="2"/>
            <w:vMerge w:val="restart"/>
            <w:vAlign w:val="center"/>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2426AA" w:rsidRPr="00ED6132"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71FA317A" wp14:editId="2648FCCC">
                  <wp:extent cx="240088" cy="157447"/>
                  <wp:effectExtent l="3492" t="0" r="0" b="0"/>
                  <wp:docPr id="717" name="Obraz 717"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6346" cy="1615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2426AA">
            <w:pPr>
              <w:spacing w:before="0"/>
              <w:ind w:firstLine="0"/>
              <w:jc w:val="left"/>
              <w:rPr>
                <w:rFonts w:ascii="Calibri" w:hAnsi="Calibri" w:cs="Calibri"/>
                <w:b w:val="0"/>
                <w:color w:val="000000"/>
                <w:sz w:val="20"/>
                <w:szCs w:val="20"/>
              </w:rPr>
            </w:pPr>
            <w:r w:rsidRPr="00044BF6">
              <w:rPr>
                <w:rFonts w:asciiTheme="minorHAnsi" w:hAnsiTheme="minorHAnsi" w:cstheme="minorHAnsi"/>
                <w:b w:val="0"/>
                <w:sz w:val="20"/>
                <w:szCs w:val="20"/>
              </w:rPr>
              <w:t>Liczba wydarzeń kulturalnych or</w:t>
            </w:r>
            <w:r>
              <w:rPr>
                <w:rFonts w:asciiTheme="minorHAnsi" w:hAnsiTheme="minorHAnsi" w:cstheme="minorHAnsi"/>
                <w:b w:val="0"/>
                <w:sz w:val="20"/>
                <w:szCs w:val="20"/>
              </w:rPr>
              <w:t>ganizowanych w ciągu roku</w:t>
            </w:r>
          </w:p>
        </w:tc>
        <w:tc>
          <w:tcPr>
            <w:tcW w:w="2815" w:type="dxa"/>
            <w:gridSpan w:val="2"/>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5916F21A" wp14:editId="6052C109">
                  <wp:extent cx="240498" cy="157715"/>
                  <wp:effectExtent l="3175" t="0" r="0" b="0"/>
                  <wp:docPr id="718" name="Obraz 718"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2426AA" w:rsidRPr="00B36AE4" w:rsidRDefault="002426AA" w:rsidP="002426AA">
            <w:pPr>
              <w:tabs>
                <w:tab w:val="left" w:pos="2295"/>
              </w:tabs>
              <w:spacing w:before="0"/>
              <w:ind w:right="11" w:firstLine="0"/>
              <w:jc w:val="center"/>
              <w:rPr>
                <w:sz w:val="20"/>
                <w:szCs w:val="20"/>
              </w:rPr>
            </w:pPr>
            <w:r w:rsidRPr="00ED6132">
              <w:rPr>
                <w:sz w:val="20"/>
                <w:szCs w:val="20"/>
              </w:rPr>
              <w:t>Cel operacyjny 1.6 Uporządkowana przestrzeń i bezpieczeństwo publiczne</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2426AA">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Liczba budynków wybudowanych, przebudowanych i zmodernizowanych na potrzeby społeczności lokalnej</w:t>
            </w:r>
          </w:p>
        </w:tc>
        <w:tc>
          <w:tcPr>
            <w:tcW w:w="2815" w:type="dxa"/>
            <w:gridSpan w:val="2"/>
            <w:vMerge w:val="restart"/>
            <w:vAlign w:val="center"/>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2426AA" w:rsidRPr="00ED613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1D466140" wp14:editId="300D8807">
                  <wp:extent cx="240498" cy="157715"/>
                  <wp:effectExtent l="3175" t="0" r="0" b="0"/>
                  <wp:docPr id="714" name="Obraz 714"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2426AA">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Powierzchnia terenów publicznych objętych interwencją przestrzenną</w:t>
            </w:r>
          </w:p>
        </w:tc>
        <w:tc>
          <w:tcPr>
            <w:tcW w:w="2815" w:type="dxa"/>
            <w:gridSpan w:val="2"/>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03E5A4A9" wp14:editId="1BEAA271">
                  <wp:extent cx="240498" cy="157715"/>
                  <wp:effectExtent l="3175" t="0" r="0" b="0"/>
                  <wp:docPr id="715" name="Obraz 715"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227F6F" w:rsidRDefault="002426AA" w:rsidP="002426AA">
            <w:pPr>
              <w:spacing w:before="0"/>
              <w:ind w:firstLine="0"/>
              <w:jc w:val="left"/>
              <w:rPr>
                <w:rFonts w:ascii="Calibri" w:hAnsi="Calibri" w:cs="Calibri"/>
                <w:b w:val="0"/>
                <w:color w:val="000000"/>
                <w:sz w:val="20"/>
                <w:szCs w:val="20"/>
              </w:rPr>
            </w:pPr>
            <w:r w:rsidRPr="003814FA">
              <w:rPr>
                <w:rFonts w:ascii="Calibri" w:hAnsi="Calibri" w:cs="Calibri"/>
                <w:b w:val="0"/>
                <w:color w:val="000000"/>
                <w:sz w:val="20"/>
                <w:szCs w:val="20"/>
              </w:rPr>
              <w:t>Liczba zaktualizowanych i opracowanych zmian dokumentów planistycznych</w:t>
            </w:r>
          </w:p>
        </w:tc>
        <w:tc>
          <w:tcPr>
            <w:tcW w:w="2815" w:type="dxa"/>
            <w:gridSpan w:val="2"/>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136681A0" wp14:editId="5E878FEB">
                  <wp:extent cx="240498" cy="157715"/>
                  <wp:effectExtent l="3175" t="0" r="0" b="0"/>
                  <wp:docPr id="716" name="Obraz 716"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tcPr>
          <w:p w:rsidR="002426AA" w:rsidRPr="00ED6132" w:rsidRDefault="002426AA" w:rsidP="002426AA">
            <w:pPr>
              <w:spacing w:before="0"/>
              <w:ind w:firstLine="0"/>
              <w:jc w:val="center"/>
            </w:pPr>
            <w:r w:rsidRPr="00ED6132">
              <w:rPr>
                <w:sz w:val="20"/>
                <w:szCs w:val="20"/>
              </w:rPr>
              <w:t>Cel operacyjny 1.7 Integracja społeczna i aktywna polityka senioralna</w:t>
            </w:r>
          </w:p>
        </w:tc>
      </w:tr>
      <w:tr w:rsidR="00AA0D11" w:rsidRPr="000C66D1" w:rsidTr="00AA0D11">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7678" w:type="dxa"/>
            <w:shd w:val="clear" w:color="auto" w:fill="FFFFFF" w:themeFill="background1"/>
            <w:vAlign w:val="center"/>
          </w:tcPr>
          <w:p w:rsidR="00AA0D11" w:rsidRPr="00227F6F" w:rsidRDefault="00AA0D11" w:rsidP="00AA0D11">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Liczba wybudowanych, przebudowanych lub zmodernizowanych miejsc umożliwiających wspólną aktywność mieszkańców, spędzanie wolnego czasu i rozwój zainteresowań</w:t>
            </w:r>
          </w:p>
        </w:tc>
        <w:tc>
          <w:tcPr>
            <w:tcW w:w="2815" w:type="dxa"/>
            <w:gridSpan w:val="2"/>
            <w:vMerge w:val="restart"/>
            <w:vAlign w:val="center"/>
          </w:tcPr>
          <w:p w:rsidR="00AA0D11" w:rsidRPr="00ED6132" w:rsidRDefault="00AA0D11"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shd w:val="clear" w:color="auto" w:fill="FFFFFF" w:themeFill="background1"/>
            <w:vAlign w:val="center"/>
          </w:tcPr>
          <w:p w:rsidR="00AA0D11" w:rsidRPr="00ED6132" w:rsidRDefault="00AA0D11" w:rsidP="00AA0D11">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55889AEC" wp14:editId="74AC279F">
                  <wp:extent cx="240498" cy="157715"/>
                  <wp:effectExtent l="3175" t="0" r="0" b="0"/>
                  <wp:docPr id="711" name="Obraz 711"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shd w:val="clear" w:color="auto" w:fill="FFFFFF" w:themeFill="background1"/>
            <w:vAlign w:val="center"/>
          </w:tcPr>
          <w:p w:rsidR="00AA0D11" w:rsidRPr="00B36AE4" w:rsidRDefault="00AA0D11" w:rsidP="00AA0D11">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Default="00E6089A" w:rsidP="008F04DD">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Liczba wydarzeń aktywizacyjno-integracyjnych kierowanych do mieszkańców miasta</w:t>
            </w:r>
            <w:r w:rsidR="009C398B">
              <w:rPr>
                <w:rFonts w:ascii="Calibri" w:hAnsi="Calibri" w:cs="Calibri"/>
                <w:b w:val="0"/>
                <w:color w:val="000000"/>
                <w:sz w:val="20"/>
                <w:szCs w:val="20"/>
              </w:rPr>
              <w:t xml:space="preserve"> organizowanych przez</w:t>
            </w:r>
            <w:r w:rsidR="008F04DD">
              <w:rPr>
                <w:rFonts w:ascii="Calibri" w:hAnsi="Calibri" w:cs="Calibri"/>
                <w:b w:val="0"/>
                <w:color w:val="000000"/>
                <w:sz w:val="20"/>
                <w:szCs w:val="20"/>
              </w:rPr>
              <w:t xml:space="preserve"> JST</w:t>
            </w:r>
            <w:r w:rsidR="009C398B">
              <w:rPr>
                <w:rFonts w:ascii="Calibri" w:hAnsi="Calibri" w:cs="Calibri"/>
                <w:b w:val="0"/>
                <w:color w:val="000000"/>
                <w:sz w:val="20"/>
                <w:szCs w:val="20"/>
              </w:rPr>
              <w:t xml:space="preserve"> i ich jednostki z udziałem NGO</w:t>
            </w:r>
          </w:p>
        </w:tc>
        <w:tc>
          <w:tcPr>
            <w:tcW w:w="2815" w:type="dxa"/>
            <w:gridSpan w:val="2"/>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67A38C80" wp14:editId="0851FA72">
                  <wp:extent cx="240498" cy="157715"/>
                  <wp:effectExtent l="3175" t="0" r="0" b="0"/>
                  <wp:docPr id="712" name="Obraz 712"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Default="002426AA" w:rsidP="002426AA">
            <w:pPr>
              <w:spacing w:before="0"/>
              <w:ind w:firstLine="0"/>
              <w:jc w:val="left"/>
              <w:rPr>
                <w:rFonts w:ascii="Calibri" w:hAnsi="Calibri" w:cs="Calibri"/>
                <w:b w:val="0"/>
                <w:color w:val="000000"/>
                <w:sz w:val="20"/>
                <w:szCs w:val="20"/>
              </w:rPr>
            </w:pPr>
            <w:r>
              <w:rPr>
                <w:rFonts w:ascii="Calibri" w:hAnsi="Calibri" w:cs="Calibri"/>
                <w:b w:val="0"/>
                <w:color w:val="000000"/>
                <w:sz w:val="20"/>
                <w:szCs w:val="20"/>
              </w:rPr>
              <w:t xml:space="preserve">Liczba przebudowanych, wyremontowanych, dostosowanych </w:t>
            </w:r>
            <w:r w:rsidRPr="00F50B0D">
              <w:rPr>
                <w:rFonts w:ascii="Calibri" w:hAnsi="Calibri" w:cs="Calibri"/>
                <w:b w:val="0"/>
                <w:color w:val="000000"/>
                <w:sz w:val="20"/>
                <w:szCs w:val="20"/>
              </w:rPr>
              <w:t>obiektów publicznych do potrzeb zapewnienia dostępności osobom ze szczególnymi potrzebami</w:t>
            </w:r>
          </w:p>
        </w:tc>
        <w:tc>
          <w:tcPr>
            <w:tcW w:w="2815" w:type="dxa"/>
            <w:gridSpan w:val="2"/>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2426AA" w:rsidRPr="00ED613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4C01A920" wp14:editId="76C215ED">
                  <wp:extent cx="240498" cy="157715"/>
                  <wp:effectExtent l="3175" t="0" r="0" b="0"/>
                  <wp:docPr id="713" name="Obraz 713"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306C3B">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2426AA" w:rsidRPr="00B36AE4" w:rsidRDefault="002426AA" w:rsidP="002426AA">
            <w:pPr>
              <w:tabs>
                <w:tab w:val="left" w:pos="2295"/>
              </w:tabs>
              <w:spacing w:before="0"/>
              <w:ind w:right="11" w:firstLine="0"/>
              <w:jc w:val="center"/>
              <w:rPr>
                <w:sz w:val="20"/>
                <w:szCs w:val="20"/>
              </w:rPr>
            </w:pPr>
            <w:r w:rsidRPr="00E36417">
              <w:rPr>
                <w:color w:val="DB9E0B" w:themeColor="accent5" w:themeShade="BF"/>
                <w:sz w:val="20"/>
              </w:rPr>
              <w:t>1.8 Pogłębienie współpracy obszaru HOF w zakresie usług integracji społecznej</w:t>
            </w:r>
            <w:r>
              <w:rPr>
                <w:color w:val="DB9E0B" w:themeColor="accent5" w:themeShade="BF"/>
                <w:sz w:val="20"/>
              </w:rPr>
              <w:t xml:space="preserve"> – przedsięwzięcia ZIT</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A55022" w:rsidRDefault="002426AA" w:rsidP="002426AA">
            <w:pPr>
              <w:tabs>
                <w:tab w:val="left" w:pos="2295"/>
              </w:tabs>
              <w:spacing w:before="0"/>
              <w:ind w:right="11" w:firstLine="0"/>
              <w:jc w:val="center"/>
              <w:rPr>
                <w:rFonts w:asciiTheme="minorHAnsi" w:hAnsiTheme="minorHAnsi" w:cstheme="minorHAnsi"/>
                <w:color w:val="DB9E0B" w:themeColor="accent5" w:themeShade="BF"/>
                <w:sz w:val="18"/>
                <w:szCs w:val="18"/>
              </w:rPr>
            </w:pPr>
            <w:r>
              <w:rPr>
                <w:rFonts w:asciiTheme="minorHAnsi" w:hAnsiTheme="minorHAnsi" w:cstheme="minorHAnsi"/>
                <w:sz w:val="18"/>
                <w:szCs w:val="18"/>
              </w:rPr>
              <w:t>Nazwa wskaźnika produktu – wskaźniki monitoringowe przedsięwzięć ZIT</w:t>
            </w:r>
          </w:p>
        </w:tc>
        <w:tc>
          <w:tcPr>
            <w:tcW w:w="2262" w:type="dxa"/>
            <w:vAlign w:val="center"/>
          </w:tcPr>
          <w:p w:rsidR="002426AA" w:rsidRPr="00A55022"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color w:val="DB9E0B" w:themeColor="accent5" w:themeShade="BF"/>
                <w:sz w:val="18"/>
                <w:szCs w:val="18"/>
              </w:rPr>
            </w:pPr>
            <w:r w:rsidRPr="00A55022">
              <w:rPr>
                <w:rFonts w:cstheme="minorHAnsi"/>
                <w:b/>
                <w:sz w:val="18"/>
                <w:szCs w:val="18"/>
              </w:rPr>
              <w:t xml:space="preserve">Podmioty odpowiedzialne </w:t>
            </w:r>
            <w:r w:rsidRPr="00A55022">
              <w:rPr>
                <w:rFonts w:cstheme="minorHAnsi"/>
                <w:b/>
                <w:sz w:val="18"/>
                <w:szCs w:val="18"/>
              </w:rPr>
              <w:lastRenderedPageBreak/>
              <w:t>za przekazanie danych monitoringowych</w:t>
            </w:r>
          </w:p>
        </w:tc>
        <w:tc>
          <w:tcPr>
            <w:tcW w:w="2231" w:type="dxa"/>
            <w:gridSpan w:val="2"/>
            <w:vAlign w:val="center"/>
          </w:tcPr>
          <w:p w:rsidR="002426AA" w:rsidRPr="00E57B36"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color w:val="DB9E0B" w:themeColor="accent5" w:themeShade="BF"/>
                <w:sz w:val="18"/>
                <w:szCs w:val="18"/>
              </w:rPr>
            </w:pPr>
            <w:r w:rsidRPr="00E57B36">
              <w:rPr>
                <w:rFonts w:eastAsia="Calibri"/>
                <w:b/>
                <w:sz w:val="18"/>
                <w:szCs w:val="18"/>
              </w:rPr>
              <w:lastRenderedPageBreak/>
              <w:t xml:space="preserve">Wartość szacowana </w:t>
            </w:r>
            <w:r w:rsidRPr="00E57B36">
              <w:rPr>
                <w:rFonts w:eastAsia="Calibri"/>
                <w:b/>
                <w:sz w:val="18"/>
                <w:szCs w:val="18"/>
              </w:rPr>
              <w:lastRenderedPageBreak/>
              <w:t>wskaźnika produktu</w:t>
            </w:r>
            <w:r>
              <w:rPr>
                <w:rStyle w:val="Odwoanieprzypisudolnego"/>
                <w:rFonts w:eastAsia="Calibri"/>
                <w:b/>
                <w:sz w:val="18"/>
                <w:szCs w:val="18"/>
              </w:rPr>
              <w:footnoteReference w:id="37"/>
            </w:r>
          </w:p>
        </w:tc>
        <w:tc>
          <w:tcPr>
            <w:tcW w:w="1687" w:type="dxa"/>
            <w:vAlign w:val="center"/>
          </w:tcPr>
          <w:p w:rsidR="002426AA" w:rsidRPr="00A55022"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color w:val="DB9E0B" w:themeColor="accent5" w:themeShade="BF"/>
                <w:sz w:val="18"/>
                <w:szCs w:val="18"/>
              </w:rPr>
            </w:pPr>
            <w:r w:rsidRPr="00A55022">
              <w:rPr>
                <w:rFonts w:cstheme="minorHAnsi"/>
                <w:b/>
                <w:sz w:val="18"/>
                <w:szCs w:val="18"/>
              </w:rPr>
              <w:lastRenderedPageBreak/>
              <w:t>Źródło danych</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color w:val="000000"/>
                <w:sz w:val="20"/>
                <w:szCs w:val="20"/>
              </w:rPr>
            </w:pPr>
            <w:r w:rsidRPr="00BF5EEF">
              <w:rPr>
                <w:rFonts w:asciiTheme="minorHAnsi" w:eastAsia="Calibri" w:hAnsiTheme="minorHAnsi" w:cstheme="minorHAnsi"/>
                <w:b w:val="0"/>
                <w:sz w:val="20"/>
                <w:szCs w:val="20"/>
              </w:rPr>
              <w:lastRenderedPageBreak/>
              <w:t>WLWK-PLRO132 - Liczba obiektów dostosowanych do potrzeb osób z niepełnosprawnościami (EFRR/FST/FS)</w:t>
            </w:r>
          </w:p>
        </w:tc>
        <w:tc>
          <w:tcPr>
            <w:tcW w:w="2262" w:type="dxa"/>
            <w:vMerge w:val="restart"/>
            <w:vAlign w:val="center"/>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2231" w:type="dxa"/>
            <w:gridSpan w:val="2"/>
            <w:vAlign w:val="center"/>
          </w:tcPr>
          <w:p w:rsidR="002426AA" w:rsidRPr="002F7AAE"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1</w:t>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color w:val="000000"/>
                <w:sz w:val="20"/>
                <w:szCs w:val="20"/>
              </w:rPr>
            </w:pPr>
            <w:r w:rsidRPr="00BF5EEF">
              <w:rPr>
                <w:rFonts w:asciiTheme="minorHAnsi" w:eastAsia="Calibri" w:hAnsiTheme="minorHAnsi" w:cstheme="minorHAnsi"/>
                <w:b w:val="0"/>
                <w:sz w:val="20"/>
                <w:szCs w:val="20"/>
              </w:rPr>
              <w:t>WLWK-PLRO205 - Liczba wspartych obiektów, w których realizowane są usługi społeczne</w:t>
            </w:r>
          </w:p>
        </w:tc>
        <w:tc>
          <w:tcPr>
            <w:tcW w:w="2262" w:type="dxa"/>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E91F59"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w:t>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color w:val="000000"/>
                <w:sz w:val="20"/>
                <w:szCs w:val="20"/>
              </w:rPr>
            </w:pPr>
            <w:r w:rsidRPr="00BF5EEF">
              <w:rPr>
                <w:rFonts w:asciiTheme="minorHAnsi" w:eastAsia="Calibri" w:hAnsiTheme="minorHAnsi" w:cstheme="minorHAnsi"/>
                <w:b w:val="0"/>
                <w:sz w:val="20"/>
                <w:szCs w:val="20"/>
              </w:rPr>
              <w:t xml:space="preserve">WLWK-RCO074 - Ludność objęta projektami w ramach strategii zintegrowanego rozwoju terytorialnego </w:t>
            </w:r>
            <w:r w:rsidRPr="00BF5EEF">
              <w:rPr>
                <w:rFonts w:asciiTheme="minorHAnsi" w:hAnsiTheme="minorHAnsi" w:cstheme="minorHAnsi"/>
                <w:b w:val="0"/>
                <w:i/>
                <w:sz w:val="20"/>
                <w:szCs w:val="20"/>
              </w:rPr>
              <w:t>(GUS BDL 2019)</w:t>
            </w:r>
          </w:p>
        </w:tc>
        <w:tc>
          <w:tcPr>
            <w:tcW w:w="2262" w:type="dxa"/>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27 508</w:t>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color w:val="000000"/>
                <w:sz w:val="20"/>
                <w:szCs w:val="20"/>
              </w:rPr>
            </w:pPr>
            <w:r w:rsidRPr="00BF5EEF">
              <w:rPr>
                <w:rFonts w:asciiTheme="minorHAnsi" w:eastAsia="Calibri" w:hAnsiTheme="minorHAnsi" w:cstheme="minorHAnsi"/>
                <w:b w:val="0"/>
                <w:sz w:val="20"/>
                <w:szCs w:val="20"/>
              </w:rPr>
              <w:t>WLWK-RCO075 - Wspierane strategie zintegrowanego rozwoju terytorialnego</w:t>
            </w:r>
          </w:p>
        </w:tc>
        <w:tc>
          <w:tcPr>
            <w:tcW w:w="2262" w:type="dxa"/>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1</w:t>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Height w:val="659"/>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center"/>
              <w:rPr>
                <w:rFonts w:eastAsia="Calibri" w:cstheme="minorHAnsi"/>
                <w:b w:val="0"/>
                <w:sz w:val="20"/>
                <w:szCs w:val="20"/>
              </w:rPr>
            </w:pPr>
            <w:r w:rsidRPr="00A55022">
              <w:rPr>
                <w:rFonts w:asciiTheme="minorHAnsi" w:hAnsiTheme="minorHAnsi" w:cstheme="minorHAnsi"/>
                <w:sz w:val="18"/>
                <w:szCs w:val="18"/>
              </w:rPr>
              <w:t>Nazwa wskaźnika</w:t>
            </w:r>
            <w:r>
              <w:rPr>
                <w:rFonts w:asciiTheme="minorHAnsi" w:hAnsiTheme="minorHAnsi" w:cstheme="minorHAnsi"/>
                <w:sz w:val="18"/>
                <w:szCs w:val="18"/>
              </w:rPr>
              <w:t xml:space="preserve"> </w:t>
            </w:r>
            <w:r w:rsidRPr="00A55022">
              <w:rPr>
                <w:rFonts w:asciiTheme="minorHAnsi" w:hAnsiTheme="minorHAnsi" w:cstheme="minorHAnsi"/>
                <w:sz w:val="18"/>
                <w:szCs w:val="18"/>
              </w:rPr>
              <w:t>rezultatu</w:t>
            </w:r>
            <w:r>
              <w:rPr>
                <w:rFonts w:asciiTheme="minorHAnsi" w:hAnsiTheme="minorHAnsi" w:cstheme="minorHAnsi"/>
                <w:sz w:val="18"/>
                <w:szCs w:val="18"/>
              </w:rPr>
              <w:t xml:space="preserve"> – wskaźniki monitoringowe przedsięwzięć ZIT</w:t>
            </w:r>
          </w:p>
        </w:tc>
        <w:tc>
          <w:tcPr>
            <w:tcW w:w="2262" w:type="dxa"/>
            <w:vAlign w:val="center"/>
          </w:tcPr>
          <w:p w:rsidR="002426AA" w:rsidRPr="00E57B36"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color w:val="000000"/>
                <w:sz w:val="20"/>
                <w:szCs w:val="20"/>
              </w:rPr>
            </w:pPr>
            <w:r w:rsidRPr="00E57B36">
              <w:rPr>
                <w:rFonts w:ascii="Calibri" w:eastAsia="Calibri" w:hAnsi="Calibri" w:cs="Calibri"/>
                <w:b/>
                <w:color w:val="000000"/>
                <w:sz w:val="18"/>
                <w:szCs w:val="20"/>
              </w:rPr>
              <w:t>Podmioty odpowiedzialne za przekazanie danych monitoringowych</w:t>
            </w:r>
          </w:p>
        </w:tc>
        <w:tc>
          <w:tcPr>
            <w:tcW w:w="2231" w:type="dxa"/>
            <w:gridSpan w:val="2"/>
            <w:vAlign w:val="center"/>
          </w:tcPr>
          <w:p w:rsidR="002426AA" w:rsidRPr="002F7AAE"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A55022">
              <w:rPr>
                <w:rFonts w:eastAsiaTheme="majorEastAsia" w:cstheme="minorHAnsi"/>
                <w:b/>
                <w:bCs/>
                <w:sz w:val="18"/>
                <w:szCs w:val="18"/>
              </w:rPr>
              <w:t>Wartość bazowa wskaźnika rezultatu</w:t>
            </w:r>
            <w:r>
              <w:rPr>
                <w:rFonts w:eastAsiaTheme="majorEastAsia" w:cstheme="minorHAnsi"/>
                <w:b/>
                <w:bCs/>
                <w:sz w:val="18"/>
                <w:szCs w:val="18"/>
              </w:rPr>
              <w:t xml:space="preserve"> (w nawiasie trend zmian wskaźnika rezultatu)</w:t>
            </w:r>
          </w:p>
        </w:tc>
        <w:tc>
          <w:tcPr>
            <w:tcW w:w="1687" w:type="dxa"/>
            <w:vAlign w:val="center"/>
          </w:tcPr>
          <w:p w:rsidR="002426AA" w:rsidRPr="00E57B36"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b/>
                <w:sz w:val="20"/>
                <w:szCs w:val="20"/>
              </w:rPr>
            </w:pPr>
            <w:r w:rsidRPr="00E57B36">
              <w:rPr>
                <w:b/>
                <w:sz w:val="18"/>
                <w:szCs w:val="20"/>
              </w:rPr>
              <w:t>Źródło danych</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color w:val="000000"/>
                <w:sz w:val="20"/>
                <w:szCs w:val="20"/>
              </w:rPr>
            </w:pPr>
            <w:r w:rsidRPr="00BF5EEF">
              <w:rPr>
                <w:rFonts w:asciiTheme="minorHAnsi" w:hAnsiTheme="minorHAnsi" w:cstheme="minorHAnsi"/>
                <w:b w:val="0"/>
                <w:sz w:val="20"/>
                <w:szCs w:val="20"/>
              </w:rPr>
              <w:t>PROG-FELCR02 - Roczna liczba użytkowników nowych lub zmodernizowanych podmiotów realizujących usługi społeczne</w:t>
            </w:r>
          </w:p>
        </w:tc>
        <w:tc>
          <w:tcPr>
            <w:tcW w:w="2262" w:type="dxa"/>
            <w:vMerge w:val="restart"/>
            <w:vAlign w:val="center"/>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2231" w:type="dxa"/>
            <w:gridSpan w:val="2"/>
            <w:vAlign w:val="center"/>
          </w:tcPr>
          <w:p w:rsidR="002426AA" w:rsidRPr="002F7AAE"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0 (</w:t>
            </w:r>
            <w:r w:rsidRPr="002F7AAE">
              <w:rPr>
                <w:rFonts w:ascii="Calibri" w:eastAsia="Calibri" w:hAnsi="Calibri" w:cs="Times New Roman"/>
                <w:noProof/>
                <w:sz w:val="20"/>
                <w:lang w:eastAsia="pl-PL"/>
              </w:rPr>
              <w:drawing>
                <wp:inline distT="0" distB="0" distL="0" distR="0" wp14:anchorId="34638319" wp14:editId="68A91D1D">
                  <wp:extent cx="240498" cy="157715"/>
                  <wp:effectExtent l="3175" t="0" r="0" b="0"/>
                  <wp:docPr id="560" name="Obraz 560"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r w:rsidRPr="002F7AAE">
              <w:rPr>
                <w:rFonts w:ascii="Calibri" w:eastAsia="Calibri" w:hAnsi="Calibri" w:cs="Times New Roman"/>
                <w:noProof/>
                <w:sz w:val="20"/>
                <w:lang w:eastAsia="pl-PL"/>
              </w:rPr>
              <w:t>)</w:t>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color w:val="000000"/>
                <w:sz w:val="20"/>
                <w:szCs w:val="20"/>
              </w:rPr>
            </w:pPr>
            <w:r w:rsidRPr="00BF5EEF">
              <w:rPr>
                <w:rFonts w:asciiTheme="minorHAnsi" w:eastAsia="Calibri" w:hAnsiTheme="minorHAnsi" w:cstheme="minorHAnsi"/>
                <w:b w:val="0"/>
                <w:sz w:val="20"/>
                <w:szCs w:val="20"/>
              </w:rPr>
              <w:t xml:space="preserve">WLWK-PLKLCR03 - Liczba podmiotów, które rozszerzyły ofertę wsparcia lub </w:t>
            </w:r>
            <w:proofErr w:type="gramStart"/>
            <w:r w:rsidRPr="00BF5EEF">
              <w:rPr>
                <w:rFonts w:asciiTheme="minorHAnsi" w:eastAsia="Calibri" w:hAnsiTheme="minorHAnsi" w:cstheme="minorHAnsi"/>
                <w:b w:val="0"/>
                <w:sz w:val="20"/>
                <w:szCs w:val="20"/>
              </w:rPr>
              <w:t>podniosły jakość</w:t>
            </w:r>
            <w:proofErr w:type="gramEnd"/>
            <w:r w:rsidRPr="00BF5EEF">
              <w:rPr>
                <w:rFonts w:asciiTheme="minorHAnsi" w:eastAsia="Calibri" w:hAnsiTheme="minorHAnsi" w:cstheme="minorHAnsi"/>
                <w:b w:val="0"/>
                <w:sz w:val="20"/>
                <w:szCs w:val="20"/>
              </w:rPr>
              <w:t xml:space="preserve"> oferowanych usług</w:t>
            </w:r>
          </w:p>
        </w:tc>
        <w:tc>
          <w:tcPr>
            <w:tcW w:w="2262" w:type="dxa"/>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0 (</w:t>
            </w:r>
            <w:r w:rsidRPr="002F7AAE">
              <w:rPr>
                <w:rFonts w:ascii="Calibri" w:eastAsia="Calibri" w:hAnsi="Calibri" w:cs="Times New Roman"/>
                <w:noProof/>
                <w:sz w:val="20"/>
                <w:lang w:eastAsia="pl-PL"/>
              </w:rPr>
              <w:drawing>
                <wp:inline distT="0" distB="0" distL="0" distR="0" wp14:anchorId="5AD7CF98" wp14:editId="2443D7E2">
                  <wp:extent cx="240498" cy="157715"/>
                  <wp:effectExtent l="3175" t="0" r="0" b="0"/>
                  <wp:docPr id="561" name="Obraz 561"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r w:rsidRPr="002F7AAE">
              <w:rPr>
                <w:rFonts w:ascii="Calibri" w:eastAsia="Calibri" w:hAnsi="Calibri" w:cs="Times New Roman"/>
                <w:noProof/>
                <w:sz w:val="20"/>
                <w:lang w:eastAsia="pl-PL"/>
              </w:rPr>
              <w:t>)</w:t>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2426AA" w:rsidRPr="00B36AE4" w:rsidRDefault="002426AA" w:rsidP="002426AA">
            <w:pPr>
              <w:tabs>
                <w:tab w:val="left" w:pos="2295"/>
              </w:tabs>
              <w:spacing w:before="0"/>
              <w:ind w:right="11" w:firstLine="0"/>
              <w:jc w:val="center"/>
              <w:rPr>
                <w:sz w:val="20"/>
                <w:szCs w:val="20"/>
              </w:rPr>
            </w:pPr>
            <w:r w:rsidRPr="00E260E8">
              <w:rPr>
                <w:color w:val="DB9E0B" w:themeColor="accent5" w:themeShade="BF"/>
                <w:sz w:val="20"/>
              </w:rPr>
              <w:t>1.9 Zintegrowane wzmocnienie potencjału edukacyjnego i kulturowego HOF</w:t>
            </w:r>
            <w:r>
              <w:rPr>
                <w:color w:val="DB9E0B" w:themeColor="accent5" w:themeShade="BF"/>
                <w:sz w:val="20"/>
              </w:rPr>
              <w:t xml:space="preserve"> – przedsięwzięcia ZIT</w:t>
            </w:r>
          </w:p>
        </w:tc>
      </w:tr>
      <w:tr w:rsidR="002426AA" w:rsidRPr="000C66D1" w:rsidTr="000C2F23">
        <w:trPr>
          <w:cnfStyle w:val="000000010000" w:firstRow="0" w:lastRow="0" w:firstColumn="0" w:lastColumn="0" w:oddVBand="0" w:evenVBand="0" w:oddHBand="0" w:evenHBand="1"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A55022" w:rsidRDefault="002426AA" w:rsidP="002426AA">
            <w:pPr>
              <w:tabs>
                <w:tab w:val="left" w:pos="2295"/>
              </w:tabs>
              <w:spacing w:before="0"/>
              <w:ind w:right="11" w:firstLine="0"/>
              <w:jc w:val="center"/>
              <w:rPr>
                <w:rFonts w:asciiTheme="minorHAnsi" w:hAnsiTheme="minorHAnsi" w:cstheme="minorHAnsi"/>
                <w:color w:val="DB9E0B" w:themeColor="accent5" w:themeShade="BF"/>
                <w:sz w:val="18"/>
                <w:szCs w:val="18"/>
              </w:rPr>
            </w:pPr>
            <w:r w:rsidRPr="00A55022">
              <w:rPr>
                <w:rFonts w:asciiTheme="minorHAnsi" w:hAnsiTheme="minorHAnsi" w:cstheme="minorHAnsi"/>
                <w:sz w:val="18"/>
                <w:szCs w:val="18"/>
              </w:rPr>
              <w:t xml:space="preserve">Nazwa wskaźnika produktu </w:t>
            </w:r>
            <w:r>
              <w:rPr>
                <w:rFonts w:asciiTheme="minorHAnsi" w:hAnsiTheme="minorHAnsi" w:cstheme="minorHAnsi"/>
                <w:sz w:val="18"/>
                <w:szCs w:val="18"/>
              </w:rPr>
              <w:t>– wskaźniki monitoringowe przedsięwzięć ZIT</w:t>
            </w:r>
          </w:p>
        </w:tc>
        <w:tc>
          <w:tcPr>
            <w:tcW w:w="2262" w:type="dxa"/>
            <w:vAlign w:val="center"/>
          </w:tcPr>
          <w:p w:rsidR="002426AA" w:rsidRPr="00A55022"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eastAsiaTheme="majorEastAsia" w:cstheme="minorHAnsi"/>
                <w:b/>
                <w:bCs/>
                <w:color w:val="DB9E0B" w:themeColor="accent5" w:themeShade="BF"/>
                <w:sz w:val="18"/>
                <w:szCs w:val="18"/>
              </w:rPr>
            </w:pPr>
            <w:r w:rsidRPr="00A55022">
              <w:rPr>
                <w:rFonts w:cstheme="minorHAnsi"/>
                <w:b/>
                <w:sz w:val="18"/>
                <w:szCs w:val="18"/>
              </w:rPr>
              <w:t>Podmioty odpowiedzialne za przekazanie danych monitoringowych</w:t>
            </w:r>
          </w:p>
        </w:tc>
        <w:tc>
          <w:tcPr>
            <w:tcW w:w="2231" w:type="dxa"/>
            <w:gridSpan w:val="2"/>
            <w:vAlign w:val="center"/>
          </w:tcPr>
          <w:p w:rsidR="002426AA" w:rsidRPr="00A55022"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eastAsiaTheme="majorEastAsia" w:cstheme="minorHAnsi"/>
                <w:b/>
                <w:bCs/>
                <w:color w:val="DB9E0B" w:themeColor="accent5" w:themeShade="BF"/>
                <w:sz w:val="18"/>
                <w:szCs w:val="18"/>
              </w:rPr>
            </w:pPr>
            <w:r w:rsidRPr="00E57B36">
              <w:rPr>
                <w:rFonts w:eastAsia="Calibri"/>
                <w:b/>
                <w:sz w:val="18"/>
                <w:szCs w:val="18"/>
              </w:rPr>
              <w:t>Wartość szacowana wskaźnika produktu</w:t>
            </w:r>
            <w:r>
              <w:rPr>
                <w:rStyle w:val="Odwoanieprzypisudolnego"/>
                <w:rFonts w:eastAsia="Calibri"/>
                <w:b/>
                <w:sz w:val="18"/>
                <w:szCs w:val="18"/>
              </w:rPr>
              <w:footnoteReference w:id="38"/>
            </w:r>
          </w:p>
        </w:tc>
        <w:tc>
          <w:tcPr>
            <w:tcW w:w="1687" w:type="dxa"/>
            <w:vAlign w:val="center"/>
          </w:tcPr>
          <w:p w:rsidR="002426AA" w:rsidRPr="00A55022"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eastAsiaTheme="majorEastAsia" w:cstheme="minorHAnsi"/>
                <w:b/>
                <w:bCs/>
                <w:color w:val="DB9E0B" w:themeColor="accent5" w:themeShade="BF"/>
                <w:sz w:val="18"/>
                <w:szCs w:val="18"/>
              </w:rPr>
            </w:pPr>
            <w:r w:rsidRPr="00A55022">
              <w:rPr>
                <w:rFonts w:cstheme="minorHAnsi"/>
                <w:b/>
                <w:sz w:val="18"/>
                <w:szCs w:val="18"/>
              </w:rPr>
              <w:t>Źródło danych</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color w:val="000000"/>
                <w:sz w:val="20"/>
                <w:szCs w:val="20"/>
              </w:rPr>
            </w:pPr>
            <w:r w:rsidRPr="00BF5EEF">
              <w:rPr>
                <w:rFonts w:asciiTheme="minorHAnsi" w:eastAsia="Calibri" w:hAnsiTheme="minorHAnsi" w:cstheme="minorHAnsi"/>
                <w:b w:val="0"/>
                <w:sz w:val="20"/>
                <w:szCs w:val="20"/>
              </w:rPr>
              <w:lastRenderedPageBreak/>
              <w:t>WLWK-PLRO124 - Liczba doposażonych przedszkoli</w:t>
            </w:r>
          </w:p>
        </w:tc>
        <w:tc>
          <w:tcPr>
            <w:tcW w:w="2262" w:type="dxa"/>
            <w:vMerge w:val="restart"/>
            <w:vAlign w:val="center"/>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2231" w:type="dxa"/>
            <w:gridSpan w:val="2"/>
            <w:vAlign w:val="center"/>
          </w:tcPr>
          <w:p w:rsidR="002426AA" w:rsidRPr="002F7AAE" w:rsidRDefault="00DA25BC"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5</w:t>
            </w:r>
            <w:r w:rsidR="00FD451D">
              <w:rPr>
                <w:rStyle w:val="Odwoanieprzypisudolnego"/>
                <w:rFonts w:ascii="Calibri" w:eastAsia="Calibri" w:hAnsi="Calibri" w:cs="Times New Roman"/>
                <w:noProof/>
                <w:sz w:val="20"/>
                <w:lang w:eastAsia="pl-PL"/>
              </w:rPr>
              <w:footnoteReference w:id="39"/>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color w:val="000000"/>
                <w:sz w:val="20"/>
                <w:szCs w:val="20"/>
              </w:rPr>
            </w:pPr>
            <w:r w:rsidRPr="00BF5EEF">
              <w:rPr>
                <w:rFonts w:asciiTheme="minorHAnsi" w:eastAsia="Calibri" w:hAnsiTheme="minorHAnsi" w:cstheme="minorHAnsi"/>
                <w:b w:val="0"/>
                <w:sz w:val="20"/>
                <w:szCs w:val="20"/>
              </w:rPr>
              <w:t>WLWK-PLRO132 - Liczba obiektów dostosowanych do potrzeb osób z niepełnosprawnościami (EFRR/FST/FS)</w:t>
            </w:r>
          </w:p>
        </w:tc>
        <w:tc>
          <w:tcPr>
            <w:tcW w:w="2262" w:type="dxa"/>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DA25BC">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5</w:t>
            </w:r>
            <w:r w:rsidR="00DA25BC">
              <w:rPr>
                <w:rStyle w:val="Odwoanieprzypisudolnego"/>
                <w:rFonts w:ascii="Calibri" w:eastAsia="Calibri" w:hAnsi="Calibri" w:cs="Times New Roman"/>
                <w:noProof/>
                <w:sz w:val="20"/>
                <w:lang w:eastAsia="pl-PL"/>
              </w:rPr>
              <w:footnoteReference w:id="40"/>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eastAsia="Calibri" w:hAnsiTheme="minorHAnsi" w:cstheme="minorHAnsi"/>
                <w:b w:val="0"/>
                <w:sz w:val="20"/>
                <w:szCs w:val="20"/>
              </w:rPr>
            </w:pPr>
            <w:r w:rsidRPr="00BF5EEF">
              <w:rPr>
                <w:rFonts w:asciiTheme="minorHAnsi" w:eastAsia="Calibri" w:hAnsiTheme="minorHAnsi" w:cstheme="minorHAnsi"/>
                <w:b w:val="0"/>
                <w:sz w:val="20"/>
                <w:szCs w:val="20"/>
              </w:rPr>
              <w:t>WLWK-PLRO123 - Liczba przebudowanych lub rozbudowanych przedszkoli</w:t>
            </w:r>
          </w:p>
        </w:tc>
        <w:tc>
          <w:tcPr>
            <w:tcW w:w="2262" w:type="dxa"/>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DA25BC">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5</w:t>
            </w:r>
            <w:r w:rsidR="00DA25BC">
              <w:rPr>
                <w:rStyle w:val="Odwoanieprzypisudolnego"/>
                <w:rFonts w:ascii="Calibri" w:eastAsia="Calibri" w:hAnsi="Calibri" w:cs="Times New Roman"/>
                <w:noProof/>
                <w:sz w:val="20"/>
                <w:lang w:eastAsia="pl-PL"/>
              </w:rPr>
              <w:footnoteReference w:id="41"/>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eastAsia="Calibri" w:hAnsiTheme="minorHAnsi" w:cstheme="minorHAnsi"/>
                <w:b w:val="0"/>
                <w:sz w:val="20"/>
                <w:szCs w:val="20"/>
              </w:rPr>
            </w:pPr>
            <w:r w:rsidRPr="00BF5EEF">
              <w:rPr>
                <w:rFonts w:asciiTheme="minorHAnsi" w:eastAsia="Calibri" w:hAnsiTheme="minorHAnsi" w:cstheme="minorHAnsi"/>
                <w:b w:val="0"/>
                <w:sz w:val="20"/>
                <w:szCs w:val="20"/>
              </w:rPr>
              <w:t xml:space="preserve">WLWK-RCO074 - Ludność objęta projektami w ramach strategii zintegrowanego rozwoju terytorialnego </w:t>
            </w:r>
            <w:r w:rsidRPr="00BF5EEF">
              <w:rPr>
                <w:rFonts w:asciiTheme="minorHAnsi" w:hAnsiTheme="minorHAnsi" w:cstheme="minorHAnsi"/>
                <w:b w:val="0"/>
                <w:i/>
                <w:sz w:val="20"/>
                <w:szCs w:val="20"/>
              </w:rPr>
              <w:t>(GUS BDL 2019)</w:t>
            </w:r>
          </w:p>
        </w:tc>
        <w:tc>
          <w:tcPr>
            <w:tcW w:w="2262" w:type="dxa"/>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27 508</w:t>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eastAsia="Calibri" w:hAnsiTheme="minorHAnsi" w:cstheme="minorHAnsi"/>
                <w:b w:val="0"/>
                <w:sz w:val="20"/>
                <w:szCs w:val="20"/>
              </w:rPr>
            </w:pPr>
            <w:r w:rsidRPr="00BF5EEF">
              <w:rPr>
                <w:rFonts w:asciiTheme="minorHAnsi" w:eastAsia="Calibri" w:hAnsiTheme="minorHAnsi" w:cstheme="minorHAnsi"/>
                <w:b w:val="0"/>
                <w:sz w:val="20"/>
                <w:szCs w:val="20"/>
              </w:rPr>
              <w:t>WLWK-RCO075 - Wspierane strategie zintegrowanego</w:t>
            </w:r>
            <w:r w:rsidRPr="00BF5EEF">
              <w:rPr>
                <w:rFonts w:asciiTheme="minorHAnsi" w:hAnsiTheme="minorHAnsi" w:cstheme="minorHAnsi"/>
                <w:b w:val="0"/>
                <w:sz w:val="20"/>
                <w:szCs w:val="20"/>
              </w:rPr>
              <w:t xml:space="preserve"> rozwoju terytorialnego</w:t>
            </w:r>
          </w:p>
        </w:tc>
        <w:tc>
          <w:tcPr>
            <w:tcW w:w="2262" w:type="dxa"/>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1</w:t>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5E2BA5" w:rsidRDefault="002426AA" w:rsidP="002426AA">
            <w:pPr>
              <w:spacing w:before="0"/>
              <w:ind w:firstLine="0"/>
              <w:jc w:val="left"/>
              <w:rPr>
                <w:rFonts w:asciiTheme="minorHAnsi" w:hAnsiTheme="minorHAnsi" w:cstheme="minorHAnsi"/>
                <w:b w:val="0"/>
                <w:sz w:val="20"/>
                <w:szCs w:val="20"/>
              </w:rPr>
            </w:pPr>
            <w:r w:rsidRPr="005E2BA5">
              <w:rPr>
                <w:rFonts w:asciiTheme="minorHAnsi" w:hAnsiTheme="minorHAnsi" w:cstheme="minorHAnsi"/>
                <w:b w:val="0"/>
                <w:sz w:val="20"/>
                <w:szCs w:val="20"/>
              </w:rPr>
              <w:t>WLWK-PLFCO02 - Liczba dofinansowanych miejsc wychowania przedszkolnego</w:t>
            </w:r>
          </w:p>
        </w:tc>
        <w:tc>
          <w:tcPr>
            <w:tcW w:w="2262" w:type="dxa"/>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14</w:t>
            </w:r>
            <w:r w:rsidR="00DA25BC">
              <w:rPr>
                <w:rStyle w:val="Odwoanieprzypisudolnego"/>
                <w:rFonts w:ascii="Calibri" w:eastAsia="Calibri" w:hAnsi="Calibri" w:cs="Times New Roman"/>
                <w:noProof/>
                <w:sz w:val="20"/>
                <w:lang w:eastAsia="pl-PL"/>
              </w:rPr>
              <w:footnoteReference w:id="42"/>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5E2BA5" w:rsidRDefault="002426AA" w:rsidP="002426AA">
            <w:pPr>
              <w:spacing w:before="0"/>
              <w:ind w:firstLine="0"/>
              <w:jc w:val="left"/>
              <w:rPr>
                <w:rFonts w:asciiTheme="minorHAnsi" w:hAnsiTheme="minorHAnsi" w:cstheme="minorHAnsi"/>
                <w:b w:val="0"/>
                <w:sz w:val="20"/>
                <w:szCs w:val="20"/>
              </w:rPr>
            </w:pPr>
            <w:r w:rsidRPr="005E2BA5">
              <w:rPr>
                <w:rFonts w:asciiTheme="minorHAnsi" w:eastAsia="Calibri" w:hAnsiTheme="minorHAnsi" w:cstheme="minorHAnsi"/>
                <w:b w:val="0"/>
                <w:sz w:val="20"/>
                <w:szCs w:val="20"/>
              </w:rPr>
              <w:t>WLWK-PLFCO07 - Liczba szkół i placówek systemu oświaty objętych wsparciem</w:t>
            </w:r>
          </w:p>
        </w:tc>
        <w:tc>
          <w:tcPr>
            <w:tcW w:w="2262" w:type="dxa"/>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9</w:t>
            </w:r>
            <w:r w:rsidR="00DA25BC">
              <w:rPr>
                <w:rStyle w:val="Odwoanieprzypisudolnego"/>
                <w:rFonts w:ascii="Calibri" w:eastAsia="Calibri" w:hAnsi="Calibri" w:cs="Times New Roman"/>
                <w:noProof/>
                <w:sz w:val="20"/>
                <w:lang w:eastAsia="pl-PL"/>
              </w:rPr>
              <w:footnoteReference w:id="43"/>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sz w:val="20"/>
                <w:szCs w:val="20"/>
              </w:rPr>
            </w:pPr>
            <w:r w:rsidRPr="00BF5EEF">
              <w:rPr>
                <w:rFonts w:asciiTheme="minorHAnsi" w:eastAsia="Calibri" w:hAnsiTheme="minorHAnsi" w:cstheme="minorHAnsi"/>
                <w:b w:val="0"/>
                <w:sz w:val="20"/>
                <w:szCs w:val="20"/>
              </w:rPr>
              <w:t>WLWK-PLRO141 - Liczba instytucji kultury objętych wsparciem</w:t>
            </w:r>
          </w:p>
        </w:tc>
        <w:tc>
          <w:tcPr>
            <w:tcW w:w="2262" w:type="dxa"/>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w:t>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sz w:val="20"/>
                <w:szCs w:val="20"/>
              </w:rPr>
            </w:pPr>
            <w:r w:rsidRPr="00BF5EEF">
              <w:rPr>
                <w:rFonts w:asciiTheme="minorHAnsi" w:hAnsiTheme="minorHAnsi" w:cstheme="minorHAnsi"/>
                <w:b w:val="0"/>
                <w:sz w:val="20"/>
                <w:szCs w:val="20"/>
              </w:rPr>
              <w:t>WLWK-RCO077 - Liczba obiektów kulturalnych i turystycznych objętych wsparciem</w:t>
            </w:r>
          </w:p>
        </w:tc>
        <w:tc>
          <w:tcPr>
            <w:tcW w:w="2262" w:type="dxa"/>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1</w:t>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sz w:val="20"/>
                <w:szCs w:val="20"/>
              </w:rPr>
            </w:pPr>
            <w:r w:rsidRPr="00BF5EEF">
              <w:rPr>
                <w:rFonts w:asciiTheme="minorHAnsi" w:hAnsiTheme="minorHAnsi" w:cstheme="minorHAnsi"/>
                <w:b w:val="0"/>
                <w:sz w:val="20"/>
                <w:szCs w:val="20"/>
              </w:rPr>
              <w:t>WLWK-RCO112 - Podmioty zaangażowane w przygotowanie i realizację strategii zintegrowanego rozwoju terytorialnego</w:t>
            </w:r>
          </w:p>
        </w:tc>
        <w:tc>
          <w:tcPr>
            <w:tcW w:w="2262" w:type="dxa"/>
            <w:vMerge/>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w:t>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left"/>
              <w:rPr>
                <w:rFonts w:asciiTheme="minorHAnsi" w:hAnsiTheme="minorHAnsi" w:cstheme="minorHAnsi"/>
                <w:b w:val="0"/>
                <w:sz w:val="20"/>
                <w:szCs w:val="20"/>
              </w:rPr>
            </w:pPr>
            <w:r w:rsidRPr="00BF5EEF">
              <w:rPr>
                <w:rFonts w:asciiTheme="minorHAnsi" w:hAnsiTheme="minorHAnsi" w:cstheme="minorHAnsi"/>
                <w:b w:val="0"/>
                <w:sz w:val="20"/>
                <w:szCs w:val="20"/>
              </w:rPr>
              <w:t>WLWK-RCO076 - Zintegrowane projekty rozwoju terytorialnego</w:t>
            </w:r>
          </w:p>
        </w:tc>
        <w:tc>
          <w:tcPr>
            <w:tcW w:w="2262" w:type="dxa"/>
            <w:vMerge/>
          </w:tcPr>
          <w:p w:rsidR="002426AA" w:rsidRPr="00ED6132"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2426AA" w:rsidRPr="002F7AAE"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1</w:t>
            </w:r>
          </w:p>
        </w:tc>
        <w:tc>
          <w:tcPr>
            <w:tcW w:w="1687" w:type="dxa"/>
            <w:vAlign w:val="center"/>
          </w:tcPr>
          <w:p w:rsidR="002426AA" w:rsidRPr="00B36AE4"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2426AA" w:rsidRPr="000C66D1" w:rsidTr="002426AA">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BF5EEF" w:rsidRDefault="002426AA" w:rsidP="002426AA">
            <w:pPr>
              <w:spacing w:before="0"/>
              <w:ind w:firstLine="0"/>
              <w:jc w:val="center"/>
              <w:rPr>
                <w:rFonts w:cstheme="minorHAnsi"/>
                <w:b w:val="0"/>
                <w:sz w:val="20"/>
                <w:szCs w:val="20"/>
              </w:rPr>
            </w:pPr>
            <w:r w:rsidRPr="00A55022">
              <w:rPr>
                <w:rFonts w:asciiTheme="minorHAnsi" w:hAnsiTheme="minorHAnsi" w:cstheme="minorHAnsi"/>
                <w:sz w:val="18"/>
                <w:szCs w:val="18"/>
              </w:rPr>
              <w:t>Nazwa wskaźnika</w:t>
            </w:r>
            <w:r>
              <w:rPr>
                <w:rFonts w:asciiTheme="minorHAnsi" w:hAnsiTheme="minorHAnsi" w:cstheme="minorHAnsi"/>
                <w:sz w:val="18"/>
                <w:szCs w:val="18"/>
              </w:rPr>
              <w:t xml:space="preserve"> </w:t>
            </w:r>
            <w:r w:rsidRPr="00A55022">
              <w:rPr>
                <w:rFonts w:asciiTheme="minorHAnsi" w:hAnsiTheme="minorHAnsi" w:cstheme="minorHAnsi"/>
                <w:sz w:val="18"/>
                <w:szCs w:val="18"/>
              </w:rPr>
              <w:t>rezultatu</w:t>
            </w:r>
            <w:r>
              <w:rPr>
                <w:rFonts w:asciiTheme="minorHAnsi" w:hAnsiTheme="minorHAnsi" w:cstheme="minorHAnsi"/>
                <w:sz w:val="18"/>
                <w:szCs w:val="18"/>
              </w:rPr>
              <w:t xml:space="preserve"> – wskaźniki monitoringowe przedsięwzięć ZIT</w:t>
            </w:r>
          </w:p>
        </w:tc>
        <w:tc>
          <w:tcPr>
            <w:tcW w:w="2262" w:type="dxa"/>
            <w:vAlign w:val="center"/>
          </w:tcPr>
          <w:p w:rsidR="002426AA" w:rsidRPr="00ED6132" w:rsidRDefault="002426AA" w:rsidP="002426AA">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57B36">
              <w:rPr>
                <w:rFonts w:ascii="Calibri" w:eastAsia="Calibri" w:hAnsi="Calibri" w:cs="Calibri"/>
                <w:b/>
                <w:color w:val="000000"/>
                <w:sz w:val="18"/>
                <w:szCs w:val="20"/>
              </w:rPr>
              <w:t>Podmioty odpowiedzialne za przekazanie danych monitoringowych</w:t>
            </w:r>
          </w:p>
        </w:tc>
        <w:tc>
          <w:tcPr>
            <w:tcW w:w="2231" w:type="dxa"/>
            <w:gridSpan w:val="2"/>
            <w:vAlign w:val="center"/>
          </w:tcPr>
          <w:p w:rsidR="002426AA" w:rsidRPr="002F7AAE" w:rsidRDefault="002426AA" w:rsidP="002426AA">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A55022">
              <w:rPr>
                <w:rFonts w:eastAsiaTheme="majorEastAsia" w:cstheme="minorHAnsi"/>
                <w:b/>
                <w:bCs/>
                <w:sz w:val="18"/>
                <w:szCs w:val="18"/>
              </w:rPr>
              <w:t>Wartość bazowa wskaźnika rezultatu</w:t>
            </w:r>
            <w:r>
              <w:rPr>
                <w:rFonts w:eastAsiaTheme="majorEastAsia" w:cstheme="minorHAnsi"/>
                <w:b/>
                <w:bCs/>
                <w:sz w:val="18"/>
                <w:szCs w:val="18"/>
              </w:rPr>
              <w:t xml:space="preserve"> (w nawiasie trend zmian wskaźnika rezultatu)</w:t>
            </w:r>
          </w:p>
        </w:tc>
        <w:tc>
          <w:tcPr>
            <w:tcW w:w="1687" w:type="dxa"/>
            <w:vAlign w:val="center"/>
          </w:tcPr>
          <w:p w:rsidR="002426AA" w:rsidRPr="00B36AE4" w:rsidRDefault="002426AA" w:rsidP="002426AA">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E57B36">
              <w:rPr>
                <w:b/>
                <w:sz w:val="18"/>
                <w:szCs w:val="20"/>
              </w:rPr>
              <w:t>Źródło danych</w:t>
            </w:r>
          </w:p>
        </w:tc>
      </w:tr>
      <w:tr w:rsidR="002426AA" w:rsidRPr="000C66D1" w:rsidTr="002426AA">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2426AA" w:rsidRPr="00A55022" w:rsidRDefault="002426AA" w:rsidP="002426AA">
            <w:pPr>
              <w:spacing w:before="0"/>
              <w:ind w:firstLine="0"/>
              <w:rPr>
                <w:rFonts w:cstheme="minorHAnsi"/>
                <w:sz w:val="18"/>
                <w:szCs w:val="18"/>
              </w:rPr>
            </w:pPr>
            <w:r w:rsidRPr="00BF5EEF">
              <w:rPr>
                <w:rFonts w:asciiTheme="minorHAnsi" w:hAnsiTheme="minorHAnsi" w:cstheme="minorHAnsi"/>
                <w:b w:val="0"/>
                <w:sz w:val="20"/>
                <w:szCs w:val="20"/>
              </w:rPr>
              <w:lastRenderedPageBreak/>
              <w:t>WLWK-PLFCR01 - Liczba uczniów, którzy nabyli kwalifikacje po opuszczeniu programu</w:t>
            </w:r>
          </w:p>
        </w:tc>
        <w:tc>
          <w:tcPr>
            <w:tcW w:w="2262" w:type="dxa"/>
            <w:vMerge w:val="restart"/>
            <w:vAlign w:val="center"/>
          </w:tcPr>
          <w:p w:rsidR="002426AA" w:rsidRPr="00050560" w:rsidRDefault="002426AA" w:rsidP="002426AA">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050560">
              <w:rPr>
                <w:rFonts w:ascii="Calibri" w:eastAsia="Calibri" w:hAnsi="Calibri" w:cs="Calibri"/>
                <w:color w:val="000000"/>
                <w:sz w:val="20"/>
                <w:szCs w:val="20"/>
              </w:rPr>
              <w:t>Gmina Miejska Hrubieszów, Gmina Hrubieszów</w:t>
            </w:r>
          </w:p>
        </w:tc>
        <w:tc>
          <w:tcPr>
            <w:tcW w:w="2231" w:type="dxa"/>
            <w:gridSpan w:val="2"/>
            <w:vAlign w:val="center"/>
          </w:tcPr>
          <w:p w:rsidR="002426AA" w:rsidRPr="00A55022" w:rsidRDefault="002426AA" w:rsidP="002426AA">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sz w:val="18"/>
                <w:szCs w:val="18"/>
              </w:rPr>
            </w:pPr>
            <w:r w:rsidRPr="002F7AAE">
              <w:rPr>
                <w:rFonts w:ascii="Calibri" w:eastAsia="Calibri" w:hAnsi="Calibri" w:cs="Times New Roman"/>
                <w:noProof/>
                <w:sz w:val="20"/>
                <w:lang w:eastAsia="pl-PL"/>
              </w:rPr>
              <w:t>0 (</w:t>
            </w:r>
            <w:r w:rsidRPr="002F7AAE">
              <w:rPr>
                <w:rFonts w:ascii="Calibri" w:eastAsia="Calibri" w:hAnsi="Calibri" w:cs="Times New Roman"/>
                <w:noProof/>
                <w:sz w:val="20"/>
                <w:lang w:eastAsia="pl-PL"/>
              </w:rPr>
              <w:drawing>
                <wp:inline distT="0" distB="0" distL="0" distR="0" wp14:anchorId="2EDC398C" wp14:editId="51987026">
                  <wp:extent cx="240498" cy="157715"/>
                  <wp:effectExtent l="3175" t="0" r="0" b="0"/>
                  <wp:docPr id="563" name="Obraz 563"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r w:rsidRPr="002F7AAE">
              <w:rPr>
                <w:rFonts w:ascii="Calibri" w:eastAsia="Calibri" w:hAnsi="Calibri" w:cs="Times New Roman"/>
                <w:noProof/>
                <w:sz w:val="20"/>
                <w:lang w:eastAsia="pl-PL"/>
              </w:rPr>
              <w:t>)</w:t>
            </w:r>
          </w:p>
        </w:tc>
        <w:tc>
          <w:tcPr>
            <w:tcW w:w="1687" w:type="dxa"/>
            <w:vAlign w:val="center"/>
          </w:tcPr>
          <w:p w:rsidR="002426AA" w:rsidRPr="00E57B36" w:rsidRDefault="002426AA" w:rsidP="002426AA">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b/>
                <w:sz w:val="18"/>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BF5EEF" w:rsidRDefault="00122CC3" w:rsidP="00122CC3">
            <w:pPr>
              <w:spacing w:before="0"/>
              <w:ind w:firstLine="0"/>
              <w:jc w:val="left"/>
              <w:rPr>
                <w:rFonts w:asciiTheme="minorHAnsi" w:hAnsiTheme="minorHAnsi" w:cstheme="minorHAnsi"/>
                <w:b w:val="0"/>
                <w:sz w:val="20"/>
                <w:szCs w:val="20"/>
              </w:rPr>
            </w:pPr>
            <w:r w:rsidRPr="00BF5EEF">
              <w:rPr>
                <w:rFonts w:asciiTheme="minorHAnsi" w:hAnsiTheme="minorHAnsi" w:cstheme="minorHAnsi"/>
                <w:b w:val="0"/>
                <w:sz w:val="20"/>
                <w:szCs w:val="20"/>
              </w:rPr>
              <w:t>WLWK-RCR070 - Roczna liczba użytkowników nowych lub zmodernizowanych placówek opieki nad dziećmi</w:t>
            </w:r>
            <w:r>
              <w:rPr>
                <w:rFonts w:asciiTheme="minorHAnsi" w:hAnsiTheme="minorHAnsi" w:cstheme="minorHAnsi"/>
                <w:b w:val="0"/>
                <w:sz w:val="20"/>
                <w:szCs w:val="20"/>
              </w:rPr>
              <w:t xml:space="preserve"> (r)</w:t>
            </w:r>
          </w:p>
        </w:tc>
        <w:tc>
          <w:tcPr>
            <w:tcW w:w="2262" w:type="dxa"/>
            <w:vMerge/>
            <w:vAlign w:val="center"/>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122CC3" w:rsidRPr="002F7AAE"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0 (</w:t>
            </w:r>
            <w:r w:rsidRPr="002F7AAE">
              <w:rPr>
                <w:rFonts w:ascii="Calibri" w:eastAsia="Calibri" w:hAnsi="Calibri" w:cs="Times New Roman"/>
                <w:noProof/>
                <w:sz w:val="20"/>
                <w:lang w:eastAsia="pl-PL"/>
              </w:rPr>
              <w:drawing>
                <wp:inline distT="0" distB="0" distL="0" distR="0" wp14:anchorId="71774208" wp14:editId="072D1A75">
                  <wp:extent cx="240498" cy="157715"/>
                  <wp:effectExtent l="3175" t="0" r="0" b="0"/>
                  <wp:docPr id="562" name="Obraz 562"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r w:rsidRPr="002F7AAE">
              <w:rPr>
                <w:rFonts w:ascii="Calibri" w:eastAsia="Calibri" w:hAnsi="Calibri" w:cs="Times New Roman"/>
                <w:noProof/>
                <w:sz w:val="20"/>
                <w:lang w:eastAsia="pl-PL"/>
              </w:rPr>
              <w:t>)</w:t>
            </w:r>
          </w:p>
        </w:tc>
        <w:tc>
          <w:tcPr>
            <w:tcW w:w="1687" w:type="dxa"/>
            <w:vAlign w:val="center"/>
          </w:tcPr>
          <w:p w:rsidR="00122CC3" w:rsidRPr="00B36AE4"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BF5EEF" w:rsidRDefault="00122CC3" w:rsidP="00122CC3">
            <w:pPr>
              <w:spacing w:before="0"/>
              <w:ind w:firstLine="0"/>
              <w:jc w:val="left"/>
              <w:rPr>
                <w:rFonts w:asciiTheme="minorHAnsi" w:hAnsiTheme="minorHAnsi" w:cstheme="minorHAnsi"/>
                <w:b w:val="0"/>
                <w:sz w:val="20"/>
                <w:szCs w:val="20"/>
              </w:rPr>
            </w:pPr>
            <w:r w:rsidRPr="00BF5EEF">
              <w:rPr>
                <w:rFonts w:asciiTheme="minorHAnsi" w:hAnsiTheme="minorHAnsi" w:cstheme="minorHAnsi"/>
                <w:b w:val="0"/>
                <w:sz w:val="20"/>
                <w:szCs w:val="20"/>
              </w:rPr>
              <w:t>WLWK-RCR077 - Liczba osób odwiedzających obiekty kulturalne i turystyczne objęte wsparciem</w:t>
            </w:r>
          </w:p>
        </w:tc>
        <w:tc>
          <w:tcPr>
            <w:tcW w:w="2262" w:type="dxa"/>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2231" w:type="dxa"/>
            <w:gridSpan w:val="2"/>
            <w:vAlign w:val="center"/>
          </w:tcPr>
          <w:p w:rsidR="00122CC3" w:rsidRPr="002F7AAE"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0 (</w:t>
            </w:r>
            <w:r w:rsidRPr="002F7AAE">
              <w:rPr>
                <w:rFonts w:ascii="Calibri" w:eastAsia="Calibri" w:hAnsi="Calibri" w:cs="Times New Roman"/>
                <w:noProof/>
                <w:sz w:val="20"/>
                <w:lang w:eastAsia="pl-PL"/>
              </w:rPr>
              <w:drawing>
                <wp:inline distT="0" distB="0" distL="0" distR="0" wp14:anchorId="685C9D0B" wp14:editId="4401A515">
                  <wp:extent cx="240498" cy="157715"/>
                  <wp:effectExtent l="3175" t="0" r="0" b="0"/>
                  <wp:docPr id="564" name="Obraz 564"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r w:rsidRPr="002F7AAE">
              <w:rPr>
                <w:rFonts w:ascii="Calibri" w:eastAsia="Calibri" w:hAnsi="Calibri" w:cs="Times New Roman"/>
                <w:noProof/>
                <w:sz w:val="20"/>
                <w:lang w:eastAsia="pl-PL"/>
              </w:rPr>
              <w:t>)</w:t>
            </w:r>
          </w:p>
        </w:tc>
        <w:tc>
          <w:tcPr>
            <w:tcW w:w="1687" w:type="dxa"/>
            <w:vAlign w:val="center"/>
          </w:tcPr>
          <w:p w:rsidR="00122CC3" w:rsidRPr="00B36AE4"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shd w:val="clear" w:color="auto" w:fill="2861A9" w:themeFill="accent2" w:themeFillShade="BF"/>
          </w:tcPr>
          <w:p w:rsidR="00122CC3" w:rsidRPr="00227F6F" w:rsidRDefault="00122CC3" w:rsidP="00122CC3">
            <w:pPr>
              <w:spacing w:before="0"/>
              <w:ind w:firstLine="0"/>
              <w:jc w:val="center"/>
              <w:rPr>
                <w:rFonts w:asciiTheme="minorHAnsi" w:hAnsiTheme="minorHAnsi" w:cstheme="minorHAnsi"/>
                <w:color w:val="FFFFFF" w:themeColor="background1"/>
                <w:sz w:val="20"/>
                <w:szCs w:val="20"/>
              </w:rPr>
            </w:pPr>
            <w:r w:rsidRPr="00227F6F">
              <w:rPr>
                <w:rFonts w:cs="Calibri"/>
                <w:color w:val="FFFFFF" w:themeColor="background1"/>
                <w:sz w:val="20"/>
                <w:szCs w:val="20"/>
              </w:rPr>
              <w:t xml:space="preserve">Cel strategiczny </w:t>
            </w:r>
            <w:r w:rsidRPr="00227F6F">
              <w:rPr>
                <w:color w:val="FFFFFF" w:themeColor="background1"/>
                <w:sz w:val="20"/>
                <w:szCs w:val="20"/>
              </w:rPr>
              <w:t>2. CZYSTE ŚRODOWISKO I ADAPTACJA DO ZMIAN KLIMATU</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tcPr>
          <w:p w:rsidR="00122CC3" w:rsidRPr="00E36417" w:rsidRDefault="00122CC3" w:rsidP="00122CC3">
            <w:pPr>
              <w:spacing w:before="0"/>
              <w:ind w:firstLine="0"/>
              <w:jc w:val="center"/>
              <w:rPr>
                <w:sz w:val="20"/>
                <w:szCs w:val="20"/>
              </w:rPr>
            </w:pPr>
            <w:r w:rsidRPr="00ED6132">
              <w:rPr>
                <w:sz w:val="20"/>
                <w:szCs w:val="20"/>
              </w:rPr>
              <w:t xml:space="preserve">Cel operacyjny 2.1 Racjonalne </w:t>
            </w:r>
            <w:r>
              <w:rPr>
                <w:sz w:val="20"/>
                <w:szCs w:val="20"/>
              </w:rPr>
              <w:t>gospodarowanie zasobami wodnymi</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0C66D1" w:rsidRDefault="00122CC3" w:rsidP="00122CC3">
            <w:pPr>
              <w:spacing w:before="0"/>
              <w:ind w:right="-249" w:firstLine="0"/>
              <w:jc w:val="left"/>
              <w:rPr>
                <w:rFonts w:asciiTheme="minorHAnsi" w:hAnsiTheme="minorHAnsi" w:cstheme="minorHAnsi"/>
                <w:b w:val="0"/>
                <w:sz w:val="20"/>
                <w:szCs w:val="20"/>
              </w:rPr>
            </w:pPr>
            <w:r>
              <w:rPr>
                <w:rFonts w:asciiTheme="minorHAnsi" w:hAnsiTheme="minorHAnsi" w:cstheme="minorHAnsi"/>
                <w:b w:val="0"/>
                <w:sz w:val="20"/>
                <w:szCs w:val="20"/>
              </w:rPr>
              <w:t>Liczba wybudowanych/zmodernizowanych obiektów związanych z retencją lub zagospodarowaniem wód opadowych</w:t>
            </w:r>
          </w:p>
        </w:tc>
        <w:tc>
          <w:tcPr>
            <w:tcW w:w="2815" w:type="dxa"/>
            <w:gridSpan w:val="2"/>
            <w:vMerge w:val="restart"/>
            <w:vAlign w:val="center"/>
          </w:tcPr>
          <w:p w:rsidR="00122CC3" w:rsidRPr="000C66D1"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122CC3" w:rsidRPr="000C66D1"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ED6132">
              <w:rPr>
                <w:rFonts w:ascii="Calibri" w:eastAsia="Calibri" w:hAnsi="Calibri" w:cs="Times New Roman"/>
                <w:noProof/>
                <w:lang w:eastAsia="pl-PL"/>
              </w:rPr>
              <w:drawing>
                <wp:inline distT="0" distB="0" distL="0" distR="0" wp14:anchorId="114701B6" wp14:editId="6C195BE9">
                  <wp:extent cx="261110" cy="171232"/>
                  <wp:effectExtent l="6985" t="0" r="0" b="0"/>
                  <wp:docPr id="690" name="Obraz 690"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0C66D1" w:rsidRDefault="00122CC3" w:rsidP="00122CC3">
            <w:pPr>
              <w:spacing w:before="0"/>
              <w:ind w:right="-249" w:firstLine="0"/>
              <w:jc w:val="left"/>
              <w:rPr>
                <w:rFonts w:cstheme="minorHAnsi"/>
                <w:b w:val="0"/>
                <w:sz w:val="20"/>
                <w:szCs w:val="20"/>
              </w:rPr>
            </w:pPr>
            <w:r w:rsidRPr="00044BF6">
              <w:rPr>
                <w:rFonts w:asciiTheme="minorHAnsi" w:hAnsiTheme="minorHAnsi" w:cstheme="minorHAnsi"/>
                <w:b w:val="0"/>
                <w:sz w:val="20"/>
                <w:szCs w:val="20"/>
              </w:rPr>
              <w:t>Długość wybudowanej/ przebudowanej/ zmodernizowanej/ rozbudowanej sieci wodno-kanalizacyjnej</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23E7EDB6" wp14:editId="13972088">
                  <wp:extent cx="261110" cy="171232"/>
                  <wp:effectExtent l="6985" t="0" r="0" b="0"/>
                  <wp:docPr id="721" name="Obraz 721"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E36417" w:rsidRDefault="00122CC3" w:rsidP="00122CC3">
            <w:pPr>
              <w:spacing w:before="0"/>
              <w:ind w:firstLine="0"/>
              <w:jc w:val="center"/>
              <w:rPr>
                <w:sz w:val="20"/>
                <w:szCs w:val="20"/>
              </w:rPr>
            </w:pPr>
            <w:r w:rsidRPr="00ED6132">
              <w:rPr>
                <w:sz w:val="20"/>
                <w:szCs w:val="20"/>
              </w:rPr>
              <w:t>Cel operacyjny 2.2 Transformacja gospodarki odpadam</w:t>
            </w:r>
            <w:r>
              <w:rPr>
                <w:sz w:val="20"/>
                <w:szCs w:val="20"/>
              </w:rPr>
              <w:t>i w kierunku obiegu zamkniętego</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0C66D1" w:rsidRDefault="00122CC3" w:rsidP="00122CC3">
            <w:pPr>
              <w:spacing w:before="0"/>
              <w:ind w:right="-249" w:firstLine="0"/>
              <w:jc w:val="left"/>
              <w:rPr>
                <w:rFonts w:cstheme="minorHAnsi"/>
                <w:b w:val="0"/>
                <w:sz w:val="20"/>
                <w:szCs w:val="20"/>
              </w:rPr>
            </w:pPr>
            <w:r w:rsidRPr="00044BF6">
              <w:rPr>
                <w:rFonts w:asciiTheme="minorHAnsi" w:hAnsiTheme="minorHAnsi" w:cstheme="minorHAnsi"/>
                <w:b w:val="0"/>
                <w:bCs w:val="0"/>
                <w:sz w:val="20"/>
                <w:szCs w:val="20"/>
              </w:rPr>
              <w:t xml:space="preserve">Liczba obiektów objętych Programem usuwania azbestu i wyrobów </w:t>
            </w:r>
            <w:r w:rsidRPr="00044BF6">
              <w:rPr>
                <w:rFonts w:asciiTheme="minorHAnsi" w:hAnsiTheme="minorHAnsi" w:cstheme="minorHAnsi"/>
                <w:b w:val="0"/>
                <w:sz w:val="20"/>
                <w:szCs w:val="20"/>
              </w:rPr>
              <w:t>zawierających</w:t>
            </w:r>
            <w:r w:rsidRPr="00044BF6">
              <w:rPr>
                <w:rFonts w:asciiTheme="minorHAnsi" w:hAnsiTheme="minorHAnsi" w:cstheme="minorHAnsi"/>
                <w:b w:val="0"/>
                <w:bCs w:val="0"/>
                <w:sz w:val="20"/>
                <w:szCs w:val="20"/>
              </w:rPr>
              <w:t xml:space="preserve"> azbest</w:t>
            </w:r>
          </w:p>
        </w:tc>
        <w:tc>
          <w:tcPr>
            <w:tcW w:w="2815" w:type="dxa"/>
            <w:gridSpan w:val="2"/>
            <w:vMerge w:val="restart"/>
            <w:vAlign w:val="center"/>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4A14AC6A" wp14:editId="16273953">
                  <wp:extent cx="261110" cy="171232"/>
                  <wp:effectExtent l="6985" t="0" r="0" b="0"/>
                  <wp:docPr id="722" name="Obraz 722"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22CC3" w:rsidRDefault="00122CC3" w:rsidP="00122CC3">
            <w:pPr>
              <w:spacing w:before="0"/>
              <w:ind w:right="-249" w:firstLine="0"/>
              <w:jc w:val="left"/>
              <w:rPr>
                <w:rFonts w:asciiTheme="minorHAnsi" w:hAnsiTheme="minorHAnsi" w:cstheme="minorHAnsi"/>
                <w:b w:val="0"/>
                <w:sz w:val="20"/>
                <w:szCs w:val="20"/>
              </w:rPr>
            </w:pPr>
            <w:r w:rsidRPr="00122CC3">
              <w:rPr>
                <w:rFonts w:asciiTheme="minorHAnsi" w:hAnsiTheme="minorHAnsi" w:cstheme="minorHAnsi"/>
                <w:b w:val="0"/>
                <w:sz w:val="20"/>
                <w:szCs w:val="20"/>
              </w:rPr>
              <w:t>Liczba wybudowanych obiektów infrastrukturalnych wspierających gospodarkę odpadami w obiegu zamkniętym</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0EE8F7C6" wp14:editId="1A761251">
                  <wp:extent cx="261110" cy="171232"/>
                  <wp:effectExtent l="6985" t="0" r="0" b="0"/>
                  <wp:docPr id="745" name="Obraz 745"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2409DC" w:rsidRDefault="00122CC3" w:rsidP="00122CC3">
            <w:pPr>
              <w:spacing w:before="0"/>
              <w:ind w:firstLine="0"/>
              <w:jc w:val="center"/>
              <w:rPr>
                <w:sz w:val="20"/>
                <w:szCs w:val="20"/>
              </w:rPr>
            </w:pPr>
            <w:r w:rsidRPr="00ED6132">
              <w:rPr>
                <w:sz w:val="20"/>
                <w:szCs w:val="20"/>
              </w:rPr>
              <w:t xml:space="preserve">Cel operacyjny 2.3 Transformacja </w:t>
            </w:r>
            <w:r>
              <w:rPr>
                <w:sz w:val="20"/>
                <w:szCs w:val="20"/>
              </w:rPr>
              <w:t>energetyczna i czyste powietrze</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122CC3" w:rsidP="00122CC3">
            <w:pPr>
              <w:spacing w:before="0"/>
              <w:ind w:right="-249"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Udział liczby mieszkań komunalnych ogrzewanych paliwem stałym w ogólnej liczbie mieszkań komunalnych</w:t>
            </w:r>
          </w:p>
        </w:tc>
        <w:tc>
          <w:tcPr>
            <w:tcW w:w="2815" w:type="dxa"/>
            <w:gridSpan w:val="2"/>
            <w:vMerge w:val="restart"/>
            <w:vAlign w:val="center"/>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56464B00" wp14:editId="61B830BD">
                  <wp:extent cx="230225" cy="150978"/>
                  <wp:effectExtent l="1587" t="0" r="318" b="317"/>
                  <wp:docPr id="91" name="Obraz 91"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333" t="15150" r="2513" b="11259"/>
                          <a:stretch/>
                        </pic:blipFill>
                        <pic:spPr bwMode="auto">
                          <a:xfrm rot="5400000">
                            <a:off x="0" y="0"/>
                            <a:ext cx="233589" cy="1531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122CC3" w:rsidP="00AA0D11">
            <w:pPr>
              <w:spacing w:before="0"/>
              <w:ind w:right="-249"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Liczba</w:t>
            </w:r>
            <w:r w:rsidR="00AA0D11">
              <w:rPr>
                <w:rFonts w:asciiTheme="minorHAnsi" w:hAnsiTheme="minorHAnsi" w:cstheme="minorHAnsi"/>
                <w:b w:val="0"/>
                <w:sz w:val="20"/>
                <w:szCs w:val="20"/>
              </w:rPr>
              <w:t xml:space="preserve"> budynków</w:t>
            </w:r>
            <w:r w:rsidRPr="00170C19">
              <w:rPr>
                <w:rFonts w:asciiTheme="minorHAnsi" w:hAnsiTheme="minorHAnsi" w:cstheme="minorHAnsi"/>
                <w:b w:val="0"/>
                <w:sz w:val="20"/>
                <w:szCs w:val="20"/>
              </w:rPr>
              <w:t xml:space="preserve"> publicznych dofinansowanych w celu poprawy efektywności energetycznej</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7232B885" wp14:editId="1EDDBBCE">
                  <wp:extent cx="261110" cy="171232"/>
                  <wp:effectExtent l="6985" t="0" r="0" b="0"/>
                  <wp:docPr id="705" name="Obraz 705"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122CC3" w:rsidP="00122CC3">
            <w:pPr>
              <w:spacing w:before="0"/>
              <w:ind w:right="-249"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 xml:space="preserve">Liczba budynków </w:t>
            </w:r>
            <w:r>
              <w:rPr>
                <w:rFonts w:asciiTheme="minorHAnsi" w:hAnsiTheme="minorHAnsi" w:cstheme="minorHAnsi"/>
                <w:b w:val="0"/>
                <w:sz w:val="20"/>
                <w:szCs w:val="20"/>
              </w:rPr>
              <w:t xml:space="preserve">publicznych </w:t>
            </w:r>
            <w:r w:rsidRPr="00170C19">
              <w:rPr>
                <w:rFonts w:asciiTheme="minorHAnsi" w:hAnsiTheme="minorHAnsi" w:cstheme="minorHAnsi"/>
                <w:b w:val="0"/>
                <w:sz w:val="20"/>
                <w:szCs w:val="20"/>
              </w:rPr>
              <w:t>podłączonych do sieci ciepłowniczej lub gazowej wraz z eliminacją źródła ciepła na paliwo stałe</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3594C727" wp14:editId="27A8E1A9">
                  <wp:extent cx="230225" cy="150978"/>
                  <wp:effectExtent l="1587" t="0" r="318" b="317"/>
                  <wp:docPr id="704" name="Obraz 704"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333" t="15150" r="2513" b="11259"/>
                          <a:stretch/>
                        </pic:blipFill>
                        <pic:spPr bwMode="auto">
                          <a:xfrm rot="5400000">
                            <a:off x="0" y="0"/>
                            <a:ext cx="233589" cy="1531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122CC3" w:rsidP="00122CC3">
            <w:pPr>
              <w:spacing w:before="0"/>
              <w:ind w:right="-249"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Liczba instalacji OZE wykorzystywanych w budynkach użyteczności publicznej</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14E5D69B" wp14:editId="5066B35A">
                  <wp:extent cx="275354" cy="180575"/>
                  <wp:effectExtent l="9208" t="0" r="952" b="953"/>
                  <wp:docPr id="719" name="Obraz 719"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83587" cy="185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2409DC" w:rsidRDefault="00122CC3" w:rsidP="00122CC3">
            <w:pPr>
              <w:spacing w:before="0"/>
              <w:ind w:firstLine="0"/>
              <w:jc w:val="center"/>
              <w:rPr>
                <w:sz w:val="20"/>
                <w:szCs w:val="20"/>
              </w:rPr>
            </w:pPr>
            <w:r w:rsidRPr="00ED6132">
              <w:rPr>
                <w:sz w:val="20"/>
                <w:szCs w:val="20"/>
              </w:rPr>
              <w:t>Cel operacyjny 2.4 Ochrona walorów przyrodni</w:t>
            </w:r>
            <w:r>
              <w:rPr>
                <w:sz w:val="20"/>
                <w:szCs w:val="20"/>
              </w:rPr>
              <w:t>czych i kulturowych obszaru HOF</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FD265C" w:rsidRDefault="00122CC3" w:rsidP="00122CC3">
            <w:pPr>
              <w:spacing w:before="0"/>
              <w:ind w:right="-249" w:firstLine="0"/>
              <w:jc w:val="left"/>
              <w:rPr>
                <w:rFonts w:asciiTheme="minorHAnsi" w:hAnsiTheme="minorHAnsi" w:cstheme="minorHAnsi"/>
                <w:b w:val="0"/>
                <w:sz w:val="20"/>
                <w:szCs w:val="20"/>
              </w:rPr>
            </w:pPr>
            <w:r w:rsidRPr="00FD265C">
              <w:rPr>
                <w:rFonts w:asciiTheme="minorHAnsi" w:hAnsiTheme="minorHAnsi" w:cstheme="minorHAnsi"/>
                <w:b w:val="0"/>
                <w:sz w:val="20"/>
                <w:szCs w:val="20"/>
              </w:rPr>
              <w:t>Liczba wspartych</w:t>
            </w:r>
            <w:r>
              <w:rPr>
                <w:rFonts w:asciiTheme="minorHAnsi" w:hAnsiTheme="minorHAnsi" w:cstheme="minorHAnsi"/>
                <w:b w:val="0"/>
                <w:sz w:val="20"/>
                <w:szCs w:val="20"/>
              </w:rPr>
              <w:t xml:space="preserve"> publicznych</w:t>
            </w:r>
            <w:r w:rsidRPr="00FD265C">
              <w:rPr>
                <w:rFonts w:asciiTheme="minorHAnsi" w:hAnsiTheme="minorHAnsi" w:cstheme="minorHAnsi"/>
                <w:b w:val="0"/>
                <w:sz w:val="20"/>
                <w:szCs w:val="20"/>
              </w:rPr>
              <w:t xml:space="preserve"> inicjatyw chroniących środowisko lądowe i wodne</w:t>
            </w:r>
          </w:p>
        </w:tc>
        <w:tc>
          <w:tcPr>
            <w:tcW w:w="2815" w:type="dxa"/>
            <w:gridSpan w:val="2"/>
            <w:vMerge w:val="restart"/>
            <w:vAlign w:val="center"/>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FD265C">
              <w:rPr>
                <w:rFonts w:ascii="Calibri" w:eastAsia="Calibri" w:hAnsi="Calibri" w:cs="Calibri"/>
                <w:color w:val="000000"/>
                <w:sz w:val="20"/>
                <w:szCs w:val="20"/>
              </w:rPr>
              <w:t>Gmina Miejska Hrubieszów, Gmina Hrubieszów</w:t>
            </w:r>
          </w:p>
        </w:tc>
        <w:tc>
          <w:tcPr>
            <w:tcW w:w="1678" w:type="dxa"/>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4C160F7D" wp14:editId="055D19B6">
                  <wp:extent cx="275354" cy="180575"/>
                  <wp:effectExtent l="9208" t="0" r="952" b="953"/>
                  <wp:docPr id="720" name="Obraz 720"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83587" cy="185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FD265C" w:rsidRDefault="00122CC3" w:rsidP="00122CC3">
            <w:pPr>
              <w:spacing w:before="0"/>
              <w:ind w:right="-249" w:firstLine="0"/>
              <w:jc w:val="left"/>
              <w:rPr>
                <w:rFonts w:asciiTheme="minorHAnsi" w:hAnsiTheme="minorHAnsi" w:cstheme="minorHAnsi"/>
                <w:b w:val="0"/>
                <w:sz w:val="20"/>
                <w:szCs w:val="20"/>
              </w:rPr>
            </w:pPr>
            <w:r w:rsidRPr="00FD265C">
              <w:rPr>
                <w:rFonts w:asciiTheme="minorHAnsi" w:hAnsiTheme="minorHAnsi" w:cstheme="minorHAnsi"/>
                <w:b w:val="0"/>
                <w:sz w:val="20"/>
                <w:szCs w:val="20"/>
              </w:rPr>
              <w:t>Liczba wspartych</w:t>
            </w:r>
            <w:r>
              <w:rPr>
                <w:rFonts w:asciiTheme="minorHAnsi" w:hAnsiTheme="minorHAnsi" w:cstheme="minorHAnsi"/>
                <w:b w:val="0"/>
                <w:sz w:val="20"/>
                <w:szCs w:val="20"/>
              </w:rPr>
              <w:t xml:space="preserve"> publicznych</w:t>
            </w:r>
            <w:r w:rsidRPr="00FD265C">
              <w:rPr>
                <w:rFonts w:asciiTheme="minorHAnsi" w:hAnsiTheme="minorHAnsi" w:cstheme="minorHAnsi"/>
                <w:b w:val="0"/>
                <w:sz w:val="20"/>
                <w:szCs w:val="20"/>
              </w:rPr>
              <w:t xml:space="preserve"> inicjatyw chroniących środowisko lądowe i wodne</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13385ACC" wp14:editId="74000585">
                  <wp:extent cx="275354" cy="180575"/>
                  <wp:effectExtent l="9208" t="0" r="952" b="953"/>
                  <wp:docPr id="744" name="Obraz 744"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83587" cy="185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2409DC" w:rsidRDefault="00122CC3" w:rsidP="00122CC3">
            <w:pPr>
              <w:spacing w:before="0"/>
              <w:ind w:firstLine="0"/>
              <w:jc w:val="center"/>
              <w:rPr>
                <w:sz w:val="20"/>
                <w:szCs w:val="20"/>
              </w:rPr>
            </w:pPr>
            <w:r w:rsidRPr="00ED6132">
              <w:rPr>
                <w:sz w:val="20"/>
                <w:szCs w:val="20"/>
              </w:rPr>
              <w:t>Cel operacyjny 2.5 Edukacja ekologiczna i kształtowanie postaw proekologicznych wśród mieszkańców</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0C66D1" w:rsidRDefault="00122CC3" w:rsidP="00122CC3">
            <w:pPr>
              <w:spacing w:before="0"/>
              <w:ind w:right="-249" w:firstLine="0"/>
              <w:jc w:val="left"/>
              <w:rPr>
                <w:rFonts w:cstheme="minorHAnsi"/>
                <w:b w:val="0"/>
                <w:sz w:val="20"/>
                <w:szCs w:val="20"/>
              </w:rPr>
            </w:pPr>
            <w:r w:rsidRPr="00044BF6">
              <w:rPr>
                <w:rFonts w:asciiTheme="minorHAnsi" w:hAnsiTheme="minorHAnsi" w:cstheme="minorHAnsi"/>
                <w:b w:val="0"/>
                <w:sz w:val="20"/>
              </w:rPr>
              <w:t>Liczba zrealizowanych kampanii, projektów informacyjno-edukacyjnych</w:t>
            </w:r>
            <w:r>
              <w:rPr>
                <w:rFonts w:asciiTheme="minorHAnsi" w:hAnsiTheme="minorHAnsi" w:cstheme="minorHAnsi"/>
                <w:b w:val="0"/>
                <w:sz w:val="20"/>
              </w:rPr>
              <w:t xml:space="preserve"> organizowanych przez </w:t>
            </w:r>
            <w:proofErr w:type="spellStart"/>
            <w:r>
              <w:rPr>
                <w:rFonts w:asciiTheme="minorHAnsi" w:hAnsiTheme="minorHAnsi" w:cstheme="minorHAnsi"/>
                <w:b w:val="0"/>
                <w:sz w:val="20"/>
              </w:rPr>
              <w:t>jst</w:t>
            </w:r>
            <w:proofErr w:type="spellEnd"/>
            <w:r w:rsidRPr="00044BF6">
              <w:rPr>
                <w:rFonts w:asciiTheme="minorHAnsi" w:hAnsiTheme="minorHAnsi" w:cstheme="minorHAnsi"/>
                <w:b w:val="0"/>
                <w:sz w:val="20"/>
              </w:rPr>
              <w:t xml:space="preserve"> o tematyce ekologicznej</w:t>
            </w:r>
          </w:p>
        </w:tc>
        <w:tc>
          <w:tcPr>
            <w:tcW w:w="2815" w:type="dxa"/>
            <w:gridSpan w:val="2"/>
            <w:vMerge w:val="restart"/>
            <w:vAlign w:val="center"/>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26A7F30B" wp14:editId="1423C018">
                  <wp:extent cx="275354" cy="180575"/>
                  <wp:effectExtent l="9208" t="0" r="952" b="953"/>
                  <wp:docPr id="723" name="Obraz 723"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83587" cy="185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0C66D1" w:rsidRDefault="00122CC3" w:rsidP="00122CC3">
            <w:pPr>
              <w:spacing w:before="0"/>
              <w:ind w:right="-249" w:firstLine="0"/>
              <w:jc w:val="left"/>
              <w:rPr>
                <w:rFonts w:cstheme="minorHAnsi"/>
                <w:b w:val="0"/>
                <w:sz w:val="20"/>
                <w:szCs w:val="20"/>
              </w:rPr>
            </w:pPr>
            <w:r w:rsidRPr="00587861">
              <w:rPr>
                <w:rFonts w:asciiTheme="minorHAnsi" w:hAnsiTheme="minorHAnsi" w:cstheme="minorHAnsi"/>
                <w:b w:val="0"/>
                <w:sz w:val="20"/>
                <w:szCs w:val="20"/>
              </w:rPr>
              <w:lastRenderedPageBreak/>
              <w:t>Liczba uczestników kampanii ekologicznych</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3A8D1D0E" wp14:editId="52A06EBD">
                  <wp:extent cx="275354" cy="180575"/>
                  <wp:effectExtent l="9208" t="0" r="952" b="953"/>
                  <wp:docPr id="724" name="Obraz 724"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83587" cy="1859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0C66D1" w:rsidRDefault="00122CC3" w:rsidP="00122CC3">
            <w:pPr>
              <w:tabs>
                <w:tab w:val="left" w:pos="2295"/>
              </w:tabs>
              <w:spacing w:before="0"/>
              <w:ind w:right="11" w:firstLine="0"/>
              <w:jc w:val="center"/>
              <w:rPr>
                <w:rFonts w:cstheme="minorHAnsi"/>
                <w:sz w:val="20"/>
                <w:szCs w:val="20"/>
              </w:rPr>
            </w:pPr>
            <w:r w:rsidRPr="00E260E8">
              <w:rPr>
                <w:color w:val="DB9E0B" w:themeColor="accent5" w:themeShade="BF"/>
                <w:sz w:val="20"/>
              </w:rPr>
              <w:t>2.6 Partnerskie wspieranie efektywności energetycznej i energooszczędności na obszarze HOF</w:t>
            </w:r>
            <w:r>
              <w:rPr>
                <w:color w:val="DB9E0B" w:themeColor="accent5" w:themeShade="BF"/>
                <w:sz w:val="20"/>
              </w:rPr>
              <w:t xml:space="preserve"> – przedsięwzięcie ZIT</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A55022" w:rsidRDefault="00122CC3" w:rsidP="00122CC3">
            <w:pPr>
              <w:tabs>
                <w:tab w:val="left" w:pos="2295"/>
              </w:tabs>
              <w:spacing w:before="0"/>
              <w:ind w:right="11" w:firstLine="0"/>
              <w:jc w:val="center"/>
              <w:rPr>
                <w:rFonts w:asciiTheme="minorHAnsi" w:hAnsiTheme="minorHAnsi" w:cstheme="minorHAnsi"/>
                <w:color w:val="DB9E0B" w:themeColor="accent5" w:themeShade="BF"/>
                <w:sz w:val="18"/>
                <w:szCs w:val="18"/>
              </w:rPr>
            </w:pPr>
            <w:r w:rsidRPr="00A55022">
              <w:rPr>
                <w:rFonts w:asciiTheme="minorHAnsi" w:hAnsiTheme="minorHAnsi" w:cstheme="minorHAnsi"/>
                <w:sz w:val="18"/>
                <w:szCs w:val="18"/>
              </w:rPr>
              <w:t xml:space="preserve">Nazwa wskaźnika produktu </w:t>
            </w:r>
            <w:r>
              <w:rPr>
                <w:rFonts w:asciiTheme="minorHAnsi" w:hAnsiTheme="minorHAnsi" w:cstheme="minorHAnsi"/>
                <w:sz w:val="18"/>
                <w:szCs w:val="18"/>
              </w:rPr>
              <w:t>– wskaźniki monitoringowe przedsięwzięć ZIT</w:t>
            </w:r>
          </w:p>
        </w:tc>
        <w:tc>
          <w:tcPr>
            <w:tcW w:w="2815" w:type="dxa"/>
            <w:gridSpan w:val="2"/>
            <w:vAlign w:val="center"/>
          </w:tcPr>
          <w:p w:rsidR="00122CC3" w:rsidRPr="00A55022"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color w:val="DB9E0B" w:themeColor="accent5" w:themeShade="BF"/>
                <w:sz w:val="18"/>
                <w:szCs w:val="18"/>
              </w:rPr>
            </w:pPr>
            <w:r w:rsidRPr="00A55022">
              <w:rPr>
                <w:rFonts w:cstheme="minorHAnsi"/>
                <w:b/>
                <w:sz w:val="18"/>
                <w:szCs w:val="18"/>
              </w:rPr>
              <w:t>Podmioty odpowiedzialne za przekazanie danych monitoringowych</w:t>
            </w:r>
          </w:p>
        </w:tc>
        <w:tc>
          <w:tcPr>
            <w:tcW w:w="1678" w:type="dxa"/>
            <w:vAlign w:val="center"/>
          </w:tcPr>
          <w:p w:rsidR="00122CC3" w:rsidRPr="00A55022"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color w:val="DB9E0B" w:themeColor="accent5" w:themeShade="BF"/>
                <w:sz w:val="18"/>
                <w:szCs w:val="18"/>
              </w:rPr>
            </w:pPr>
            <w:r w:rsidRPr="00E57B36">
              <w:rPr>
                <w:rFonts w:eastAsia="Calibri"/>
                <w:b/>
                <w:sz w:val="18"/>
                <w:szCs w:val="18"/>
              </w:rPr>
              <w:t>Wartość szacowana wskaźnika produktu</w:t>
            </w:r>
            <w:r>
              <w:rPr>
                <w:rStyle w:val="Odwoanieprzypisudolnego"/>
                <w:rFonts w:eastAsia="Calibri"/>
                <w:b/>
                <w:sz w:val="18"/>
                <w:szCs w:val="18"/>
              </w:rPr>
              <w:footnoteReference w:id="44"/>
            </w:r>
          </w:p>
        </w:tc>
        <w:tc>
          <w:tcPr>
            <w:tcW w:w="1687" w:type="dxa"/>
            <w:vAlign w:val="center"/>
          </w:tcPr>
          <w:p w:rsidR="00122CC3" w:rsidRPr="00A55022"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color w:val="DB9E0B" w:themeColor="accent5" w:themeShade="BF"/>
                <w:sz w:val="18"/>
                <w:szCs w:val="18"/>
              </w:rPr>
            </w:pPr>
            <w:r w:rsidRPr="00A55022">
              <w:rPr>
                <w:rFonts w:cstheme="minorHAnsi"/>
                <w:b/>
                <w:sz w:val="18"/>
                <w:szCs w:val="18"/>
              </w:rPr>
              <w:t>Źródło danych</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E00382" w:rsidRDefault="00122CC3" w:rsidP="00122CC3">
            <w:pPr>
              <w:spacing w:before="0"/>
              <w:ind w:right="-249" w:firstLine="0"/>
              <w:jc w:val="left"/>
              <w:rPr>
                <w:rFonts w:asciiTheme="minorHAnsi" w:hAnsiTheme="minorHAnsi" w:cstheme="minorHAnsi"/>
                <w:b w:val="0"/>
                <w:sz w:val="20"/>
                <w:szCs w:val="20"/>
              </w:rPr>
            </w:pPr>
            <w:r w:rsidRPr="00E00382">
              <w:rPr>
                <w:rFonts w:asciiTheme="minorHAnsi" w:eastAsia="Calibri" w:hAnsiTheme="minorHAnsi" w:cstheme="minorHAnsi"/>
                <w:b w:val="0"/>
                <w:sz w:val="20"/>
                <w:szCs w:val="18"/>
              </w:rPr>
              <w:t>WLWK-RCO019 - Budynki publiczne o udoskonalonej charakterystyce energetycznej</w:t>
            </w:r>
          </w:p>
        </w:tc>
        <w:tc>
          <w:tcPr>
            <w:tcW w:w="2815" w:type="dxa"/>
            <w:gridSpan w:val="2"/>
            <w:vMerge w:val="restart"/>
            <w:vAlign w:val="center"/>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122CC3" w:rsidRPr="002F7AAE"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9</w:t>
            </w:r>
            <w:r>
              <w:rPr>
                <w:rStyle w:val="Odwoanieprzypisudolnego"/>
                <w:rFonts w:ascii="Calibri" w:eastAsia="Calibri" w:hAnsi="Calibri" w:cs="Times New Roman"/>
                <w:noProof/>
                <w:sz w:val="20"/>
                <w:lang w:eastAsia="pl-PL"/>
              </w:rPr>
              <w:footnoteReference w:id="45"/>
            </w:r>
          </w:p>
        </w:tc>
        <w:tc>
          <w:tcPr>
            <w:tcW w:w="1687" w:type="dxa"/>
            <w:vAlign w:val="center"/>
          </w:tcPr>
          <w:p w:rsidR="00122CC3" w:rsidRPr="00BF5EEF"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E00382" w:rsidRDefault="00122CC3" w:rsidP="00122CC3">
            <w:pPr>
              <w:spacing w:before="0"/>
              <w:ind w:firstLine="0"/>
              <w:rPr>
                <w:rFonts w:asciiTheme="minorHAnsi" w:eastAsia="Calibri" w:hAnsiTheme="minorHAnsi" w:cstheme="minorHAnsi"/>
                <w:b w:val="0"/>
                <w:sz w:val="20"/>
                <w:szCs w:val="18"/>
              </w:rPr>
            </w:pPr>
            <w:r w:rsidRPr="00E00382">
              <w:rPr>
                <w:rFonts w:asciiTheme="minorHAnsi" w:eastAsia="Calibri" w:hAnsiTheme="minorHAnsi" w:cstheme="minorHAnsi"/>
                <w:b w:val="0"/>
                <w:sz w:val="20"/>
                <w:szCs w:val="18"/>
              </w:rPr>
              <w:t xml:space="preserve">WLWK-RCO074 - Ludność objęta projektami w ramach strategii zintegrowanego rozwoju terytorialnego </w:t>
            </w:r>
            <w:r w:rsidRPr="00E00382">
              <w:rPr>
                <w:rFonts w:asciiTheme="minorHAnsi" w:hAnsiTheme="minorHAnsi" w:cstheme="minorHAnsi"/>
                <w:b w:val="0"/>
                <w:i/>
                <w:sz w:val="20"/>
                <w:szCs w:val="18"/>
              </w:rPr>
              <w:t>(GUS BDL 2019)</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2F7AAE"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27 508</w:t>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E00382" w:rsidRDefault="00122CC3" w:rsidP="00122CC3">
            <w:pPr>
              <w:spacing w:before="0"/>
              <w:ind w:firstLine="0"/>
              <w:rPr>
                <w:rFonts w:asciiTheme="minorHAnsi" w:eastAsia="Calibri" w:hAnsiTheme="minorHAnsi" w:cstheme="minorHAnsi"/>
                <w:b w:val="0"/>
                <w:sz w:val="20"/>
                <w:szCs w:val="18"/>
              </w:rPr>
            </w:pPr>
            <w:r w:rsidRPr="00E00382">
              <w:rPr>
                <w:rFonts w:asciiTheme="minorHAnsi" w:eastAsia="Calibri" w:hAnsiTheme="minorHAnsi" w:cstheme="minorHAnsi"/>
                <w:b w:val="0"/>
                <w:sz w:val="20"/>
                <w:szCs w:val="18"/>
              </w:rPr>
              <w:t>WLWK-RCO075 - Wspierane strategie zintegrowanego rozwoju terytorialnego</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2F7AAE"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1</w:t>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E00382" w:rsidRDefault="00122CC3" w:rsidP="00122CC3">
            <w:pPr>
              <w:spacing w:before="0"/>
              <w:ind w:firstLine="0"/>
              <w:jc w:val="center"/>
              <w:rPr>
                <w:rFonts w:eastAsia="Calibri" w:cstheme="minorHAnsi"/>
                <w:b w:val="0"/>
                <w:sz w:val="20"/>
                <w:szCs w:val="18"/>
              </w:rPr>
            </w:pPr>
            <w:r w:rsidRPr="00A55022">
              <w:rPr>
                <w:rFonts w:asciiTheme="minorHAnsi" w:hAnsiTheme="minorHAnsi" w:cstheme="minorHAnsi"/>
                <w:sz w:val="18"/>
                <w:szCs w:val="18"/>
              </w:rPr>
              <w:t>Nazwa wskaźnika</w:t>
            </w:r>
            <w:r>
              <w:rPr>
                <w:rFonts w:asciiTheme="minorHAnsi" w:hAnsiTheme="minorHAnsi" w:cstheme="minorHAnsi"/>
                <w:sz w:val="18"/>
                <w:szCs w:val="18"/>
              </w:rPr>
              <w:t xml:space="preserve"> </w:t>
            </w:r>
            <w:r w:rsidRPr="00A55022">
              <w:rPr>
                <w:rFonts w:asciiTheme="minorHAnsi" w:hAnsiTheme="minorHAnsi" w:cstheme="minorHAnsi"/>
                <w:sz w:val="18"/>
                <w:szCs w:val="18"/>
              </w:rPr>
              <w:t>rezultatu</w:t>
            </w:r>
            <w:r>
              <w:rPr>
                <w:rFonts w:asciiTheme="minorHAnsi" w:hAnsiTheme="minorHAnsi" w:cstheme="minorHAnsi"/>
                <w:sz w:val="18"/>
                <w:szCs w:val="18"/>
              </w:rPr>
              <w:t xml:space="preserve"> – wskaźniki monitoringowe przedsięwzięć ZIT</w:t>
            </w:r>
          </w:p>
        </w:tc>
        <w:tc>
          <w:tcPr>
            <w:tcW w:w="2815" w:type="dxa"/>
            <w:gridSpan w:val="2"/>
            <w:vAlign w:val="center"/>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57B36">
              <w:rPr>
                <w:rFonts w:ascii="Calibri" w:eastAsia="Calibri" w:hAnsi="Calibri" w:cs="Calibri"/>
                <w:b/>
                <w:color w:val="000000"/>
                <w:sz w:val="18"/>
                <w:szCs w:val="20"/>
              </w:rPr>
              <w:t>Podmioty odpowiedzialne za przekazanie danych monitoringowych</w:t>
            </w:r>
          </w:p>
        </w:tc>
        <w:tc>
          <w:tcPr>
            <w:tcW w:w="1678" w:type="dxa"/>
            <w:vAlign w:val="center"/>
          </w:tcPr>
          <w:p w:rsidR="00122CC3" w:rsidRPr="002F7AAE"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A55022">
              <w:rPr>
                <w:rFonts w:eastAsiaTheme="majorEastAsia" w:cstheme="minorHAnsi"/>
                <w:b/>
                <w:bCs/>
                <w:sz w:val="18"/>
                <w:szCs w:val="18"/>
              </w:rPr>
              <w:t>Wartość bazowa wskaźnika rezultatu</w:t>
            </w:r>
            <w:r>
              <w:rPr>
                <w:rFonts w:eastAsiaTheme="majorEastAsia" w:cstheme="minorHAnsi"/>
                <w:b/>
                <w:bCs/>
                <w:sz w:val="18"/>
                <w:szCs w:val="18"/>
              </w:rPr>
              <w:t xml:space="preserve"> (w nawiasie trend zmian wskaźnika rezultatu)</w:t>
            </w:r>
          </w:p>
        </w:tc>
        <w:tc>
          <w:tcPr>
            <w:tcW w:w="1687" w:type="dxa"/>
            <w:vAlign w:val="center"/>
          </w:tcPr>
          <w:p w:rsidR="00122CC3" w:rsidRPr="00B36AE4"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E57B36">
              <w:rPr>
                <w:b/>
                <w:sz w:val="18"/>
                <w:szCs w:val="20"/>
              </w:rPr>
              <w:t>Źródło danych</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E00382" w:rsidRDefault="00122CC3" w:rsidP="00122CC3">
            <w:pPr>
              <w:spacing w:before="0"/>
              <w:ind w:right="-249" w:firstLine="0"/>
              <w:jc w:val="left"/>
              <w:rPr>
                <w:rFonts w:asciiTheme="minorHAnsi" w:hAnsiTheme="minorHAnsi" w:cstheme="minorHAnsi"/>
                <w:b w:val="0"/>
                <w:sz w:val="20"/>
                <w:szCs w:val="20"/>
              </w:rPr>
            </w:pPr>
            <w:r w:rsidRPr="00E00382">
              <w:rPr>
                <w:rFonts w:asciiTheme="minorHAnsi" w:hAnsiTheme="minorHAnsi" w:cstheme="minorHAnsi"/>
                <w:b w:val="0"/>
                <w:sz w:val="20"/>
                <w:szCs w:val="18"/>
              </w:rPr>
              <w:t xml:space="preserve">Ludność odnosząca korzyści ze środków na </w:t>
            </w:r>
            <w:proofErr w:type="gramStart"/>
            <w:r w:rsidRPr="00E00382">
              <w:rPr>
                <w:rFonts w:asciiTheme="minorHAnsi" w:hAnsiTheme="minorHAnsi" w:cstheme="minorHAnsi"/>
                <w:b w:val="0"/>
                <w:sz w:val="20"/>
                <w:szCs w:val="18"/>
              </w:rPr>
              <w:t>rzecz jakości</w:t>
            </w:r>
            <w:proofErr w:type="gramEnd"/>
            <w:r w:rsidRPr="00E00382">
              <w:rPr>
                <w:rFonts w:asciiTheme="minorHAnsi" w:hAnsiTheme="minorHAnsi" w:cstheme="minorHAnsi"/>
                <w:b w:val="0"/>
                <w:sz w:val="20"/>
                <w:szCs w:val="18"/>
              </w:rPr>
              <w:t xml:space="preserve"> powietrza</w:t>
            </w:r>
            <w:r>
              <w:rPr>
                <w:rFonts w:asciiTheme="minorHAnsi" w:hAnsiTheme="minorHAnsi" w:cstheme="minorHAnsi"/>
                <w:b w:val="0"/>
                <w:sz w:val="20"/>
                <w:szCs w:val="18"/>
              </w:rPr>
              <w:t xml:space="preserve"> (r)</w:t>
            </w:r>
          </w:p>
        </w:tc>
        <w:tc>
          <w:tcPr>
            <w:tcW w:w="2815" w:type="dxa"/>
            <w:gridSpan w:val="2"/>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2F7AAE">
              <w:rPr>
                <w:rFonts w:ascii="Calibri" w:eastAsia="Calibri" w:hAnsi="Calibri" w:cs="Times New Roman"/>
                <w:noProof/>
                <w:sz w:val="20"/>
                <w:lang w:eastAsia="pl-PL"/>
              </w:rPr>
              <w:t>0 (</w:t>
            </w:r>
            <w:r w:rsidRPr="002F7AAE">
              <w:rPr>
                <w:rFonts w:ascii="Calibri" w:eastAsia="Calibri" w:hAnsi="Calibri" w:cs="Times New Roman"/>
                <w:noProof/>
                <w:sz w:val="20"/>
                <w:lang w:eastAsia="pl-PL"/>
              </w:rPr>
              <w:drawing>
                <wp:inline distT="0" distB="0" distL="0" distR="0" wp14:anchorId="13D63135" wp14:editId="1B2A8211">
                  <wp:extent cx="240498" cy="157715"/>
                  <wp:effectExtent l="3175" t="0" r="0" b="0"/>
                  <wp:docPr id="565" name="Obraz 565"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r w:rsidRPr="002F7AAE">
              <w:rPr>
                <w:rFonts w:ascii="Calibri" w:eastAsia="Calibri" w:hAnsi="Calibri" w:cs="Times New Roman"/>
                <w:noProof/>
                <w:sz w:val="20"/>
                <w:lang w:eastAsia="pl-PL"/>
              </w:rPr>
              <w:t>)</w:t>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shd w:val="clear" w:color="auto" w:fill="2861A9" w:themeFill="accent2" w:themeFillShade="BF"/>
            <w:vAlign w:val="center"/>
          </w:tcPr>
          <w:p w:rsidR="00122CC3" w:rsidRPr="00227F6F" w:rsidRDefault="00122CC3" w:rsidP="00122CC3">
            <w:pPr>
              <w:spacing w:before="0"/>
              <w:ind w:firstLine="0"/>
              <w:jc w:val="center"/>
              <w:rPr>
                <w:rFonts w:asciiTheme="minorHAnsi" w:hAnsiTheme="minorHAnsi" w:cstheme="minorHAnsi"/>
                <w:color w:val="FFFFFF" w:themeColor="background1"/>
                <w:sz w:val="20"/>
                <w:szCs w:val="20"/>
              </w:rPr>
            </w:pPr>
            <w:r w:rsidRPr="00227F6F">
              <w:rPr>
                <w:rFonts w:cs="Calibri"/>
                <w:color w:val="FFFFFF" w:themeColor="background1"/>
                <w:sz w:val="20"/>
                <w:szCs w:val="20"/>
              </w:rPr>
              <w:t xml:space="preserve">Cel strategiczny </w:t>
            </w:r>
            <w:r w:rsidRPr="00227F6F">
              <w:rPr>
                <w:color w:val="FFFFFF" w:themeColor="background1"/>
                <w:sz w:val="20"/>
                <w:szCs w:val="20"/>
              </w:rPr>
              <w:t>3. ROZWIJAJĄCA SIĘ GOSPODARKA I LOKALNY RYNEK PRACY</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2409DC" w:rsidRDefault="00122CC3" w:rsidP="00122CC3">
            <w:pPr>
              <w:spacing w:before="0"/>
              <w:ind w:firstLine="34"/>
              <w:jc w:val="center"/>
              <w:rPr>
                <w:sz w:val="20"/>
                <w:szCs w:val="20"/>
              </w:rPr>
            </w:pPr>
            <w:r w:rsidRPr="00ED6132">
              <w:rPr>
                <w:sz w:val="20"/>
                <w:szCs w:val="20"/>
              </w:rPr>
              <w:t>Cel operacyjny 3.1 Rozwój i wzmocnienie konkurencyjnoś</w:t>
            </w:r>
            <w:r>
              <w:rPr>
                <w:sz w:val="20"/>
                <w:szCs w:val="20"/>
              </w:rPr>
              <w:t>ci istniejących przedsiębiorstw</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770EF5" w:rsidRDefault="00122CC3" w:rsidP="00122CC3">
            <w:pPr>
              <w:spacing w:before="0"/>
              <w:ind w:right="318" w:firstLine="0"/>
              <w:jc w:val="left"/>
              <w:rPr>
                <w:rFonts w:asciiTheme="minorHAnsi" w:hAnsiTheme="minorHAnsi" w:cstheme="minorHAnsi"/>
                <w:b w:val="0"/>
                <w:sz w:val="20"/>
                <w:szCs w:val="20"/>
              </w:rPr>
            </w:pPr>
            <w:r w:rsidRPr="00770EF5">
              <w:rPr>
                <w:rFonts w:asciiTheme="minorHAnsi" w:hAnsiTheme="minorHAnsi" w:cstheme="minorHAnsi"/>
                <w:b w:val="0"/>
                <w:sz w:val="20"/>
                <w:szCs w:val="20"/>
              </w:rPr>
              <w:t>Osoby fizyczne prowadzące działalność gospodarczą na 100 osób w wieku produkcyjnym</w:t>
            </w:r>
          </w:p>
        </w:tc>
        <w:tc>
          <w:tcPr>
            <w:tcW w:w="2815" w:type="dxa"/>
            <w:gridSpan w:val="2"/>
            <w:vMerge w:val="restart"/>
            <w:vAlign w:val="center"/>
          </w:tcPr>
          <w:p w:rsidR="00122CC3" w:rsidRPr="000C66D1"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D6132">
              <w:rPr>
                <w:rFonts w:ascii="Calibri" w:eastAsia="Calibri" w:hAnsi="Calibri" w:cs="Calibri"/>
                <w:color w:val="000000"/>
                <w:sz w:val="20"/>
                <w:szCs w:val="20"/>
              </w:rPr>
              <w:t>Gmina Miejska Hrubieszów, Gmina Hrubieszów</w:t>
            </w:r>
          </w:p>
        </w:tc>
        <w:tc>
          <w:tcPr>
            <w:tcW w:w="1678" w:type="dxa"/>
          </w:tcPr>
          <w:p w:rsidR="00122CC3" w:rsidRPr="000C66D1"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D6132">
              <w:rPr>
                <w:rFonts w:ascii="Calibri" w:eastAsia="Calibri" w:hAnsi="Calibri" w:cs="Times New Roman"/>
                <w:noProof/>
                <w:lang w:eastAsia="pl-PL"/>
              </w:rPr>
              <w:drawing>
                <wp:inline distT="0" distB="0" distL="0" distR="0" wp14:anchorId="41D0C2F5" wp14:editId="00D404A1">
                  <wp:extent cx="261110" cy="171232"/>
                  <wp:effectExtent l="6985" t="0" r="0" b="0"/>
                  <wp:docPr id="692" name="Obraz 692"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BDL GUS</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770EF5" w:rsidRDefault="00122CC3" w:rsidP="00122CC3">
            <w:pPr>
              <w:spacing w:before="0"/>
              <w:ind w:right="318" w:firstLine="0"/>
              <w:jc w:val="left"/>
              <w:rPr>
                <w:rFonts w:asciiTheme="minorHAnsi" w:hAnsiTheme="minorHAnsi" w:cstheme="minorHAnsi"/>
                <w:b w:val="0"/>
                <w:sz w:val="20"/>
                <w:szCs w:val="20"/>
              </w:rPr>
            </w:pPr>
            <w:r w:rsidRPr="00770EF5">
              <w:rPr>
                <w:rFonts w:asciiTheme="minorHAnsi" w:hAnsiTheme="minorHAnsi" w:cstheme="minorHAnsi"/>
                <w:b w:val="0"/>
                <w:sz w:val="20"/>
                <w:szCs w:val="20"/>
              </w:rPr>
              <w:t>Osoby fizyczne prowadzące działalność gospodarczą na 1000 mieszkańców</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1F772E15" wp14:editId="3A2FA56F">
                  <wp:extent cx="261110" cy="171232"/>
                  <wp:effectExtent l="6985" t="0" r="0" b="0"/>
                  <wp:docPr id="571" name="Obraz 571"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BDL GUS</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770EF5" w:rsidRDefault="00122CC3" w:rsidP="00122CC3">
            <w:pPr>
              <w:spacing w:before="0"/>
              <w:ind w:right="318" w:firstLine="0"/>
              <w:jc w:val="left"/>
              <w:rPr>
                <w:rFonts w:cstheme="minorHAnsi"/>
                <w:b w:val="0"/>
                <w:sz w:val="20"/>
                <w:szCs w:val="20"/>
              </w:rPr>
            </w:pPr>
            <w:r>
              <w:rPr>
                <w:rFonts w:asciiTheme="minorHAnsi" w:hAnsiTheme="minorHAnsi" w:cstheme="minorHAnsi"/>
                <w:b w:val="0"/>
                <w:sz w:val="20"/>
                <w:szCs w:val="18"/>
              </w:rPr>
              <w:t>Wskaźnik bezrobocia</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50EA69F1" wp14:editId="4BEF1B7E">
                  <wp:extent cx="230225" cy="150978"/>
                  <wp:effectExtent l="1587" t="0" r="318" b="317"/>
                  <wp:docPr id="732" name="Obraz 732"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8333" t="15150" r="2513" b="11259"/>
                          <a:stretch/>
                        </pic:blipFill>
                        <pic:spPr bwMode="auto">
                          <a:xfrm rot="5400000">
                            <a:off x="0" y="0"/>
                            <a:ext cx="233589" cy="1531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BDL GUS</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tcPr>
          <w:p w:rsidR="00122CC3" w:rsidRPr="002409DC" w:rsidRDefault="00122CC3" w:rsidP="00122CC3">
            <w:pPr>
              <w:spacing w:before="0"/>
              <w:ind w:firstLine="34"/>
              <w:jc w:val="center"/>
              <w:rPr>
                <w:sz w:val="20"/>
                <w:szCs w:val="20"/>
              </w:rPr>
            </w:pPr>
            <w:r w:rsidRPr="00ED6132">
              <w:rPr>
                <w:sz w:val="20"/>
                <w:szCs w:val="20"/>
              </w:rPr>
              <w:lastRenderedPageBreak/>
              <w:t>Cel operacyjny 3.2 Kreowanie przyjaznych warunków do przyciągania i</w:t>
            </w:r>
            <w:r>
              <w:rPr>
                <w:sz w:val="20"/>
                <w:szCs w:val="20"/>
              </w:rPr>
              <w:t>nwestycji i rozwoju nowych firm</w:t>
            </w:r>
          </w:p>
        </w:tc>
      </w:tr>
      <w:tr w:rsidR="001C23C8" w:rsidRPr="000C66D1" w:rsidTr="00345290">
        <w:trPr>
          <w:cnfStyle w:val="000000100000" w:firstRow="0" w:lastRow="0" w:firstColumn="0" w:lastColumn="0" w:oddVBand="0" w:evenVBand="0" w:oddHBand="1" w:evenHBand="0" w:firstRowFirstColumn="0" w:firstRowLastColumn="0" w:lastRowFirstColumn="0" w:lastRowLastColumn="0"/>
          <w:trHeight w:val="508"/>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C23C8" w:rsidRPr="00096885" w:rsidRDefault="001C23C8" w:rsidP="00122CC3">
            <w:pPr>
              <w:spacing w:before="0"/>
              <w:ind w:right="318" w:firstLine="0"/>
              <w:jc w:val="left"/>
              <w:rPr>
                <w:rFonts w:asciiTheme="minorHAnsi" w:hAnsiTheme="minorHAnsi" w:cstheme="minorHAnsi"/>
                <w:b w:val="0"/>
                <w:sz w:val="20"/>
                <w:szCs w:val="20"/>
              </w:rPr>
            </w:pPr>
            <w:r w:rsidRPr="00096885">
              <w:rPr>
                <w:rFonts w:asciiTheme="minorHAnsi" w:hAnsiTheme="minorHAnsi" w:cstheme="minorHAnsi"/>
                <w:b w:val="0"/>
                <w:sz w:val="20"/>
                <w:szCs w:val="20"/>
              </w:rPr>
              <w:t xml:space="preserve">Liczba nowych podmiotów gospodarczych na 1000 mieszkańców </w:t>
            </w:r>
          </w:p>
        </w:tc>
        <w:tc>
          <w:tcPr>
            <w:tcW w:w="2815" w:type="dxa"/>
            <w:gridSpan w:val="2"/>
            <w:vMerge w:val="restart"/>
            <w:vAlign w:val="center"/>
          </w:tcPr>
          <w:p w:rsidR="001C23C8" w:rsidRPr="00ED6132" w:rsidRDefault="001C23C8"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tcPr>
          <w:p w:rsidR="001C23C8" w:rsidRPr="00ED6132" w:rsidRDefault="001C23C8"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45C939BE" wp14:editId="53B8FBCC">
                  <wp:extent cx="261110" cy="171232"/>
                  <wp:effectExtent l="6985" t="0" r="0" b="0"/>
                  <wp:docPr id="570" name="Obraz 570"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C23C8" w:rsidRPr="000C66D1" w:rsidRDefault="001C23C8"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BDL GUS</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096885" w:rsidRDefault="00122CC3" w:rsidP="00122CC3">
            <w:pPr>
              <w:spacing w:before="0"/>
              <w:ind w:right="318" w:firstLine="0"/>
              <w:jc w:val="left"/>
              <w:rPr>
                <w:rFonts w:asciiTheme="minorHAnsi" w:hAnsiTheme="minorHAnsi" w:cstheme="minorHAnsi"/>
                <w:b w:val="0"/>
                <w:sz w:val="20"/>
                <w:szCs w:val="20"/>
              </w:rPr>
            </w:pPr>
            <w:r w:rsidRPr="00096885">
              <w:rPr>
                <w:rFonts w:asciiTheme="minorHAnsi" w:hAnsiTheme="minorHAnsi" w:cstheme="minorHAnsi"/>
                <w:b w:val="0"/>
                <w:sz w:val="20"/>
                <w:szCs w:val="20"/>
              </w:rPr>
              <w:t>Liczba inicjatyw</w:t>
            </w:r>
            <w:r>
              <w:rPr>
                <w:rFonts w:asciiTheme="minorHAnsi" w:hAnsiTheme="minorHAnsi" w:cstheme="minorHAnsi"/>
                <w:b w:val="0"/>
                <w:sz w:val="20"/>
                <w:szCs w:val="20"/>
              </w:rPr>
              <w:t xml:space="preserve"> na poziomie JST</w:t>
            </w:r>
            <w:r w:rsidRPr="00096885">
              <w:rPr>
                <w:rFonts w:asciiTheme="minorHAnsi" w:hAnsiTheme="minorHAnsi" w:cstheme="minorHAnsi"/>
                <w:b w:val="0"/>
                <w:sz w:val="20"/>
                <w:szCs w:val="20"/>
              </w:rPr>
              <w:t xml:space="preserve"> kreujących przyjazne warunki do zakładania własnej działalności gospodarczej</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720900D7" wp14:editId="5E7238E8">
                  <wp:extent cx="261110" cy="171232"/>
                  <wp:effectExtent l="6985" t="0" r="0" b="0"/>
                  <wp:docPr id="575" name="Obraz 575"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096885" w:rsidRDefault="00122CC3" w:rsidP="00122CC3">
            <w:pPr>
              <w:spacing w:before="0"/>
              <w:ind w:right="318" w:firstLine="0"/>
              <w:jc w:val="left"/>
              <w:rPr>
                <w:rFonts w:asciiTheme="minorHAnsi" w:hAnsiTheme="minorHAnsi" w:cstheme="minorHAnsi"/>
                <w:b w:val="0"/>
                <w:sz w:val="20"/>
                <w:szCs w:val="20"/>
              </w:rPr>
            </w:pPr>
            <w:r w:rsidRPr="00096885">
              <w:rPr>
                <w:rFonts w:asciiTheme="minorHAnsi" w:hAnsiTheme="minorHAnsi" w:cstheme="minorHAnsi"/>
                <w:b w:val="0"/>
                <w:sz w:val="20"/>
                <w:szCs w:val="20"/>
              </w:rPr>
              <w:t>Liczba uzbrojonych terenów inwestycyjnych, zapleczy produkcyjnych</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5EFDFF69" wp14:editId="513C44E5">
                  <wp:extent cx="261110" cy="171232"/>
                  <wp:effectExtent l="6985" t="0" r="0" b="0"/>
                  <wp:docPr id="725" name="Obraz 725"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B36AE4"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tcPr>
          <w:p w:rsidR="00122CC3" w:rsidRPr="002409DC" w:rsidRDefault="00122CC3" w:rsidP="00122CC3">
            <w:pPr>
              <w:spacing w:before="0"/>
              <w:ind w:firstLine="34"/>
              <w:jc w:val="center"/>
              <w:rPr>
                <w:sz w:val="20"/>
                <w:szCs w:val="20"/>
              </w:rPr>
            </w:pPr>
            <w:r w:rsidRPr="00ED6132">
              <w:rPr>
                <w:sz w:val="20"/>
                <w:szCs w:val="20"/>
              </w:rPr>
              <w:t>Cel operacyjny 3.3 Rozwój sektora rolno-spożywc</w:t>
            </w:r>
            <w:r>
              <w:rPr>
                <w:sz w:val="20"/>
                <w:szCs w:val="20"/>
              </w:rPr>
              <w:t>zego z większą wartością dodaną</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22CC3" w:rsidRDefault="00122CC3" w:rsidP="00122CC3">
            <w:pPr>
              <w:spacing w:before="0"/>
              <w:ind w:right="318" w:firstLine="0"/>
              <w:jc w:val="left"/>
              <w:rPr>
                <w:rFonts w:asciiTheme="minorHAnsi" w:hAnsiTheme="minorHAnsi" w:cstheme="minorHAnsi"/>
                <w:b w:val="0"/>
                <w:sz w:val="20"/>
                <w:szCs w:val="20"/>
              </w:rPr>
            </w:pPr>
            <w:r w:rsidRPr="00122CC3">
              <w:rPr>
                <w:rFonts w:asciiTheme="minorHAnsi" w:hAnsiTheme="minorHAnsi" w:cstheme="minorHAnsi"/>
                <w:b w:val="0"/>
                <w:sz w:val="20"/>
                <w:szCs w:val="20"/>
              </w:rPr>
              <w:t>Średnia wielkość powierzchni upraw gospodarstwa rolnego</w:t>
            </w:r>
          </w:p>
        </w:tc>
        <w:tc>
          <w:tcPr>
            <w:tcW w:w="2815" w:type="dxa"/>
            <w:gridSpan w:val="2"/>
            <w:vMerge w:val="restart"/>
            <w:vAlign w:val="center"/>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3ED502E2" wp14:editId="0CDC777D">
                  <wp:extent cx="261110" cy="171232"/>
                  <wp:effectExtent l="6985" t="0" r="0" b="0"/>
                  <wp:docPr id="730" name="Obraz 730"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0C66D1" w:rsidRDefault="00122CC3" w:rsidP="00122CC3">
            <w:pPr>
              <w:spacing w:before="0"/>
              <w:ind w:right="318" w:firstLine="0"/>
              <w:jc w:val="left"/>
              <w:rPr>
                <w:rFonts w:cstheme="minorHAnsi"/>
                <w:b w:val="0"/>
                <w:sz w:val="20"/>
                <w:szCs w:val="20"/>
              </w:rPr>
            </w:pPr>
            <w:r w:rsidRPr="00302BA9">
              <w:rPr>
                <w:rFonts w:asciiTheme="minorHAnsi" w:hAnsiTheme="minorHAnsi" w:cstheme="minorHAnsi"/>
                <w:b w:val="0"/>
                <w:sz w:val="20"/>
                <w:szCs w:val="20"/>
              </w:rPr>
              <w:t>Liczba nowo zarejestrowanych podmiotów sektora przetwórstwa rolno-spożywczego</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5195E97C" wp14:editId="7F2B2737">
                  <wp:extent cx="261110" cy="171232"/>
                  <wp:effectExtent l="6985" t="0" r="0" b="0"/>
                  <wp:docPr id="731" name="Obraz 731"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tcPr>
          <w:p w:rsidR="00122CC3" w:rsidRPr="002409DC" w:rsidRDefault="00122CC3" w:rsidP="00122CC3">
            <w:pPr>
              <w:spacing w:before="0"/>
              <w:ind w:firstLine="34"/>
              <w:jc w:val="center"/>
              <w:rPr>
                <w:sz w:val="20"/>
                <w:szCs w:val="20"/>
              </w:rPr>
            </w:pPr>
            <w:r w:rsidRPr="00ED6132">
              <w:rPr>
                <w:sz w:val="20"/>
                <w:szCs w:val="20"/>
              </w:rPr>
              <w:t>Cel operacyjny 3.4 Rozwój i promocja zintegrowanego produktu turystycznego Ziemi Hrubieszowskiej</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tcPr>
          <w:p w:rsidR="00122CC3" w:rsidRPr="00096885" w:rsidRDefault="00122CC3" w:rsidP="00122CC3">
            <w:pPr>
              <w:spacing w:before="0"/>
              <w:ind w:right="318" w:firstLine="0"/>
              <w:jc w:val="left"/>
              <w:rPr>
                <w:rFonts w:asciiTheme="minorHAnsi" w:hAnsiTheme="minorHAnsi" w:cstheme="minorHAnsi"/>
                <w:b w:val="0"/>
                <w:sz w:val="20"/>
                <w:szCs w:val="20"/>
              </w:rPr>
            </w:pPr>
            <w:r w:rsidRPr="00096885">
              <w:rPr>
                <w:rFonts w:asciiTheme="minorHAnsi" w:hAnsiTheme="minorHAnsi" w:cstheme="minorHAnsi"/>
                <w:b w:val="0"/>
                <w:sz w:val="20"/>
                <w:szCs w:val="20"/>
              </w:rPr>
              <w:t>Liczba przeszkolonych osób w zakresie zintegrowanego produktu turystycznego Ziemi Hrubieszowskiej</w:t>
            </w:r>
          </w:p>
        </w:tc>
        <w:tc>
          <w:tcPr>
            <w:tcW w:w="2815" w:type="dxa"/>
            <w:gridSpan w:val="2"/>
            <w:vMerge w:val="restart"/>
            <w:vAlign w:val="center"/>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3F12D004" wp14:editId="4FC2F85A">
                  <wp:extent cx="261110" cy="171232"/>
                  <wp:effectExtent l="6985" t="0" r="0" b="0"/>
                  <wp:docPr id="726" name="Obraz 726"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tcPr>
          <w:p w:rsidR="00122CC3" w:rsidRPr="00096885" w:rsidRDefault="00122CC3" w:rsidP="00122CC3">
            <w:pPr>
              <w:spacing w:before="0"/>
              <w:ind w:right="318" w:firstLine="0"/>
              <w:jc w:val="left"/>
              <w:rPr>
                <w:rFonts w:asciiTheme="minorHAnsi" w:hAnsiTheme="minorHAnsi" w:cstheme="minorHAnsi"/>
                <w:b w:val="0"/>
                <w:sz w:val="20"/>
                <w:szCs w:val="20"/>
              </w:rPr>
            </w:pPr>
            <w:r w:rsidRPr="00096885">
              <w:rPr>
                <w:rFonts w:asciiTheme="minorHAnsi" w:hAnsiTheme="minorHAnsi" w:cstheme="minorHAnsi"/>
                <w:b w:val="0"/>
                <w:sz w:val="20"/>
                <w:szCs w:val="20"/>
              </w:rPr>
              <w:t>Wzrost liczby osób odwiedzających obiekty zintegrowanego produktu turystycznego Ziemi Hrubieszowskiej</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05BE78CE" wp14:editId="772D1DB8">
                  <wp:extent cx="261110" cy="171232"/>
                  <wp:effectExtent l="6985" t="0" r="0" b="0"/>
                  <wp:docPr id="727" name="Obraz 727"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tcPr>
          <w:p w:rsidR="00122CC3" w:rsidRPr="00096885" w:rsidRDefault="00122CC3" w:rsidP="00122CC3">
            <w:pPr>
              <w:spacing w:before="0"/>
              <w:ind w:right="318" w:firstLine="0"/>
              <w:jc w:val="left"/>
              <w:rPr>
                <w:rFonts w:asciiTheme="minorHAnsi" w:hAnsiTheme="minorHAnsi" w:cstheme="minorHAnsi"/>
                <w:b w:val="0"/>
                <w:sz w:val="20"/>
                <w:szCs w:val="20"/>
              </w:rPr>
            </w:pPr>
            <w:r w:rsidRPr="00096885">
              <w:rPr>
                <w:rFonts w:asciiTheme="minorHAnsi" w:hAnsiTheme="minorHAnsi" w:cstheme="minorHAnsi"/>
                <w:b w:val="0"/>
                <w:sz w:val="20"/>
                <w:szCs w:val="20"/>
              </w:rPr>
              <w:t>Liczba wybudowanych, przebudowanych, wyremontowanych zrewitalizowanych miejsc i obiektów w obszarze turystyki</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24A6AB43" wp14:editId="2904E655">
                  <wp:extent cx="261110" cy="171232"/>
                  <wp:effectExtent l="6985" t="0" r="0" b="0"/>
                  <wp:docPr id="728" name="Obraz 728"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tcPr>
          <w:p w:rsidR="00122CC3" w:rsidRPr="00096885" w:rsidRDefault="00122CC3" w:rsidP="00122CC3">
            <w:pPr>
              <w:spacing w:before="0"/>
              <w:ind w:right="318" w:firstLine="0"/>
              <w:jc w:val="left"/>
              <w:rPr>
                <w:rFonts w:asciiTheme="minorHAnsi" w:hAnsiTheme="minorHAnsi" w:cstheme="minorHAnsi"/>
                <w:b w:val="0"/>
                <w:sz w:val="20"/>
                <w:szCs w:val="20"/>
              </w:rPr>
            </w:pPr>
            <w:r w:rsidRPr="00096885">
              <w:rPr>
                <w:rFonts w:asciiTheme="minorHAnsi" w:hAnsiTheme="minorHAnsi" w:cstheme="minorHAnsi"/>
                <w:b w:val="0"/>
                <w:sz w:val="20"/>
              </w:rPr>
              <w:t>Długość wyremontowanych, przebudowanych, rozbudowanych lub wybudowanych ścieżek i szlaków turystycznych</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3C051F2C" wp14:editId="2B89C216">
                  <wp:extent cx="261110" cy="171232"/>
                  <wp:effectExtent l="6985" t="0" r="0" b="0"/>
                  <wp:docPr id="729" name="Obraz 729"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tcPr>
          <w:p w:rsidR="00122CC3" w:rsidRPr="00FD265C" w:rsidRDefault="00122CC3" w:rsidP="00122CC3">
            <w:pPr>
              <w:spacing w:before="0"/>
              <w:ind w:right="318" w:firstLine="0"/>
              <w:jc w:val="left"/>
              <w:rPr>
                <w:rFonts w:asciiTheme="minorHAnsi" w:hAnsiTheme="minorHAnsi" w:cstheme="minorHAnsi"/>
                <w:b w:val="0"/>
                <w:sz w:val="20"/>
              </w:rPr>
            </w:pPr>
            <w:r w:rsidRPr="00FD265C">
              <w:rPr>
                <w:rFonts w:asciiTheme="minorHAnsi" w:hAnsiTheme="minorHAnsi" w:cstheme="minorHAnsi"/>
                <w:b w:val="0"/>
                <w:sz w:val="20"/>
              </w:rPr>
              <w:t>Liczba wydanych folderów/map/publikacj</w:t>
            </w:r>
            <w:r>
              <w:rPr>
                <w:rFonts w:asciiTheme="minorHAnsi" w:hAnsiTheme="minorHAnsi" w:cstheme="minorHAnsi"/>
                <w:b w:val="0"/>
                <w:sz w:val="20"/>
              </w:rPr>
              <w:t>i</w:t>
            </w:r>
            <w:r w:rsidRPr="00FD265C">
              <w:rPr>
                <w:rFonts w:asciiTheme="minorHAnsi" w:hAnsiTheme="minorHAnsi" w:cstheme="minorHAnsi"/>
                <w:b w:val="0"/>
                <w:sz w:val="20"/>
              </w:rPr>
              <w:t>/broszur/tablic informacyjn</w:t>
            </w:r>
            <w:r>
              <w:rPr>
                <w:rFonts w:asciiTheme="minorHAnsi" w:hAnsiTheme="minorHAnsi" w:cstheme="minorHAnsi"/>
                <w:b w:val="0"/>
                <w:sz w:val="20"/>
              </w:rPr>
              <w:t>ych</w:t>
            </w:r>
            <w:r w:rsidRPr="00FD265C">
              <w:rPr>
                <w:rFonts w:asciiTheme="minorHAnsi" w:hAnsiTheme="minorHAnsi" w:cstheme="minorHAnsi"/>
                <w:b w:val="0"/>
                <w:sz w:val="20"/>
              </w:rPr>
              <w:t xml:space="preserve"> itp., promujących</w:t>
            </w:r>
            <w:r>
              <w:rPr>
                <w:rFonts w:asciiTheme="minorHAnsi" w:hAnsiTheme="minorHAnsi" w:cstheme="minorHAnsi"/>
                <w:b w:val="0"/>
                <w:sz w:val="20"/>
              </w:rPr>
              <w:t xml:space="preserve"> zintegrowany produkt turystyczny Ziemi Hrubieszowskiej</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3B00F8CD" wp14:editId="2F55B268">
                  <wp:extent cx="261110" cy="171232"/>
                  <wp:effectExtent l="6985" t="0" r="0" b="0"/>
                  <wp:docPr id="742" name="Obraz 742"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B36AE4"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tcPr>
          <w:p w:rsidR="00122CC3" w:rsidRPr="002409DC" w:rsidRDefault="00122CC3" w:rsidP="00122CC3">
            <w:pPr>
              <w:spacing w:before="0"/>
              <w:ind w:firstLine="34"/>
              <w:jc w:val="center"/>
              <w:rPr>
                <w:color w:val="DB9E0B" w:themeColor="accent5" w:themeShade="BF"/>
                <w:sz w:val="20"/>
                <w:szCs w:val="20"/>
              </w:rPr>
            </w:pPr>
            <w:r w:rsidRPr="00E260E8">
              <w:rPr>
                <w:color w:val="DB9E0B" w:themeColor="accent5" w:themeShade="BF"/>
                <w:sz w:val="20"/>
                <w:szCs w:val="20"/>
              </w:rPr>
              <w:t>3.5 Wzmocnienie zintegrowanego potencj</w:t>
            </w:r>
            <w:r>
              <w:rPr>
                <w:color w:val="DB9E0B" w:themeColor="accent5" w:themeShade="BF"/>
                <w:sz w:val="20"/>
                <w:szCs w:val="20"/>
              </w:rPr>
              <w:t xml:space="preserve">ału gospodarczego HOF </w:t>
            </w:r>
            <w:r>
              <w:rPr>
                <w:color w:val="DB9E0B" w:themeColor="accent5" w:themeShade="BF"/>
                <w:sz w:val="20"/>
              </w:rPr>
              <w:t>– przedsięwzięcie ZIT</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tcPr>
          <w:p w:rsidR="00122CC3" w:rsidRPr="000C66D1" w:rsidRDefault="00122CC3" w:rsidP="00122CC3">
            <w:pPr>
              <w:tabs>
                <w:tab w:val="left" w:pos="2295"/>
              </w:tabs>
              <w:spacing w:before="0"/>
              <w:ind w:right="11" w:firstLine="0"/>
              <w:jc w:val="center"/>
              <w:rPr>
                <w:rFonts w:cstheme="minorHAnsi"/>
                <w:sz w:val="20"/>
                <w:szCs w:val="20"/>
              </w:rPr>
            </w:pPr>
            <w:r>
              <w:rPr>
                <w:rFonts w:cstheme="minorHAnsi"/>
                <w:b w:val="0"/>
                <w:sz w:val="20"/>
                <w:szCs w:val="20"/>
              </w:rPr>
              <w:t>Brak zidentyfikowanych przedsięwzięć, nie można wskazać wskaźników</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shd w:val="clear" w:color="auto" w:fill="2861A9" w:themeFill="accent2" w:themeFillShade="BF"/>
          </w:tcPr>
          <w:p w:rsidR="00122CC3" w:rsidRPr="00227F6F" w:rsidRDefault="00122CC3" w:rsidP="00122CC3">
            <w:pPr>
              <w:spacing w:before="0"/>
              <w:ind w:firstLine="0"/>
              <w:jc w:val="center"/>
              <w:rPr>
                <w:color w:val="FFFFFF" w:themeColor="background1"/>
                <w:sz w:val="20"/>
                <w:szCs w:val="20"/>
              </w:rPr>
            </w:pPr>
            <w:r w:rsidRPr="00227F6F">
              <w:rPr>
                <w:rFonts w:cs="Calibri"/>
                <w:color w:val="FFFFFF" w:themeColor="background1"/>
                <w:sz w:val="20"/>
                <w:szCs w:val="20"/>
              </w:rPr>
              <w:t xml:space="preserve">Cel strategiczny </w:t>
            </w:r>
            <w:r w:rsidRPr="00227F6F">
              <w:rPr>
                <w:color w:val="FFFFFF" w:themeColor="background1"/>
                <w:sz w:val="20"/>
                <w:szCs w:val="20"/>
              </w:rPr>
              <w:t>4. SPRAWNA ADMINISTRACJA I AKTYWNE SPOŁECZEŃSTWO OBYWATELSKIE</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tcPr>
          <w:p w:rsidR="00122CC3" w:rsidRPr="002409DC" w:rsidRDefault="00122CC3" w:rsidP="00122CC3">
            <w:pPr>
              <w:spacing w:before="0"/>
              <w:ind w:firstLine="0"/>
              <w:jc w:val="center"/>
              <w:rPr>
                <w:sz w:val="20"/>
                <w:szCs w:val="20"/>
              </w:rPr>
            </w:pPr>
            <w:r w:rsidRPr="00ED6132">
              <w:rPr>
                <w:sz w:val="20"/>
                <w:szCs w:val="20"/>
              </w:rPr>
              <w:t>Cel operacyjny 4.1 Wzmacnianie zdolności instytucjonalnej administracji samorządowej w zakresie zintegro</w:t>
            </w:r>
            <w:r>
              <w:rPr>
                <w:sz w:val="20"/>
                <w:szCs w:val="20"/>
              </w:rPr>
              <w:t>wanego zarządzania rozwojem HOF</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122CC3" w:rsidP="00122CC3">
            <w:pPr>
              <w:tabs>
                <w:tab w:val="left" w:pos="6237"/>
              </w:tabs>
              <w:spacing w:before="0"/>
              <w:ind w:right="1374"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 xml:space="preserve">Liczba przeszkolonych pracowników administracji samorządowej w </w:t>
            </w:r>
            <w:r>
              <w:rPr>
                <w:rFonts w:asciiTheme="minorHAnsi" w:hAnsiTheme="minorHAnsi" w:cstheme="minorHAnsi"/>
                <w:b w:val="0"/>
                <w:sz w:val="20"/>
                <w:szCs w:val="20"/>
              </w:rPr>
              <w:t>z</w:t>
            </w:r>
            <w:r w:rsidRPr="00170C19">
              <w:rPr>
                <w:rFonts w:asciiTheme="minorHAnsi" w:hAnsiTheme="minorHAnsi" w:cstheme="minorHAnsi"/>
                <w:b w:val="0"/>
                <w:sz w:val="20"/>
                <w:szCs w:val="20"/>
              </w:rPr>
              <w:t>akresie zintegrowanego zarządzania rozwojem HOF</w:t>
            </w:r>
          </w:p>
        </w:tc>
        <w:tc>
          <w:tcPr>
            <w:tcW w:w="2815" w:type="dxa"/>
            <w:gridSpan w:val="2"/>
          </w:tcPr>
          <w:p w:rsidR="00122CC3" w:rsidRPr="000C66D1"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D6132">
              <w:rPr>
                <w:rFonts w:ascii="Calibri" w:eastAsia="Calibri" w:hAnsi="Calibri" w:cs="Calibri"/>
                <w:color w:val="000000"/>
                <w:sz w:val="20"/>
                <w:szCs w:val="20"/>
              </w:rPr>
              <w:t>Gmina Miejska Hrubieszów, Gmina Hrubieszów</w:t>
            </w:r>
          </w:p>
        </w:tc>
        <w:tc>
          <w:tcPr>
            <w:tcW w:w="1678" w:type="dxa"/>
          </w:tcPr>
          <w:p w:rsidR="00122CC3" w:rsidRPr="000C66D1"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ED6132">
              <w:rPr>
                <w:rFonts w:ascii="Calibri" w:eastAsia="Calibri" w:hAnsi="Calibri" w:cs="Times New Roman"/>
                <w:noProof/>
                <w:lang w:eastAsia="pl-PL"/>
              </w:rPr>
              <w:drawing>
                <wp:inline distT="0" distB="0" distL="0" distR="0" wp14:anchorId="55F14290" wp14:editId="239379C3">
                  <wp:extent cx="261110" cy="171232"/>
                  <wp:effectExtent l="6985" t="0" r="0" b="0"/>
                  <wp:docPr id="693" name="Obraz 693"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0C66D1">
              <w:rPr>
                <w:rFonts w:cstheme="minorHAnsi"/>
                <w:sz w:val="20"/>
                <w:szCs w:val="20"/>
              </w:rPr>
              <w:t>BDL GUS</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2409DC" w:rsidRDefault="00122CC3" w:rsidP="00122CC3">
            <w:pPr>
              <w:spacing w:before="0"/>
              <w:ind w:firstLine="0"/>
              <w:jc w:val="center"/>
              <w:rPr>
                <w:sz w:val="20"/>
                <w:szCs w:val="20"/>
              </w:rPr>
            </w:pPr>
            <w:r w:rsidRPr="00ED6132">
              <w:rPr>
                <w:sz w:val="20"/>
                <w:szCs w:val="20"/>
              </w:rPr>
              <w:t>Cel operacyjny 4.2 Cyfryzacja usług i zasobów administracji samo</w:t>
            </w:r>
            <w:r>
              <w:rPr>
                <w:sz w:val="20"/>
                <w:szCs w:val="20"/>
              </w:rPr>
              <w:t>rządowej</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122CC3" w:rsidP="00122CC3">
            <w:pPr>
              <w:tabs>
                <w:tab w:val="left" w:pos="6237"/>
              </w:tabs>
              <w:spacing w:before="0"/>
              <w:ind w:right="1374"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Liczba uruchomionych systemów teleinformatycznych w podmiotach wykonujących zadania publiczne</w:t>
            </w:r>
          </w:p>
        </w:tc>
        <w:tc>
          <w:tcPr>
            <w:tcW w:w="2815" w:type="dxa"/>
            <w:gridSpan w:val="2"/>
            <w:vMerge w:val="restart"/>
            <w:vAlign w:val="center"/>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79761F70" wp14:editId="43A10B71">
                  <wp:extent cx="261110" cy="171232"/>
                  <wp:effectExtent l="6985" t="0" r="0" b="0"/>
                  <wp:docPr id="738" name="Obraz 738"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Dane własne Gminy</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122CC3" w:rsidP="00122CC3">
            <w:pPr>
              <w:tabs>
                <w:tab w:val="left" w:pos="6237"/>
              </w:tabs>
              <w:spacing w:before="0"/>
              <w:ind w:right="1374"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Liczba osób korzystających z narzędzi on-line wdrożonych w ramach cyfryzacji usług i zasobów administracji samorządowej</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4F81E8F3" wp14:editId="45D29DF3">
                  <wp:extent cx="261110" cy="171232"/>
                  <wp:effectExtent l="6985" t="0" r="0" b="0"/>
                  <wp:docPr id="739" name="Obraz 739"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Dane własne Gminy</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2409DC" w:rsidRDefault="00122CC3" w:rsidP="00122CC3">
            <w:pPr>
              <w:spacing w:before="0"/>
              <w:ind w:firstLine="0"/>
              <w:jc w:val="center"/>
              <w:rPr>
                <w:sz w:val="20"/>
                <w:szCs w:val="20"/>
              </w:rPr>
            </w:pPr>
            <w:r w:rsidRPr="00ED6132">
              <w:rPr>
                <w:sz w:val="20"/>
                <w:szCs w:val="20"/>
              </w:rPr>
              <w:t>Cel operacyjny</w:t>
            </w:r>
            <w:r w:rsidRPr="00ED6132">
              <w:rPr>
                <w:rFonts w:hAnsi="Calibri"/>
                <w:color w:val="000000"/>
                <w:sz w:val="20"/>
                <w:szCs w:val="20"/>
                <w:lang w:eastAsia="pl-PL"/>
                <w14:textFill>
                  <w14:solidFill>
                    <w14:srgbClr w14:val="000000">
                      <w14:satOff w14:val="0"/>
                      <w14:lumOff w14:val="0"/>
                    </w14:srgbClr>
                  </w14:solidFill>
                </w14:textFill>
              </w:rPr>
              <w:t xml:space="preserve"> </w:t>
            </w:r>
            <w:r w:rsidRPr="00ED6132">
              <w:rPr>
                <w:sz w:val="20"/>
                <w:szCs w:val="20"/>
              </w:rPr>
              <w:t>4.3 Aktywizacja obywatelska mieszkańców oraz</w:t>
            </w:r>
            <w:r>
              <w:rPr>
                <w:sz w:val="20"/>
                <w:szCs w:val="20"/>
              </w:rPr>
              <w:t xml:space="preserve"> budowanie kapitału społecznego</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B05897" w:rsidP="00122CC3">
            <w:pPr>
              <w:tabs>
                <w:tab w:val="left" w:pos="6237"/>
              </w:tabs>
              <w:spacing w:before="0"/>
              <w:ind w:right="1374" w:firstLine="0"/>
              <w:jc w:val="left"/>
              <w:rPr>
                <w:rFonts w:asciiTheme="minorHAnsi" w:hAnsiTheme="minorHAnsi" w:cstheme="minorHAnsi"/>
                <w:b w:val="0"/>
                <w:sz w:val="20"/>
                <w:szCs w:val="20"/>
              </w:rPr>
            </w:pPr>
            <w:r>
              <w:rPr>
                <w:rFonts w:asciiTheme="minorHAnsi" w:hAnsiTheme="minorHAnsi" w:cstheme="minorHAnsi"/>
                <w:b w:val="0"/>
                <w:sz w:val="20"/>
                <w:szCs w:val="20"/>
              </w:rPr>
              <w:lastRenderedPageBreak/>
              <w:t>Liczba organizacji społecznych na</w:t>
            </w:r>
            <w:r w:rsidR="00122CC3" w:rsidRPr="00170C19">
              <w:rPr>
                <w:rFonts w:asciiTheme="minorHAnsi" w:hAnsiTheme="minorHAnsi" w:cstheme="minorHAnsi"/>
                <w:b w:val="0"/>
                <w:sz w:val="20"/>
                <w:szCs w:val="20"/>
              </w:rPr>
              <w:t xml:space="preserve"> 1000 mieszkańców</w:t>
            </w:r>
          </w:p>
        </w:tc>
        <w:tc>
          <w:tcPr>
            <w:tcW w:w="2815" w:type="dxa"/>
            <w:gridSpan w:val="2"/>
            <w:vMerge w:val="restart"/>
            <w:vAlign w:val="center"/>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45668732" wp14:editId="095D6E8C">
                  <wp:extent cx="261110" cy="171232"/>
                  <wp:effectExtent l="6985" t="0" r="0" b="0"/>
                  <wp:docPr id="573" name="Obraz 573"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BDL GUS</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B05897" w:rsidP="00B05897">
            <w:pPr>
              <w:tabs>
                <w:tab w:val="left" w:pos="6237"/>
              </w:tabs>
              <w:spacing w:before="0"/>
              <w:ind w:right="1374" w:firstLine="0"/>
              <w:jc w:val="left"/>
              <w:rPr>
                <w:rFonts w:asciiTheme="minorHAnsi" w:hAnsiTheme="minorHAnsi" w:cstheme="minorHAnsi"/>
                <w:b w:val="0"/>
                <w:sz w:val="20"/>
                <w:szCs w:val="20"/>
              </w:rPr>
            </w:pPr>
            <w:r>
              <w:rPr>
                <w:rFonts w:asciiTheme="minorHAnsi" w:hAnsiTheme="minorHAnsi" w:cstheme="minorHAnsi"/>
                <w:b w:val="0"/>
                <w:sz w:val="20"/>
                <w:szCs w:val="20"/>
              </w:rPr>
              <w:t>Liczba nowo zarejestrowanych fundacji, stowarzyszeń, organizacji społecznych</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60669B1E" wp14:editId="5B59B8D2">
                  <wp:extent cx="261110" cy="171232"/>
                  <wp:effectExtent l="6985" t="0" r="0" b="0"/>
                  <wp:docPr id="734" name="Obraz 734"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BDL GUS</w:t>
            </w:r>
          </w:p>
        </w:tc>
      </w:tr>
      <w:tr w:rsidR="00B05897" w:rsidRPr="000C66D1" w:rsidTr="00B05897">
        <w:trPr>
          <w:cnfStyle w:val="000000010000" w:firstRow="0" w:lastRow="0" w:firstColumn="0" w:lastColumn="0" w:oddVBand="0" w:evenVBand="0" w:oddHBand="0" w:evenHBand="1"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7678" w:type="dxa"/>
            <w:vAlign w:val="center"/>
          </w:tcPr>
          <w:p w:rsidR="00B05897" w:rsidRPr="00170C19" w:rsidRDefault="00B05897" w:rsidP="00122CC3">
            <w:pPr>
              <w:tabs>
                <w:tab w:val="left" w:pos="6237"/>
              </w:tabs>
              <w:spacing w:before="0"/>
              <w:ind w:right="1374"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Udział wydatków na dotacje do organizacji pożytku publicznego w wydatkach bieżących</w:t>
            </w:r>
          </w:p>
        </w:tc>
        <w:tc>
          <w:tcPr>
            <w:tcW w:w="2815" w:type="dxa"/>
            <w:gridSpan w:val="2"/>
            <w:vMerge/>
          </w:tcPr>
          <w:p w:rsidR="00B05897" w:rsidRPr="00ED6132" w:rsidRDefault="00B05897"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B05897" w:rsidRPr="00ED6132" w:rsidRDefault="00B05897"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6D666431" wp14:editId="0C1E905C">
                  <wp:extent cx="261110" cy="171232"/>
                  <wp:effectExtent l="6985" t="0" r="0" b="0"/>
                  <wp:docPr id="574" name="Obraz 574"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B05897" w:rsidRPr="000C66D1" w:rsidRDefault="00B05897"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Dane własne Gminy</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2409DC" w:rsidRDefault="00122CC3" w:rsidP="00122CC3">
            <w:pPr>
              <w:spacing w:before="0"/>
              <w:ind w:firstLine="0"/>
              <w:jc w:val="center"/>
              <w:rPr>
                <w:color w:val="DB9E0B" w:themeColor="accent5" w:themeShade="BF"/>
                <w:sz w:val="20"/>
                <w:szCs w:val="20"/>
              </w:rPr>
            </w:pPr>
            <w:r w:rsidRPr="00ED6132">
              <w:rPr>
                <w:sz w:val="20"/>
                <w:szCs w:val="20"/>
              </w:rPr>
              <w:t xml:space="preserve">Cel operacyjny 4.4 Skuteczny marketing oraz promocja </w:t>
            </w:r>
            <w:r w:rsidRPr="00E260E8">
              <w:rPr>
                <w:sz w:val="20"/>
                <w:szCs w:val="20"/>
              </w:rPr>
              <w:t>obszaru HOF i jego potencjałów rozwoju</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122CC3" w:rsidP="00122CC3">
            <w:pPr>
              <w:tabs>
                <w:tab w:val="left" w:pos="6237"/>
              </w:tabs>
              <w:spacing w:before="0"/>
              <w:ind w:right="1374"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Liczba działań informacyjno-promocyjnych obszaru HOF</w:t>
            </w:r>
          </w:p>
        </w:tc>
        <w:tc>
          <w:tcPr>
            <w:tcW w:w="2815" w:type="dxa"/>
            <w:gridSpan w:val="2"/>
            <w:vMerge w:val="restart"/>
            <w:vAlign w:val="center"/>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5424C75E" wp14:editId="22014CBF">
                  <wp:extent cx="261110" cy="171232"/>
                  <wp:effectExtent l="6985" t="0" r="0" b="0"/>
                  <wp:docPr id="572" name="Obraz 572"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Dane własne Gminy</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170C19" w:rsidRDefault="00122CC3" w:rsidP="00122CC3">
            <w:pPr>
              <w:tabs>
                <w:tab w:val="left" w:pos="6237"/>
              </w:tabs>
              <w:spacing w:before="0"/>
              <w:ind w:right="1374" w:firstLine="0"/>
              <w:jc w:val="left"/>
              <w:rPr>
                <w:rFonts w:asciiTheme="minorHAnsi" w:hAnsiTheme="minorHAnsi" w:cstheme="minorHAnsi"/>
                <w:b w:val="0"/>
                <w:sz w:val="20"/>
                <w:szCs w:val="20"/>
              </w:rPr>
            </w:pPr>
            <w:r w:rsidRPr="00170C19">
              <w:rPr>
                <w:rFonts w:asciiTheme="minorHAnsi" w:hAnsiTheme="minorHAnsi" w:cstheme="minorHAnsi"/>
                <w:b w:val="0"/>
                <w:sz w:val="20"/>
                <w:szCs w:val="20"/>
              </w:rPr>
              <w:t>Liczba jednostek, z którymi nawiązano współpracę</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tcPr>
          <w:p w:rsidR="00122CC3" w:rsidRPr="00ED6132"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lang w:eastAsia="pl-PL"/>
              </w:rPr>
            </w:pPr>
            <w:r w:rsidRPr="00ED6132">
              <w:rPr>
                <w:rFonts w:ascii="Calibri" w:eastAsia="Calibri" w:hAnsi="Calibri" w:cs="Times New Roman"/>
                <w:noProof/>
                <w:lang w:eastAsia="pl-PL"/>
              </w:rPr>
              <w:drawing>
                <wp:inline distT="0" distB="0" distL="0" distR="0" wp14:anchorId="26EA0EEF" wp14:editId="7C4BAE9A">
                  <wp:extent cx="261110" cy="171232"/>
                  <wp:effectExtent l="6985" t="0" r="0" b="0"/>
                  <wp:docPr id="736" name="Obraz 736"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64963" cy="17375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Dane własne Gminy</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58" w:type="dxa"/>
            <w:gridSpan w:val="5"/>
            <w:vAlign w:val="center"/>
          </w:tcPr>
          <w:p w:rsidR="00122CC3" w:rsidRPr="000C66D1" w:rsidRDefault="00122CC3" w:rsidP="00122CC3">
            <w:pPr>
              <w:tabs>
                <w:tab w:val="left" w:pos="2295"/>
              </w:tabs>
              <w:spacing w:before="0"/>
              <w:ind w:right="11" w:firstLine="0"/>
              <w:jc w:val="center"/>
              <w:rPr>
                <w:rFonts w:cstheme="minorHAnsi"/>
                <w:sz w:val="20"/>
                <w:szCs w:val="20"/>
              </w:rPr>
            </w:pPr>
            <w:r w:rsidRPr="00E260E8">
              <w:rPr>
                <w:color w:val="DB9E0B" w:themeColor="accent5" w:themeShade="BF"/>
                <w:sz w:val="20"/>
                <w:szCs w:val="20"/>
              </w:rPr>
              <w:t>4.5 Zintegrowana cyfryzacja usług publicznych kierowana do mieszkańców HOF</w:t>
            </w:r>
            <w:r>
              <w:rPr>
                <w:color w:val="DB9E0B" w:themeColor="accent5" w:themeShade="BF"/>
                <w:sz w:val="20"/>
                <w:szCs w:val="20"/>
              </w:rPr>
              <w:t xml:space="preserve"> </w:t>
            </w:r>
            <w:r>
              <w:rPr>
                <w:color w:val="DB9E0B" w:themeColor="accent5" w:themeShade="BF"/>
                <w:sz w:val="20"/>
              </w:rPr>
              <w:t>– przedsięwzięcie ZIT</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A55022" w:rsidRDefault="00122CC3" w:rsidP="00122CC3">
            <w:pPr>
              <w:tabs>
                <w:tab w:val="left" w:pos="2295"/>
              </w:tabs>
              <w:spacing w:before="0"/>
              <w:ind w:right="11" w:firstLine="0"/>
              <w:jc w:val="center"/>
              <w:rPr>
                <w:rFonts w:asciiTheme="minorHAnsi" w:hAnsiTheme="minorHAnsi" w:cstheme="minorHAnsi"/>
                <w:color w:val="DB9E0B" w:themeColor="accent5" w:themeShade="BF"/>
                <w:sz w:val="18"/>
                <w:szCs w:val="18"/>
              </w:rPr>
            </w:pPr>
            <w:r w:rsidRPr="00A55022">
              <w:rPr>
                <w:rFonts w:asciiTheme="minorHAnsi" w:hAnsiTheme="minorHAnsi" w:cstheme="minorHAnsi"/>
                <w:sz w:val="18"/>
                <w:szCs w:val="18"/>
              </w:rPr>
              <w:t xml:space="preserve">Nazwa wskaźnika produktu </w:t>
            </w:r>
            <w:r>
              <w:rPr>
                <w:rFonts w:asciiTheme="minorHAnsi" w:hAnsiTheme="minorHAnsi" w:cstheme="minorHAnsi"/>
                <w:sz w:val="18"/>
                <w:szCs w:val="18"/>
              </w:rPr>
              <w:t>– wskaźniki monitoringowe przedsięwzięć ZIT</w:t>
            </w:r>
          </w:p>
        </w:tc>
        <w:tc>
          <w:tcPr>
            <w:tcW w:w="2815" w:type="dxa"/>
            <w:gridSpan w:val="2"/>
            <w:vAlign w:val="center"/>
          </w:tcPr>
          <w:p w:rsidR="00122CC3" w:rsidRPr="00A55022"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color w:val="DB9E0B" w:themeColor="accent5" w:themeShade="BF"/>
                <w:sz w:val="18"/>
                <w:szCs w:val="18"/>
              </w:rPr>
            </w:pPr>
            <w:r w:rsidRPr="00A55022">
              <w:rPr>
                <w:rFonts w:cstheme="minorHAnsi"/>
                <w:b/>
                <w:sz w:val="18"/>
                <w:szCs w:val="18"/>
              </w:rPr>
              <w:t>Podmioty odpowiedzialne za przekazanie danych monitoringowych</w:t>
            </w:r>
          </w:p>
        </w:tc>
        <w:tc>
          <w:tcPr>
            <w:tcW w:w="1678" w:type="dxa"/>
            <w:vAlign w:val="center"/>
          </w:tcPr>
          <w:p w:rsidR="00122CC3" w:rsidRPr="00A55022"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color w:val="DB9E0B" w:themeColor="accent5" w:themeShade="BF"/>
                <w:sz w:val="18"/>
                <w:szCs w:val="18"/>
              </w:rPr>
            </w:pPr>
            <w:r w:rsidRPr="00E57B36">
              <w:rPr>
                <w:rFonts w:eastAsia="Calibri"/>
                <w:b/>
                <w:sz w:val="18"/>
                <w:szCs w:val="18"/>
              </w:rPr>
              <w:t>Wartość szacowana wskaźnika produktu</w:t>
            </w:r>
            <w:r>
              <w:rPr>
                <w:rStyle w:val="Odwoanieprzypisudolnego"/>
                <w:rFonts w:eastAsia="Calibri"/>
                <w:b/>
                <w:sz w:val="18"/>
                <w:szCs w:val="18"/>
              </w:rPr>
              <w:footnoteReference w:id="46"/>
            </w:r>
          </w:p>
        </w:tc>
        <w:tc>
          <w:tcPr>
            <w:tcW w:w="1687" w:type="dxa"/>
            <w:vAlign w:val="center"/>
          </w:tcPr>
          <w:p w:rsidR="00122CC3" w:rsidRPr="00A55022"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b/>
                <w:bCs/>
                <w:color w:val="DB9E0B" w:themeColor="accent5" w:themeShade="BF"/>
                <w:sz w:val="18"/>
                <w:szCs w:val="18"/>
              </w:rPr>
            </w:pPr>
            <w:r w:rsidRPr="00A55022">
              <w:rPr>
                <w:rFonts w:cstheme="minorHAnsi"/>
                <w:b/>
                <w:sz w:val="18"/>
                <w:szCs w:val="18"/>
              </w:rPr>
              <w:t>Źródło danych</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CB54E2" w:rsidRDefault="00122CC3" w:rsidP="00122CC3">
            <w:pPr>
              <w:tabs>
                <w:tab w:val="left" w:pos="6237"/>
              </w:tabs>
              <w:spacing w:before="0"/>
              <w:ind w:right="1374" w:firstLine="0"/>
              <w:jc w:val="left"/>
              <w:rPr>
                <w:rFonts w:asciiTheme="minorHAnsi" w:hAnsiTheme="minorHAnsi" w:cstheme="minorHAnsi"/>
                <w:b w:val="0"/>
                <w:sz w:val="20"/>
                <w:szCs w:val="20"/>
              </w:rPr>
            </w:pPr>
            <w:r w:rsidRPr="00CB54E2">
              <w:rPr>
                <w:rFonts w:asciiTheme="minorHAnsi" w:hAnsiTheme="minorHAnsi" w:cstheme="minorHAnsi"/>
                <w:b w:val="0"/>
                <w:sz w:val="20"/>
                <w:szCs w:val="20"/>
              </w:rPr>
              <w:t>WLWK-RCO014 - Instytucje publiczne otrzymujące wsparcie na opracowywanie usług, produktów i procesów cyfrowych</w:t>
            </w:r>
          </w:p>
        </w:tc>
        <w:tc>
          <w:tcPr>
            <w:tcW w:w="2815" w:type="dxa"/>
            <w:gridSpan w:val="2"/>
            <w:vMerge w:val="restart"/>
            <w:vAlign w:val="center"/>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vAlign w:val="center"/>
          </w:tcPr>
          <w:p w:rsidR="00122CC3" w:rsidRPr="00ED6132"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lang w:eastAsia="pl-PL"/>
              </w:rPr>
            </w:pPr>
            <w:r w:rsidRPr="002F7AAE">
              <w:rPr>
                <w:rFonts w:ascii="Calibri" w:eastAsia="Calibri" w:hAnsi="Calibri" w:cs="Times New Roman"/>
                <w:noProof/>
                <w:sz w:val="20"/>
                <w:lang w:eastAsia="pl-PL"/>
              </w:rPr>
              <w:t>2</w:t>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CB54E2" w:rsidRDefault="00122CC3" w:rsidP="00122CC3">
            <w:pPr>
              <w:tabs>
                <w:tab w:val="left" w:pos="6237"/>
              </w:tabs>
              <w:spacing w:before="0"/>
              <w:ind w:right="1374" w:firstLine="0"/>
              <w:jc w:val="left"/>
              <w:rPr>
                <w:rFonts w:asciiTheme="minorHAnsi" w:hAnsiTheme="minorHAnsi" w:cstheme="minorHAnsi"/>
                <w:b w:val="0"/>
                <w:sz w:val="20"/>
                <w:szCs w:val="20"/>
              </w:rPr>
            </w:pPr>
            <w:r w:rsidRPr="00CB54E2">
              <w:rPr>
                <w:rFonts w:asciiTheme="minorHAnsi" w:hAnsiTheme="minorHAnsi" w:cstheme="minorHAnsi"/>
                <w:b w:val="0"/>
                <w:sz w:val="20"/>
                <w:szCs w:val="20"/>
              </w:rPr>
              <w:t>WLWK-PLRO010 - Liczba podmiotów, które udostępniły informacje sektora pu</w:t>
            </w:r>
            <w:r>
              <w:rPr>
                <w:rFonts w:asciiTheme="minorHAnsi" w:hAnsiTheme="minorHAnsi" w:cstheme="minorHAnsi"/>
                <w:b w:val="0"/>
                <w:sz w:val="20"/>
                <w:szCs w:val="20"/>
              </w:rPr>
              <w:t>blicznego/dane prywatne on-line</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2F7AAE"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w:t>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CB54E2" w:rsidRDefault="00122CC3" w:rsidP="00122CC3">
            <w:pPr>
              <w:spacing w:before="0"/>
              <w:ind w:firstLine="0"/>
              <w:jc w:val="left"/>
              <w:rPr>
                <w:rFonts w:asciiTheme="minorHAnsi" w:eastAsia="Calibri" w:hAnsiTheme="minorHAnsi" w:cstheme="minorHAnsi"/>
                <w:b w:val="0"/>
                <w:sz w:val="20"/>
                <w:szCs w:val="20"/>
              </w:rPr>
            </w:pPr>
            <w:r w:rsidRPr="00CB54E2">
              <w:rPr>
                <w:rFonts w:asciiTheme="minorHAnsi" w:hAnsiTheme="minorHAnsi" w:cstheme="minorHAnsi"/>
                <w:b w:val="0"/>
                <w:sz w:val="20"/>
                <w:szCs w:val="20"/>
              </w:rPr>
              <w:t>WLWK-PLRO014 - Liczba podmiotów wspartych w zakresie cyberbezpieczeństwa</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2F7AAE"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w:t>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tcPr>
          <w:p w:rsidR="00122CC3" w:rsidRPr="00CB54E2" w:rsidRDefault="00122CC3" w:rsidP="00122CC3">
            <w:pPr>
              <w:spacing w:before="0"/>
              <w:ind w:firstLine="0"/>
              <w:rPr>
                <w:rFonts w:asciiTheme="minorHAnsi" w:eastAsia="Calibri" w:hAnsiTheme="minorHAnsi" w:cstheme="minorHAnsi"/>
                <w:b w:val="0"/>
                <w:sz w:val="20"/>
                <w:szCs w:val="20"/>
              </w:rPr>
            </w:pPr>
            <w:r w:rsidRPr="00CB54E2">
              <w:rPr>
                <w:rFonts w:asciiTheme="minorHAnsi" w:hAnsiTheme="minorHAnsi" w:cstheme="minorHAnsi"/>
                <w:b w:val="0"/>
                <w:sz w:val="20"/>
                <w:szCs w:val="20"/>
              </w:rPr>
              <w:t>WLWK-PLRO008 - Liczba podmiotów wspartych w zakresie rozwoju usług,</w:t>
            </w:r>
            <w:r>
              <w:rPr>
                <w:rFonts w:asciiTheme="minorHAnsi" w:hAnsiTheme="minorHAnsi" w:cstheme="minorHAnsi"/>
                <w:b w:val="0"/>
                <w:sz w:val="20"/>
                <w:szCs w:val="20"/>
              </w:rPr>
              <w:t xml:space="preserve"> produktów i procesów cyfrowych</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2F7AAE"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w:t>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tcPr>
          <w:p w:rsidR="00122CC3" w:rsidRPr="00CB54E2" w:rsidRDefault="00122CC3" w:rsidP="00122CC3">
            <w:pPr>
              <w:spacing w:before="0"/>
              <w:ind w:firstLine="0"/>
              <w:rPr>
                <w:rFonts w:asciiTheme="minorHAnsi" w:eastAsia="Calibri" w:hAnsiTheme="minorHAnsi" w:cstheme="minorHAnsi"/>
                <w:b w:val="0"/>
                <w:sz w:val="20"/>
                <w:szCs w:val="20"/>
              </w:rPr>
            </w:pPr>
            <w:r w:rsidRPr="00CB54E2">
              <w:rPr>
                <w:rFonts w:asciiTheme="minorHAnsi" w:hAnsiTheme="minorHAnsi" w:cstheme="minorHAnsi"/>
                <w:b w:val="0"/>
                <w:sz w:val="20"/>
                <w:szCs w:val="20"/>
              </w:rPr>
              <w:t>WLWK-RCO074 - Ludność objęta projektami w ramach strategii zintegrowanego rozwoju terytorialnego</w:t>
            </w:r>
          </w:p>
        </w:tc>
        <w:tc>
          <w:tcPr>
            <w:tcW w:w="2815" w:type="dxa"/>
            <w:gridSpan w:val="2"/>
            <w:vMerge/>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2F7AAE"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27 508</w:t>
            </w:r>
          </w:p>
        </w:tc>
        <w:tc>
          <w:tcPr>
            <w:tcW w:w="1687" w:type="dxa"/>
            <w:vAlign w:val="center"/>
          </w:tcPr>
          <w:p w:rsidR="00122CC3" w:rsidRPr="000C66D1"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CB54E2" w:rsidRDefault="00122CC3" w:rsidP="00122CC3">
            <w:pPr>
              <w:tabs>
                <w:tab w:val="left" w:pos="6237"/>
              </w:tabs>
              <w:spacing w:before="0"/>
              <w:ind w:right="1374" w:firstLine="0"/>
              <w:jc w:val="left"/>
              <w:rPr>
                <w:rFonts w:asciiTheme="minorHAnsi" w:hAnsiTheme="minorHAnsi" w:cstheme="minorHAnsi"/>
                <w:b w:val="0"/>
                <w:sz w:val="20"/>
                <w:szCs w:val="20"/>
              </w:rPr>
            </w:pPr>
            <w:r w:rsidRPr="00CB54E2">
              <w:rPr>
                <w:rFonts w:asciiTheme="minorHAnsi" w:hAnsiTheme="minorHAnsi" w:cstheme="minorHAnsi"/>
                <w:b w:val="0"/>
                <w:sz w:val="20"/>
                <w:szCs w:val="20"/>
              </w:rPr>
              <w:t>WLWK-RCO075 - Wspierane strategie zintegrowanego rozwoju terytorialnego</w:t>
            </w:r>
          </w:p>
        </w:tc>
        <w:tc>
          <w:tcPr>
            <w:tcW w:w="2815" w:type="dxa"/>
            <w:gridSpan w:val="2"/>
            <w:vMerge/>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p>
        </w:tc>
        <w:tc>
          <w:tcPr>
            <w:tcW w:w="1678" w:type="dxa"/>
            <w:vAlign w:val="center"/>
          </w:tcPr>
          <w:p w:rsidR="00122CC3" w:rsidRPr="002F7AAE"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1</w:t>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r w:rsidR="00122CC3" w:rsidRPr="000C66D1" w:rsidTr="002426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CB54E2" w:rsidRDefault="00122CC3" w:rsidP="00122CC3">
            <w:pPr>
              <w:tabs>
                <w:tab w:val="left" w:pos="6237"/>
              </w:tabs>
              <w:spacing w:before="0"/>
              <w:ind w:right="1374" w:firstLine="0"/>
              <w:jc w:val="center"/>
              <w:rPr>
                <w:rFonts w:cstheme="minorHAnsi"/>
                <w:b w:val="0"/>
                <w:sz w:val="20"/>
                <w:szCs w:val="20"/>
              </w:rPr>
            </w:pPr>
            <w:r w:rsidRPr="00A55022">
              <w:rPr>
                <w:rFonts w:asciiTheme="minorHAnsi" w:hAnsiTheme="minorHAnsi" w:cstheme="minorHAnsi"/>
                <w:sz w:val="18"/>
                <w:szCs w:val="18"/>
              </w:rPr>
              <w:t>Nazwa wskaźnika</w:t>
            </w:r>
            <w:r>
              <w:rPr>
                <w:rFonts w:asciiTheme="minorHAnsi" w:hAnsiTheme="minorHAnsi" w:cstheme="minorHAnsi"/>
                <w:sz w:val="18"/>
                <w:szCs w:val="18"/>
              </w:rPr>
              <w:t xml:space="preserve"> </w:t>
            </w:r>
            <w:r w:rsidRPr="00A55022">
              <w:rPr>
                <w:rFonts w:asciiTheme="minorHAnsi" w:hAnsiTheme="minorHAnsi" w:cstheme="minorHAnsi"/>
                <w:sz w:val="18"/>
                <w:szCs w:val="18"/>
              </w:rPr>
              <w:t>rezultatu</w:t>
            </w:r>
            <w:r>
              <w:rPr>
                <w:rFonts w:asciiTheme="minorHAnsi" w:hAnsiTheme="minorHAnsi" w:cstheme="minorHAnsi"/>
                <w:sz w:val="18"/>
                <w:szCs w:val="18"/>
              </w:rPr>
              <w:t xml:space="preserve"> – wskaźniki monitoringowe przedsięwzięć ZIT</w:t>
            </w:r>
          </w:p>
        </w:tc>
        <w:tc>
          <w:tcPr>
            <w:tcW w:w="2815" w:type="dxa"/>
            <w:gridSpan w:val="2"/>
            <w:vAlign w:val="center"/>
          </w:tcPr>
          <w:p w:rsidR="00122CC3" w:rsidRPr="00ED6132" w:rsidRDefault="00122CC3" w:rsidP="00122CC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57B36">
              <w:rPr>
                <w:rFonts w:ascii="Calibri" w:eastAsia="Calibri" w:hAnsi="Calibri" w:cs="Calibri"/>
                <w:b/>
                <w:color w:val="000000"/>
                <w:sz w:val="18"/>
                <w:szCs w:val="20"/>
              </w:rPr>
              <w:t>Podmioty odpowiedzialne za przekazanie danych monitoringowych</w:t>
            </w:r>
          </w:p>
        </w:tc>
        <w:tc>
          <w:tcPr>
            <w:tcW w:w="1678" w:type="dxa"/>
            <w:vAlign w:val="center"/>
          </w:tcPr>
          <w:p w:rsidR="00122CC3" w:rsidRPr="002F7AAE" w:rsidRDefault="00122CC3" w:rsidP="00122CC3">
            <w:pPr>
              <w:tabs>
                <w:tab w:val="left" w:pos="2048"/>
              </w:tabs>
              <w:spacing w:before="0"/>
              <w:ind w:right="41"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noProof/>
                <w:sz w:val="20"/>
                <w:lang w:eastAsia="pl-PL"/>
              </w:rPr>
            </w:pPr>
            <w:r w:rsidRPr="00A55022">
              <w:rPr>
                <w:rFonts w:eastAsiaTheme="majorEastAsia" w:cstheme="minorHAnsi"/>
                <w:b/>
                <w:bCs/>
                <w:sz w:val="18"/>
                <w:szCs w:val="18"/>
              </w:rPr>
              <w:t>Wartość bazowa wskaźnika rezultatu</w:t>
            </w:r>
            <w:r>
              <w:rPr>
                <w:rFonts w:eastAsiaTheme="majorEastAsia" w:cstheme="minorHAnsi"/>
                <w:b/>
                <w:bCs/>
                <w:sz w:val="18"/>
                <w:szCs w:val="18"/>
              </w:rPr>
              <w:t xml:space="preserve"> (w nawiasie trend </w:t>
            </w:r>
            <w:r>
              <w:rPr>
                <w:rFonts w:eastAsiaTheme="majorEastAsia" w:cstheme="minorHAnsi"/>
                <w:b/>
                <w:bCs/>
                <w:sz w:val="18"/>
                <w:szCs w:val="18"/>
              </w:rPr>
              <w:lastRenderedPageBreak/>
              <w:t>zmian wskaźnika rezultatu)</w:t>
            </w:r>
          </w:p>
        </w:tc>
        <w:tc>
          <w:tcPr>
            <w:tcW w:w="1687" w:type="dxa"/>
            <w:vAlign w:val="center"/>
          </w:tcPr>
          <w:p w:rsidR="00122CC3" w:rsidRPr="00B36AE4" w:rsidRDefault="00122CC3" w:rsidP="00122CC3">
            <w:pPr>
              <w:tabs>
                <w:tab w:val="left" w:pos="2295"/>
              </w:tabs>
              <w:spacing w:before="0"/>
              <w:ind w:right="11" w:firstLine="0"/>
              <w:jc w:val="center"/>
              <w:cnfStyle w:val="000000010000" w:firstRow="0" w:lastRow="0" w:firstColumn="0" w:lastColumn="0" w:oddVBand="0" w:evenVBand="0" w:oddHBand="0" w:evenHBand="1" w:firstRowFirstColumn="0" w:firstRowLastColumn="0" w:lastRowFirstColumn="0" w:lastRowLastColumn="0"/>
              <w:rPr>
                <w:sz w:val="20"/>
                <w:szCs w:val="20"/>
              </w:rPr>
            </w:pPr>
            <w:r w:rsidRPr="00E57B36">
              <w:rPr>
                <w:b/>
                <w:sz w:val="18"/>
                <w:szCs w:val="20"/>
              </w:rPr>
              <w:lastRenderedPageBreak/>
              <w:t>Źródło danych</w:t>
            </w:r>
          </w:p>
        </w:tc>
      </w:tr>
      <w:tr w:rsidR="00122CC3" w:rsidRPr="000C66D1" w:rsidTr="002426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78" w:type="dxa"/>
            <w:vAlign w:val="center"/>
          </w:tcPr>
          <w:p w:rsidR="00122CC3" w:rsidRPr="00E00382" w:rsidRDefault="00122CC3" w:rsidP="00122CC3">
            <w:pPr>
              <w:tabs>
                <w:tab w:val="left" w:pos="6237"/>
              </w:tabs>
              <w:spacing w:before="0"/>
              <w:ind w:right="1374" w:firstLine="0"/>
              <w:jc w:val="left"/>
              <w:rPr>
                <w:rFonts w:asciiTheme="minorHAnsi" w:hAnsiTheme="minorHAnsi" w:cstheme="minorHAnsi"/>
                <w:b w:val="0"/>
                <w:sz w:val="20"/>
                <w:szCs w:val="20"/>
              </w:rPr>
            </w:pPr>
            <w:r w:rsidRPr="00E00382">
              <w:rPr>
                <w:rFonts w:asciiTheme="minorHAnsi" w:hAnsiTheme="minorHAnsi" w:cstheme="minorHAnsi"/>
                <w:b w:val="0"/>
                <w:sz w:val="20"/>
                <w:szCs w:val="20"/>
              </w:rPr>
              <w:lastRenderedPageBreak/>
              <w:t>WLWK-RCR011 - Użytkownicy nowych i zmodernizowanych publicznych usług, produktów i procesów cyfrowych</w:t>
            </w:r>
          </w:p>
        </w:tc>
        <w:tc>
          <w:tcPr>
            <w:tcW w:w="2815" w:type="dxa"/>
            <w:gridSpan w:val="2"/>
          </w:tcPr>
          <w:p w:rsidR="00122CC3" w:rsidRPr="00ED6132" w:rsidRDefault="00122CC3" w:rsidP="00122CC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Gmina Miejska Hrubieszów, Gmina Hrubieszów</w:t>
            </w:r>
          </w:p>
        </w:tc>
        <w:tc>
          <w:tcPr>
            <w:tcW w:w="1678" w:type="dxa"/>
          </w:tcPr>
          <w:p w:rsidR="00122CC3" w:rsidRPr="002F7AAE" w:rsidRDefault="00122CC3" w:rsidP="00122CC3">
            <w:pPr>
              <w:tabs>
                <w:tab w:val="left" w:pos="2048"/>
              </w:tabs>
              <w:spacing w:before="0"/>
              <w:ind w:right="41"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noProof/>
                <w:sz w:val="20"/>
                <w:lang w:eastAsia="pl-PL"/>
              </w:rPr>
            </w:pPr>
            <w:r w:rsidRPr="002F7AAE">
              <w:rPr>
                <w:rFonts w:ascii="Calibri" w:eastAsia="Calibri" w:hAnsi="Calibri" w:cs="Times New Roman"/>
                <w:noProof/>
                <w:sz w:val="20"/>
                <w:lang w:eastAsia="pl-PL"/>
              </w:rPr>
              <w:t>0 (</w:t>
            </w:r>
            <w:r w:rsidRPr="002F7AAE">
              <w:rPr>
                <w:rFonts w:ascii="Calibri" w:eastAsia="Calibri" w:hAnsi="Calibri" w:cs="Times New Roman"/>
                <w:noProof/>
                <w:sz w:val="20"/>
                <w:lang w:eastAsia="pl-PL"/>
              </w:rPr>
              <w:drawing>
                <wp:inline distT="0" distB="0" distL="0" distR="0" wp14:anchorId="33E6B5FC" wp14:editId="34E0662E">
                  <wp:extent cx="240498" cy="157715"/>
                  <wp:effectExtent l="3175" t="0" r="0" b="0"/>
                  <wp:docPr id="566" name="Obraz 566" descr="Strzałka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rzałka PNG"/>
                          <pic:cNvPicPr>
                            <a:picLocks noChangeAspect="1" noChangeArrowheads="1"/>
                          </pic:cNvPicPr>
                        </pic:nvPicPr>
                        <pic:blipFill rotWithShape="1">
                          <a:blip r:embed="rId117" cstate="print">
                            <a:duotone>
                              <a:schemeClr val="accent3">
                                <a:shade val="45000"/>
                                <a:satMod val="135000"/>
                              </a:schemeClr>
                              <a:prstClr val="white"/>
                            </a:duotone>
                            <a:extLst>
                              <a:ext uri="{28A0092B-C50C-407E-A947-70E740481C1C}">
                                <a14:useLocalDpi xmlns:a14="http://schemas.microsoft.com/office/drawing/2010/main" val="0"/>
                              </a:ext>
                            </a:extLst>
                          </a:blip>
                          <a:srcRect l="8333" t="15150" r="2513" b="11259"/>
                          <a:stretch/>
                        </pic:blipFill>
                        <pic:spPr bwMode="auto">
                          <a:xfrm rot="16200000">
                            <a:off x="0" y="0"/>
                            <a:ext cx="245728" cy="161145"/>
                          </a:xfrm>
                          <a:prstGeom prst="rect">
                            <a:avLst/>
                          </a:prstGeom>
                          <a:noFill/>
                          <a:ln>
                            <a:noFill/>
                          </a:ln>
                          <a:extLst>
                            <a:ext uri="{53640926-AAD7-44D8-BBD7-CCE9431645EC}">
                              <a14:shadowObscured xmlns:a14="http://schemas.microsoft.com/office/drawing/2010/main"/>
                            </a:ext>
                          </a:extLst>
                        </pic:spPr>
                      </pic:pic>
                    </a:graphicData>
                  </a:graphic>
                </wp:inline>
              </w:drawing>
            </w:r>
            <w:r w:rsidRPr="002F7AAE">
              <w:rPr>
                <w:rFonts w:ascii="Calibri" w:eastAsia="Calibri" w:hAnsi="Calibri" w:cs="Times New Roman"/>
                <w:noProof/>
                <w:sz w:val="20"/>
                <w:lang w:eastAsia="pl-PL"/>
              </w:rPr>
              <w:t>)</w:t>
            </w:r>
          </w:p>
        </w:tc>
        <w:tc>
          <w:tcPr>
            <w:tcW w:w="1687" w:type="dxa"/>
            <w:vAlign w:val="center"/>
          </w:tcPr>
          <w:p w:rsidR="00122CC3" w:rsidRPr="000C66D1" w:rsidRDefault="00122CC3" w:rsidP="00122CC3">
            <w:pPr>
              <w:tabs>
                <w:tab w:val="left" w:pos="2295"/>
              </w:tabs>
              <w:spacing w:before="0"/>
              <w:ind w:right="11"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36AE4">
              <w:rPr>
                <w:sz w:val="20"/>
                <w:szCs w:val="20"/>
              </w:rPr>
              <w:t>Dane własne Gmin</w:t>
            </w:r>
          </w:p>
        </w:tc>
      </w:tr>
    </w:tbl>
    <w:p w:rsidR="00230904" w:rsidRPr="00ED6132" w:rsidRDefault="00230904" w:rsidP="00ED6132">
      <w:pPr>
        <w:keepNext/>
        <w:spacing w:after="0" w:line="240" w:lineRule="auto"/>
        <w:rPr>
          <w:rFonts w:ascii="Calibri" w:eastAsia="Calibri" w:hAnsi="Calibri" w:cs="Times New Roman"/>
          <w:b/>
          <w:bCs/>
          <w:color w:val="00B0F0"/>
          <w:sz w:val="18"/>
          <w:szCs w:val="18"/>
        </w:rPr>
      </w:pPr>
    </w:p>
    <w:p w:rsidR="00ED6132" w:rsidRDefault="00ED6132" w:rsidP="00ED6132">
      <w:pPr>
        <w:rPr>
          <w:rFonts w:ascii="Calibri" w:eastAsia="Calibri" w:hAnsi="Calibri" w:cs="Times New Roman"/>
        </w:rPr>
      </w:pPr>
    </w:p>
    <w:p w:rsidR="002409DC" w:rsidRPr="00ED6132" w:rsidRDefault="002409DC" w:rsidP="00ED6132">
      <w:pPr>
        <w:rPr>
          <w:rFonts w:ascii="Calibri" w:eastAsia="Calibri" w:hAnsi="Calibri" w:cs="Times New Roman"/>
        </w:rPr>
        <w:sectPr w:rsidR="002409DC" w:rsidRPr="00ED6132" w:rsidSect="00ED6132">
          <w:pgSz w:w="16838" w:h="11906" w:orient="landscape"/>
          <w:pgMar w:top="1417" w:right="1417" w:bottom="1417" w:left="1417" w:header="708" w:footer="708" w:gutter="0"/>
          <w:cols w:space="708"/>
          <w:docGrid w:linePitch="360"/>
        </w:sectPr>
      </w:pPr>
    </w:p>
    <w:p w:rsidR="00ED6132" w:rsidRPr="00ED6132" w:rsidRDefault="00ED6132" w:rsidP="00ED6132">
      <w:pPr>
        <w:rPr>
          <w:rFonts w:ascii="Calibri" w:eastAsia="Calibri" w:hAnsi="Calibri" w:cs="Times New Roman"/>
        </w:rPr>
      </w:pPr>
      <w:r w:rsidRPr="00ED6132">
        <w:rPr>
          <w:rFonts w:ascii="Calibri" w:eastAsia="Calibri" w:hAnsi="Calibri" w:cs="Times New Roman"/>
        </w:rPr>
        <w:lastRenderedPageBreak/>
        <w:t xml:space="preserve">Jeśli zaistnieje taka potrzeba Strategia podlega procedurze aktualizacji, która może wynikać ze zmiany uwarunkowań lokalnych, regionalnych, krajowych lub międzynarodowych, pojawienia się nowych problemów i potrzeb lub nowych szans rozwojowych. Potrzeba aktualizacji dokumentu może wynikać z: </w:t>
      </w:r>
    </w:p>
    <w:p w:rsidR="00ED6132" w:rsidRPr="00ED6132" w:rsidRDefault="00ED6132" w:rsidP="00A13FA7">
      <w:pPr>
        <w:numPr>
          <w:ilvl w:val="0"/>
          <w:numId w:val="58"/>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rPr>
        <w:t>zmiany</w:t>
      </w:r>
      <w:proofErr w:type="gramEnd"/>
      <w:r w:rsidRPr="00ED6132">
        <w:rPr>
          <w:rFonts w:ascii="Calibri" w:eastAsia="Calibri" w:hAnsi="Calibri" w:cs="Times New Roman"/>
        </w:rPr>
        <w:t xml:space="preserve"> przepisów prawnych,</w:t>
      </w:r>
    </w:p>
    <w:p w:rsidR="00ED6132" w:rsidRPr="00ED6132" w:rsidRDefault="00ED6132" w:rsidP="00A13FA7">
      <w:pPr>
        <w:numPr>
          <w:ilvl w:val="0"/>
          <w:numId w:val="58"/>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rPr>
        <w:t>zmiany</w:t>
      </w:r>
      <w:proofErr w:type="gramEnd"/>
      <w:r w:rsidRPr="00ED6132">
        <w:rPr>
          <w:rFonts w:ascii="Calibri" w:eastAsia="Calibri" w:hAnsi="Calibri" w:cs="Times New Roman"/>
        </w:rPr>
        <w:t xml:space="preserve"> sytuacji społeczno-gospodarczej gmin mającej wpływ na cele Strategii,</w:t>
      </w:r>
    </w:p>
    <w:p w:rsidR="00ED6132" w:rsidRPr="00ED6132" w:rsidRDefault="00ED6132" w:rsidP="00A13FA7">
      <w:pPr>
        <w:numPr>
          <w:ilvl w:val="0"/>
          <w:numId w:val="58"/>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rPr>
        <w:t>zaplanowanych</w:t>
      </w:r>
      <w:proofErr w:type="gramEnd"/>
      <w:r w:rsidRPr="00ED6132">
        <w:rPr>
          <w:rFonts w:ascii="Calibri" w:eastAsia="Calibri" w:hAnsi="Calibri" w:cs="Times New Roman"/>
        </w:rPr>
        <w:t xml:space="preserve"> działań korygujących zidentyfikowanych w ramach procesu monitoringu,</w:t>
      </w:r>
    </w:p>
    <w:p w:rsidR="00ED6132" w:rsidRPr="00ED6132" w:rsidRDefault="00ED6132" w:rsidP="00A13FA7">
      <w:pPr>
        <w:numPr>
          <w:ilvl w:val="0"/>
          <w:numId w:val="58"/>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rPr>
        <w:t>wniosków</w:t>
      </w:r>
      <w:proofErr w:type="gramEnd"/>
      <w:r w:rsidRPr="00ED6132">
        <w:rPr>
          <w:rFonts w:ascii="Calibri" w:eastAsia="Calibri" w:hAnsi="Calibri" w:cs="Times New Roman"/>
        </w:rPr>
        <w:t xml:space="preserve"> i rekomendacji przedstawionych w raporcie końcowym z badań ewaluacyjnych,</w:t>
      </w:r>
    </w:p>
    <w:p w:rsidR="00ED6132" w:rsidRPr="00ED6132" w:rsidRDefault="00ED6132" w:rsidP="00A13FA7">
      <w:pPr>
        <w:numPr>
          <w:ilvl w:val="0"/>
          <w:numId w:val="58"/>
        </w:numPr>
        <w:spacing w:before="0" w:after="0"/>
        <w:ind w:left="567"/>
        <w:contextualSpacing/>
        <w:jc w:val="left"/>
        <w:rPr>
          <w:rFonts w:ascii="Calibri" w:eastAsia="Calibri" w:hAnsi="Calibri" w:cs="Times New Roman"/>
        </w:rPr>
      </w:pPr>
      <w:proofErr w:type="gramStart"/>
      <w:r w:rsidRPr="00ED6132">
        <w:rPr>
          <w:rFonts w:ascii="Calibri" w:eastAsia="Calibri" w:hAnsi="Calibri" w:cs="Times New Roman"/>
        </w:rPr>
        <w:t>zmian</w:t>
      </w:r>
      <w:proofErr w:type="gramEnd"/>
      <w:r w:rsidRPr="00ED6132">
        <w:rPr>
          <w:rFonts w:ascii="Calibri" w:eastAsia="Calibri" w:hAnsi="Calibri" w:cs="Times New Roman"/>
        </w:rPr>
        <w:t xml:space="preserve"> zgłoszonych przez mieszkańców i innych interesariuszy Strategii.</w:t>
      </w:r>
    </w:p>
    <w:p w:rsidR="00A13D1F" w:rsidRPr="00A13D1F" w:rsidRDefault="00A13D1F" w:rsidP="00A13D1F">
      <w:r w:rsidRPr="005D691D">
        <w:t xml:space="preserve">Podstawową przesłanką dla podjęcia aktualizacji staną się wnioski z prowadzonego monitoringu. </w:t>
      </w:r>
      <w:r w:rsidRPr="005D691D">
        <w:rPr>
          <w:rStyle w:val="newsbigdesc"/>
        </w:rPr>
        <w:t xml:space="preserve">Proces aktualizacji jest nierozerwalnie związany z systemem monitoringu i ewaluacji </w:t>
      </w:r>
      <w:r w:rsidRPr="00A13D1F">
        <w:rPr>
          <w:rStyle w:val="newsbigdesc"/>
        </w:rPr>
        <w:t>oraz partycypacją społeczną.</w:t>
      </w:r>
      <w:r w:rsidRPr="00A13D1F">
        <w:t xml:space="preserve"> </w:t>
      </w:r>
      <w:r w:rsidRPr="00A13D1F">
        <w:rPr>
          <w:rStyle w:val="newsbigdesc"/>
        </w:rPr>
        <w:t>Za proces aktualizacji Strategii odpowiada Rada Porozumienia przy wsparciu wyznaczonej Grupy Zadań i nadzorujących ją Kierownikiem Grupy Zadaniowej oraz Koordynatorem Wspólnym lub Zastępcą Koordynatora Wspólnego. Zakłada się, że aktualizacja Strategii będzie dokonywana nie częściej niż raz do roku, przy czym dopuszcza się możliwość dokonania dodatkowych korekt dokumentu w sytuacjach nadzwyczajnych</w:t>
      </w:r>
      <w:r w:rsidR="00120BC7">
        <w:rPr>
          <w:rStyle w:val="newsbigdesc"/>
        </w:rPr>
        <w:t xml:space="preserve"> (ewaluacja nadzwyczajna)</w:t>
      </w:r>
      <w:r w:rsidRPr="00A13D1F">
        <w:rPr>
          <w:rStyle w:val="newsbigdesc"/>
        </w:rPr>
        <w:t xml:space="preserve">. </w:t>
      </w:r>
      <w:r w:rsidRPr="00A13D1F">
        <w:t>W przypadku stwierdzenia przez jednostkę odpowiedzialną za monitoring Strategii konieczności wprowadzenia zmian w dokumencie, podjęte zostaną działania zmierzające do aktualizacji zapisów strategii:</w:t>
      </w:r>
    </w:p>
    <w:p w:rsidR="00A13D1F" w:rsidRPr="00A13D1F" w:rsidRDefault="00A13D1F" w:rsidP="00A13D1F">
      <w:pPr>
        <w:ind w:firstLine="0"/>
      </w:pPr>
      <w:r w:rsidRPr="00A13D1F">
        <w:t>1. Rada Porozumienia OF przedstawia wniosek o rozpoczęcie procesu przeglądu strategicznego (aktualizacji Strategii) do Burmistrza Miasta Hrubieszów i Wójta Gminy Hrubieszów.</w:t>
      </w:r>
    </w:p>
    <w:p w:rsidR="00A13D1F" w:rsidRPr="005A3D6A" w:rsidRDefault="00A13D1F" w:rsidP="00A13D1F">
      <w:pPr>
        <w:ind w:firstLine="0"/>
      </w:pPr>
      <w:r w:rsidRPr="00A13D1F">
        <w:t>2.</w:t>
      </w:r>
      <w:r w:rsidRPr="00A13D1F">
        <w:rPr>
          <w:rStyle w:val="Odwoaniedokomentarza"/>
          <w:rFonts w:ascii="Calibri" w:hAnsi="Calibri"/>
          <w:sz w:val="22"/>
          <w:szCs w:val="22"/>
        </w:rPr>
        <w:t xml:space="preserve"> </w:t>
      </w:r>
      <w:r w:rsidRPr="00A13D1F">
        <w:t>W oparciu o decyzję Władz gmin HOF Rada Porozumienia we współpracy z Koordynatorem Wspólnym lub</w:t>
      </w:r>
      <w:r>
        <w:t xml:space="preserve"> Zastępcą Koordynatora Wspólnego</w:t>
      </w:r>
      <w:r w:rsidRPr="005A3D6A">
        <w:t xml:space="preserve"> określa sposób przeprowadzenia aktuali</w:t>
      </w:r>
      <w:r>
        <w:t>zacji (w </w:t>
      </w:r>
      <w:r w:rsidRPr="005A3D6A">
        <w:t>oparciu o własne zasoby lub z udziałem konsultantów zewnętrznych) oraz przygotowuje harmonogram procesu aktualizacji Strategii.</w:t>
      </w:r>
    </w:p>
    <w:p w:rsidR="00ED6132" w:rsidRPr="00ED6132" w:rsidRDefault="00A13D1F" w:rsidP="00A13D1F">
      <w:pPr>
        <w:ind w:firstLine="0"/>
      </w:pPr>
      <w:r>
        <w:t xml:space="preserve">3. </w:t>
      </w:r>
      <w:r w:rsidR="00ED6132" w:rsidRPr="00ED6132">
        <w:t>W ramach procesu, weryfikacji i aktualizacji poddane mogą zostać:</w:t>
      </w:r>
    </w:p>
    <w:p w:rsidR="00ED6132" w:rsidRPr="00ED6132" w:rsidRDefault="00ED6132" w:rsidP="00A13FA7">
      <w:pPr>
        <w:numPr>
          <w:ilvl w:val="0"/>
          <w:numId w:val="57"/>
        </w:numPr>
        <w:spacing w:before="0" w:after="0"/>
        <w:ind w:left="567"/>
        <w:contextualSpacing/>
        <w:rPr>
          <w:rFonts w:ascii="Calibri" w:eastAsia="Calibri" w:hAnsi="Calibri" w:cs="Times New Roman"/>
        </w:rPr>
      </w:pPr>
      <w:proofErr w:type="gramStart"/>
      <w:r w:rsidRPr="00ED6132">
        <w:rPr>
          <w:rFonts w:ascii="Calibri" w:eastAsia="Calibri" w:hAnsi="Calibri" w:cs="Times New Roman"/>
        </w:rPr>
        <w:t>zapisy</w:t>
      </w:r>
      <w:proofErr w:type="gramEnd"/>
      <w:r w:rsidRPr="00ED6132">
        <w:rPr>
          <w:rFonts w:ascii="Calibri" w:eastAsia="Calibri" w:hAnsi="Calibri" w:cs="Times New Roman"/>
        </w:rPr>
        <w:t xml:space="preserve"> zawarte w części diagnostycznej – poprzez odniesienie się do aktualnych danych statystycznych oraz wyników analiz,</w:t>
      </w:r>
    </w:p>
    <w:p w:rsidR="00ED6132" w:rsidRPr="00ED6132" w:rsidRDefault="00ED6132" w:rsidP="00A13FA7">
      <w:pPr>
        <w:numPr>
          <w:ilvl w:val="0"/>
          <w:numId w:val="57"/>
        </w:numPr>
        <w:spacing w:before="0" w:after="0"/>
        <w:ind w:left="567"/>
        <w:contextualSpacing/>
        <w:rPr>
          <w:rFonts w:ascii="Calibri" w:eastAsia="Calibri" w:hAnsi="Calibri" w:cs="Times New Roman"/>
        </w:rPr>
      </w:pPr>
      <w:proofErr w:type="gramStart"/>
      <w:r w:rsidRPr="00ED6132">
        <w:rPr>
          <w:rFonts w:ascii="Calibri" w:eastAsia="Calibri" w:hAnsi="Calibri" w:cs="Times New Roman"/>
        </w:rPr>
        <w:t>misja</w:t>
      </w:r>
      <w:proofErr w:type="gramEnd"/>
      <w:r w:rsidRPr="00ED6132">
        <w:rPr>
          <w:rFonts w:ascii="Calibri" w:eastAsia="Calibri" w:hAnsi="Calibri" w:cs="Times New Roman"/>
        </w:rPr>
        <w:t xml:space="preserve"> rozwoju HOF i jej aktualność w kontekście zmian zachodzących w zakresie zasobów HOF i jej otoczenia (powiatu, województwa, kraju),</w:t>
      </w:r>
    </w:p>
    <w:p w:rsidR="00ED6132" w:rsidRPr="00ED6132" w:rsidRDefault="00ED6132" w:rsidP="00A13FA7">
      <w:pPr>
        <w:numPr>
          <w:ilvl w:val="0"/>
          <w:numId w:val="57"/>
        </w:numPr>
        <w:spacing w:before="0" w:after="0"/>
        <w:ind w:left="567"/>
        <w:contextualSpacing/>
        <w:rPr>
          <w:rFonts w:ascii="Calibri" w:eastAsia="Calibri" w:hAnsi="Calibri" w:cs="Times New Roman"/>
        </w:rPr>
      </w:pPr>
      <w:proofErr w:type="gramStart"/>
      <w:r w:rsidRPr="00ED6132">
        <w:rPr>
          <w:rFonts w:ascii="Calibri" w:eastAsia="Calibri" w:hAnsi="Calibri" w:cs="Times New Roman"/>
        </w:rPr>
        <w:t>cele</w:t>
      </w:r>
      <w:proofErr w:type="gramEnd"/>
      <w:r w:rsidRPr="00ED6132">
        <w:rPr>
          <w:rFonts w:ascii="Calibri" w:eastAsia="Calibri" w:hAnsi="Calibri" w:cs="Times New Roman"/>
        </w:rPr>
        <w:t xml:space="preserve"> strategiczne i operacyjne, i ich adekwatność do zweryfikowanej misji,</w:t>
      </w:r>
    </w:p>
    <w:p w:rsidR="00ED6132" w:rsidRPr="00ED6132" w:rsidRDefault="00ED6132" w:rsidP="00A13FA7">
      <w:pPr>
        <w:numPr>
          <w:ilvl w:val="0"/>
          <w:numId w:val="57"/>
        </w:numPr>
        <w:spacing w:before="0" w:after="240"/>
        <w:ind w:left="567"/>
        <w:contextualSpacing/>
        <w:rPr>
          <w:rFonts w:ascii="Calibri" w:eastAsia="Calibri" w:hAnsi="Calibri" w:cs="Times New Roman"/>
        </w:rPr>
      </w:pPr>
      <w:proofErr w:type="gramStart"/>
      <w:r w:rsidRPr="00ED6132">
        <w:rPr>
          <w:rFonts w:ascii="Calibri" w:eastAsia="Calibri" w:hAnsi="Calibri" w:cs="Times New Roman"/>
        </w:rPr>
        <w:t>kierunki</w:t>
      </w:r>
      <w:proofErr w:type="gramEnd"/>
      <w:r w:rsidRPr="00ED6132">
        <w:rPr>
          <w:rFonts w:ascii="Calibri" w:eastAsia="Calibri" w:hAnsi="Calibri" w:cs="Times New Roman"/>
        </w:rPr>
        <w:t xml:space="preserve"> działań.</w:t>
      </w:r>
    </w:p>
    <w:p w:rsidR="00ED6132" w:rsidRPr="00ED6132" w:rsidRDefault="00A13D1F" w:rsidP="00A13FA7">
      <w:pPr>
        <w:numPr>
          <w:ilvl w:val="0"/>
          <w:numId w:val="82"/>
        </w:numPr>
        <w:spacing w:before="0" w:after="0"/>
        <w:ind w:left="0" w:firstLine="0"/>
        <w:contextualSpacing/>
        <w:rPr>
          <w:rFonts w:ascii="Calibri" w:eastAsia="Calibri" w:hAnsi="Calibri" w:cs="Times New Roman"/>
        </w:rPr>
      </w:pPr>
      <w:r>
        <w:rPr>
          <w:rFonts w:ascii="Calibri" w:eastAsia="Calibri" w:hAnsi="Calibri" w:cs="Times New Roman"/>
        </w:rPr>
        <w:t xml:space="preserve"> </w:t>
      </w:r>
      <w:r w:rsidR="00ED6132" w:rsidRPr="00ED6132">
        <w:rPr>
          <w:rFonts w:ascii="Calibri" w:eastAsia="Calibri" w:hAnsi="Calibri" w:cs="Times New Roman"/>
        </w:rPr>
        <w:t>Zaktualizowany dokument Strategii podlega konsultacjom społecznym (35 dni, są to konsultacje za pośrednictwem strony internetowej oraz spotkanie konsultacyjne). Po uwzględnieniu uwag zgłoszonych podczas konsultacji projekt zmian Strategii zostaje p</w:t>
      </w:r>
      <w:r>
        <w:rPr>
          <w:rFonts w:ascii="Calibri" w:eastAsia="Calibri" w:hAnsi="Calibri" w:cs="Times New Roman"/>
        </w:rPr>
        <w:t>rzedstawiony Radom Gmin HOF. Po </w:t>
      </w:r>
      <w:r w:rsidR="00ED6132" w:rsidRPr="00ED6132">
        <w:rPr>
          <w:rFonts w:ascii="Calibri" w:eastAsia="Calibri" w:hAnsi="Calibri" w:cs="Times New Roman"/>
        </w:rPr>
        <w:t>akceptacji następuje przyjęcie do realizacji zmienionego dokumentu.</w:t>
      </w:r>
    </w:p>
    <w:p w:rsidR="00ED6132" w:rsidRPr="00ED6132" w:rsidRDefault="00ED6132" w:rsidP="00ED6132">
      <w:pPr>
        <w:pBdr>
          <w:bottom w:val="single" w:sz="4" w:space="4" w:color="31B6FD"/>
        </w:pBdr>
        <w:spacing w:before="200" w:after="280"/>
        <w:ind w:left="936" w:right="936"/>
        <w:rPr>
          <w:rFonts w:ascii="Calibri" w:eastAsia="Calibri" w:hAnsi="Calibri" w:cs="Times New Roman"/>
          <w:b/>
          <w:bCs/>
          <w:i/>
          <w:iCs/>
          <w:color w:val="31B6FD"/>
        </w:rPr>
      </w:pPr>
      <w:r w:rsidRPr="00ED6132">
        <w:rPr>
          <w:rFonts w:ascii="Calibri" w:eastAsia="Calibri" w:hAnsi="Calibri" w:cs="Times New Roman"/>
          <w:b/>
          <w:bCs/>
          <w:i/>
          <w:iCs/>
          <w:color w:val="31B6FD"/>
        </w:rPr>
        <w:t>Zasady, tryb i metody przeprowadzenia ewaluacji</w:t>
      </w:r>
    </w:p>
    <w:p w:rsidR="00ED6132" w:rsidRPr="00ED6132" w:rsidRDefault="00ED6132" w:rsidP="00ED6132">
      <w:pPr>
        <w:rPr>
          <w:rFonts w:ascii="Calibri" w:eastAsia="Calibri" w:hAnsi="Calibri" w:cs="Times New Roman"/>
        </w:rPr>
      </w:pPr>
      <w:r w:rsidRPr="00ED6132">
        <w:rPr>
          <w:rFonts w:ascii="Calibri" w:eastAsia="Calibri" w:hAnsi="Calibri" w:cs="Times New Roman"/>
        </w:rPr>
        <w:t>Zgodnie z definicją ewaluacja to oszacowanie lub osąd dotyczący wartości danego procesu, zjawiska lub obiektu. Ewaluacja jest odrębnym i usystematyzowanym rodzajem badań społeczno-</w:t>
      </w:r>
      <w:r w:rsidRPr="00ED6132">
        <w:rPr>
          <w:rFonts w:ascii="Calibri" w:eastAsia="Calibri" w:hAnsi="Calibri" w:cs="Times New Roman"/>
        </w:rPr>
        <w:lastRenderedPageBreak/>
        <w:t xml:space="preserve">ekonomicznych z ogólnie przyjętymi standardami i metodologią prowadzonych w celu </w:t>
      </w:r>
      <w:proofErr w:type="gramStart"/>
      <w:r w:rsidRPr="00ED6132">
        <w:rPr>
          <w:rFonts w:ascii="Calibri" w:eastAsia="Calibri" w:hAnsi="Calibri" w:cs="Times New Roman"/>
        </w:rPr>
        <w:t>oceny jakości</w:t>
      </w:r>
      <w:proofErr w:type="gramEnd"/>
      <w:r w:rsidRPr="00ED6132">
        <w:rPr>
          <w:rFonts w:ascii="Calibri" w:eastAsia="Calibri" w:hAnsi="Calibri" w:cs="Times New Roman"/>
        </w:rPr>
        <w:t xml:space="preserve"> i efektów realizowanych działań przewidzianych w Strategii. Ocena taka dokonywana jest w oparciu o odpowiednie kryteria. </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Ewaluacja nie może jednak ograniczać się jedynie do pomiaru efektów realizacji interwencji, ale powinna również podejmować próbę ustalenia związków </w:t>
      </w:r>
      <w:proofErr w:type="spellStart"/>
      <w:r w:rsidRPr="00ED6132">
        <w:rPr>
          <w:rFonts w:ascii="Calibri" w:eastAsia="Calibri" w:hAnsi="Calibri" w:cs="Times New Roman"/>
        </w:rPr>
        <w:t>przyczynowo-skutkowych</w:t>
      </w:r>
      <w:proofErr w:type="spellEnd"/>
      <w:r w:rsidRPr="00ED6132">
        <w:rPr>
          <w:rFonts w:ascii="Calibri" w:eastAsia="Calibri" w:hAnsi="Calibri" w:cs="Times New Roman"/>
        </w:rPr>
        <w:t xml:space="preserve"> pomiędzy podjętymi przez nas działaniami a osiągniętymi efektami. Możemy wówczas sprawdzić, czy logika projektu lub programu jest poprawna. W proces ewaluacji włączane są podmioty zaangażowane we wdrażanie interwencji lub zainteresowane jej efektami. Dzięki temu w pełniejszym zakresie możliwa jest realizacja zasady partnerstwa. Wyniki badań ewaluacyjnych zostaną wykorzystane do jak najlepszego dopasowania realizowanych projektów/inwestycji do rzeczywistych potrzeb społeczności lokalnej oraz najbardziej efektywnego wydatkowania środków publicznych.</w:t>
      </w:r>
    </w:p>
    <w:p w:rsidR="00ED6132" w:rsidRPr="00ED6132" w:rsidRDefault="00ED6132" w:rsidP="00ED6132">
      <w:pPr>
        <w:rPr>
          <w:rFonts w:ascii="Calibri" w:eastAsia="Calibri" w:hAnsi="Calibri" w:cs="Times New Roman"/>
        </w:rPr>
      </w:pPr>
      <w:r w:rsidRPr="00ED6132">
        <w:rPr>
          <w:rFonts w:ascii="Calibri" w:eastAsia="Calibri" w:hAnsi="Calibri" w:cs="Times New Roman"/>
        </w:rPr>
        <w:t xml:space="preserve">Do prowadzenia okresowych badań ewaluacyjnych Strategii rozwoju ponadlokalnego Hrubieszowskiego Obszaru Funkcjonalnego na lata 2021 – 2030 </w:t>
      </w:r>
      <w:r w:rsidRPr="00ED6132">
        <w:rPr>
          <w:rFonts w:ascii="Calibri" w:eastAsia="Calibri" w:hAnsi="Calibri" w:cs="Calibri"/>
        </w:rPr>
        <w:t>będą wykorzystywane różne rodzaje ewaluacji</w:t>
      </w:r>
      <w:r w:rsidRPr="00ED6132">
        <w:rPr>
          <w:rFonts w:ascii="Calibri" w:eastAsia="Calibri" w:hAnsi="Calibri" w:cs="Times New Roman"/>
        </w:rPr>
        <w:t>. Rodzaj ewaluacji zależy od momentu, w którym ewaluacja jest wykonywana w cyklu przygotowywania i realizacji strategii:</w:t>
      </w:r>
    </w:p>
    <w:p w:rsidR="00ED6132" w:rsidRPr="00ED6132" w:rsidRDefault="00ED6132" w:rsidP="00A13FA7">
      <w:pPr>
        <w:numPr>
          <w:ilvl w:val="0"/>
          <w:numId w:val="59"/>
        </w:numPr>
        <w:spacing w:before="0" w:after="0"/>
        <w:ind w:left="567"/>
        <w:contextualSpacing/>
        <w:rPr>
          <w:rFonts w:ascii="Calibri" w:eastAsia="Calibri" w:hAnsi="Calibri" w:cs="Times New Roman"/>
        </w:rPr>
      </w:pPr>
      <w:proofErr w:type="gramStart"/>
      <w:r w:rsidRPr="00ED6132">
        <w:rPr>
          <w:rFonts w:ascii="Calibri" w:eastAsia="Calibri" w:hAnsi="Calibri" w:cs="Times New Roman"/>
          <w:b/>
        </w:rPr>
        <w:t>ewaluacja</w:t>
      </w:r>
      <w:proofErr w:type="gramEnd"/>
      <w:r w:rsidRPr="00ED6132">
        <w:rPr>
          <w:rFonts w:ascii="Calibri" w:eastAsia="Calibri" w:hAnsi="Calibri" w:cs="Times New Roman"/>
          <w:b/>
        </w:rPr>
        <w:t xml:space="preserve"> ex-</w:t>
      </w:r>
      <w:proofErr w:type="spellStart"/>
      <w:r w:rsidRPr="00ED6132">
        <w:rPr>
          <w:rFonts w:ascii="Calibri" w:eastAsia="Calibri" w:hAnsi="Calibri" w:cs="Times New Roman"/>
          <w:b/>
        </w:rPr>
        <w:t>ante</w:t>
      </w:r>
      <w:proofErr w:type="spellEnd"/>
      <w:r w:rsidRPr="00ED6132">
        <w:rPr>
          <w:rFonts w:ascii="Calibri" w:eastAsia="Calibri" w:hAnsi="Calibri" w:cs="Times New Roman"/>
        </w:rPr>
        <w:t xml:space="preserve"> (przed rozpoczęciem realizacji Strategii) – ocena </w:t>
      </w:r>
      <w:r w:rsidRPr="00ED6132">
        <w:rPr>
          <w:rFonts w:ascii="Calibri" w:eastAsia="Calibri" w:hAnsi="Calibri" w:cs="Calibri"/>
          <w:color w:val="000000"/>
        </w:rPr>
        <w:t xml:space="preserve">dostarcza danych do przygotowania (aktualizacji) Strategii, dzięki wykorzystaniu doświadczeń z wcześniejszych wdrożeń dokumentów strategicznych. Jest prowadzona równolegle do prac nad Strategią, formułując rekomendacje do poszczególnych, kluczowych elementów dokumentu. Tak przeprowadzona ocena zawiera m.in. analizę wpływu dotychczasowych interwencji związanych z rozwojem HOF oraz analizę problemów występujących na jego obszarze, analizę zgłaszanych przez interesariuszy rekomendacji i </w:t>
      </w:r>
      <w:proofErr w:type="gramStart"/>
      <w:r w:rsidRPr="00ED6132">
        <w:rPr>
          <w:rFonts w:ascii="Calibri" w:eastAsia="Calibri" w:hAnsi="Calibri" w:cs="Calibri"/>
          <w:color w:val="000000"/>
        </w:rPr>
        <w:t>zaleceń co</w:t>
      </w:r>
      <w:proofErr w:type="gramEnd"/>
      <w:r w:rsidRPr="00ED6132">
        <w:rPr>
          <w:rFonts w:ascii="Calibri" w:eastAsia="Calibri" w:hAnsi="Calibri" w:cs="Calibri"/>
          <w:color w:val="000000"/>
        </w:rPr>
        <w:t xml:space="preserve"> do założeń dokumentu.</w:t>
      </w:r>
    </w:p>
    <w:p w:rsidR="00ED6132" w:rsidRPr="00ED6132" w:rsidRDefault="00ED6132" w:rsidP="00A13FA7">
      <w:pPr>
        <w:numPr>
          <w:ilvl w:val="0"/>
          <w:numId w:val="59"/>
        </w:numPr>
        <w:spacing w:before="0" w:after="0"/>
        <w:ind w:left="567"/>
        <w:contextualSpacing/>
        <w:rPr>
          <w:rFonts w:ascii="Calibri" w:eastAsia="Calibri" w:hAnsi="Calibri" w:cs="Times New Roman"/>
        </w:rPr>
      </w:pPr>
      <w:proofErr w:type="gramStart"/>
      <w:r w:rsidRPr="00ED6132">
        <w:rPr>
          <w:rFonts w:ascii="Calibri" w:eastAsia="Calibri" w:hAnsi="Calibri" w:cs="Times New Roman"/>
          <w:b/>
        </w:rPr>
        <w:t>ewaluacja</w:t>
      </w:r>
      <w:proofErr w:type="gramEnd"/>
      <w:r w:rsidRPr="00ED6132">
        <w:rPr>
          <w:rFonts w:ascii="Calibri" w:eastAsia="Calibri" w:hAnsi="Calibri" w:cs="Times New Roman"/>
          <w:b/>
        </w:rPr>
        <w:t xml:space="preserve"> </w:t>
      </w:r>
      <w:proofErr w:type="spellStart"/>
      <w:r w:rsidRPr="00ED6132">
        <w:rPr>
          <w:rFonts w:ascii="Calibri" w:eastAsia="Calibri" w:hAnsi="Calibri" w:cs="Times New Roman"/>
          <w:b/>
        </w:rPr>
        <w:t>mid</w:t>
      </w:r>
      <w:proofErr w:type="spellEnd"/>
      <w:r w:rsidRPr="00ED6132">
        <w:rPr>
          <w:rFonts w:ascii="Calibri" w:eastAsia="Calibri" w:hAnsi="Calibri" w:cs="Times New Roman"/>
          <w:b/>
        </w:rPr>
        <w:t>-term</w:t>
      </w:r>
      <w:r w:rsidRPr="00ED6132">
        <w:rPr>
          <w:rFonts w:ascii="Calibri" w:eastAsia="Calibri" w:hAnsi="Calibri" w:cs="Times New Roman"/>
        </w:rPr>
        <w:t xml:space="preserve"> (ocena dokonywana w połowie okresu realizacji Strategii) - </w:t>
      </w:r>
      <w:r w:rsidRPr="00ED6132">
        <w:rPr>
          <w:rFonts w:ascii="Calibri" w:eastAsia="Calibri" w:hAnsi="Calibri" w:cs="Calibri"/>
          <w:color w:val="000000"/>
        </w:rPr>
        <w:t xml:space="preserve">badanie ewaluacyjne </w:t>
      </w:r>
      <w:proofErr w:type="spellStart"/>
      <w:r w:rsidRPr="00ED6132">
        <w:rPr>
          <w:rFonts w:ascii="Calibri" w:eastAsia="Calibri" w:hAnsi="Calibri" w:cs="Calibri"/>
          <w:color w:val="000000"/>
        </w:rPr>
        <w:t>mid</w:t>
      </w:r>
      <w:proofErr w:type="spellEnd"/>
      <w:r w:rsidRPr="00ED6132">
        <w:rPr>
          <w:rFonts w:ascii="Calibri" w:eastAsia="Calibri" w:hAnsi="Calibri" w:cs="Calibri"/>
          <w:color w:val="000000"/>
        </w:rPr>
        <w:t>-term zostanie przeprowadzone nie później niż w ciągu roku następującego po zakończeniu połowy okresu realizacji Strategii.</w:t>
      </w:r>
    </w:p>
    <w:p w:rsidR="00ED6132" w:rsidRDefault="00ED6132" w:rsidP="00A13FA7">
      <w:pPr>
        <w:numPr>
          <w:ilvl w:val="0"/>
          <w:numId w:val="59"/>
        </w:numPr>
        <w:spacing w:before="0" w:after="0"/>
        <w:ind w:left="567"/>
        <w:contextualSpacing/>
        <w:rPr>
          <w:rFonts w:ascii="Calibri" w:eastAsia="Calibri" w:hAnsi="Calibri" w:cs="Times New Roman"/>
        </w:rPr>
      </w:pPr>
      <w:proofErr w:type="gramStart"/>
      <w:r w:rsidRPr="00ED6132">
        <w:rPr>
          <w:rFonts w:ascii="Calibri" w:eastAsia="Calibri" w:hAnsi="Calibri" w:cs="Times New Roman"/>
          <w:b/>
        </w:rPr>
        <w:t>ewaluacja</w:t>
      </w:r>
      <w:proofErr w:type="gramEnd"/>
      <w:r w:rsidRPr="00ED6132">
        <w:rPr>
          <w:rFonts w:ascii="Calibri" w:eastAsia="Calibri" w:hAnsi="Calibri" w:cs="Times New Roman"/>
          <w:b/>
        </w:rPr>
        <w:t xml:space="preserve"> ex-post</w:t>
      </w:r>
      <w:r w:rsidRPr="00ED6132">
        <w:rPr>
          <w:rFonts w:ascii="Calibri" w:eastAsia="Calibri" w:hAnsi="Calibri" w:cs="Times New Roman"/>
        </w:rPr>
        <w:t xml:space="preserve"> (po zakończeniu realizacji interwencji) - ocena ex-post będzie służyła do określenia długotrwałych efektów wdrożenia Strategii, w tym relacji wielkości zaangażowanych środków do skuteczności i efektywności podejmowanych działań. Z ewaluacji końcowej wynikać powinny wskazania odnośnie dalszych kierunków polityki w zakresie rozwoju społeczno-gospodarczego HOF oraz wpływu oddziaływań egzogennych i endogennych na jego rozwój. Raport końcowy z wdrażania założeń dokumentu, będzie zawierał m.in. wykaz zrealizowanych działań, analizę efektywności wydatkowania środków finansowych, analizę osiągniętych rezultatów w ramach podjętych działań (stopień osiągnięcia założonych wskaźników).</w:t>
      </w:r>
    </w:p>
    <w:p w:rsidR="000C2F23" w:rsidRDefault="000C2F23" w:rsidP="000C2F23">
      <w:pPr>
        <w:spacing w:before="0" w:after="0"/>
        <w:contextualSpacing/>
        <w:rPr>
          <w:rFonts w:ascii="Calibri" w:eastAsia="Calibri" w:hAnsi="Calibri" w:cs="Times New Roman"/>
        </w:rPr>
      </w:pPr>
    </w:p>
    <w:p w:rsidR="000C2F23" w:rsidRDefault="000C2F23" w:rsidP="000C2F23">
      <w:pPr>
        <w:spacing w:before="0" w:after="0"/>
        <w:contextualSpacing/>
        <w:rPr>
          <w:rFonts w:ascii="Calibri" w:eastAsia="Calibri" w:hAnsi="Calibri" w:cs="Times New Roman"/>
        </w:rPr>
      </w:pPr>
    </w:p>
    <w:p w:rsidR="000C2F23" w:rsidRDefault="000C2F23" w:rsidP="000C2F23">
      <w:pPr>
        <w:spacing w:before="0" w:after="0"/>
        <w:contextualSpacing/>
        <w:rPr>
          <w:rFonts w:ascii="Calibri" w:eastAsia="Calibri" w:hAnsi="Calibri" w:cs="Times New Roman"/>
        </w:rPr>
      </w:pPr>
    </w:p>
    <w:p w:rsidR="000C2F23" w:rsidRDefault="000C2F23" w:rsidP="000C2F23">
      <w:pPr>
        <w:spacing w:before="0" w:after="0"/>
        <w:contextualSpacing/>
        <w:rPr>
          <w:rFonts w:ascii="Calibri" w:eastAsia="Calibri" w:hAnsi="Calibri" w:cs="Times New Roman"/>
        </w:rPr>
      </w:pPr>
    </w:p>
    <w:p w:rsidR="000C2F23" w:rsidRDefault="000C2F23" w:rsidP="000C2F23">
      <w:pPr>
        <w:spacing w:before="0" w:after="0"/>
        <w:contextualSpacing/>
        <w:rPr>
          <w:rFonts w:ascii="Calibri" w:eastAsia="Calibri" w:hAnsi="Calibri" w:cs="Times New Roman"/>
        </w:rPr>
      </w:pPr>
    </w:p>
    <w:p w:rsidR="000C2F23" w:rsidRDefault="000C2F23" w:rsidP="000C2F23">
      <w:pPr>
        <w:spacing w:before="0" w:after="0"/>
        <w:contextualSpacing/>
        <w:rPr>
          <w:rFonts w:ascii="Calibri" w:eastAsia="Calibri" w:hAnsi="Calibri" w:cs="Times New Roman"/>
        </w:rPr>
      </w:pPr>
    </w:p>
    <w:p w:rsidR="000C2F23" w:rsidRPr="00ED6132" w:rsidRDefault="000C2F23" w:rsidP="000C2F23">
      <w:pPr>
        <w:spacing w:before="0" w:after="0"/>
        <w:contextualSpacing/>
        <w:rPr>
          <w:rFonts w:ascii="Calibri" w:eastAsia="Calibri" w:hAnsi="Calibri" w:cs="Times New Roman"/>
        </w:rPr>
      </w:pPr>
    </w:p>
    <w:p w:rsidR="00ED6132" w:rsidRPr="00ED6132" w:rsidRDefault="00ED6132" w:rsidP="00ED6132">
      <w:pPr>
        <w:keepNext/>
        <w:spacing w:after="0" w:line="240" w:lineRule="auto"/>
        <w:rPr>
          <w:rFonts w:ascii="Calibri" w:eastAsia="Calibri" w:hAnsi="Calibri" w:cs="Times New Roman"/>
          <w:b/>
          <w:bCs/>
          <w:color w:val="00B0F0"/>
          <w:sz w:val="18"/>
          <w:szCs w:val="18"/>
        </w:rPr>
      </w:pPr>
      <w:bookmarkStart w:id="88" w:name="_Toc138068544"/>
      <w:r w:rsidRPr="00ED6132">
        <w:rPr>
          <w:rFonts w:ascii="Calibri" w:eastAsia="Calibri" w:hAnsi="Calibri" w:cs="Times New Roman"/>
          <w:b/>
          <w:bCs/>
          <w:color w:val="00B0F0"/>
          <w:sz w:val="18"/>
          <w:szCs w:val="18"/>
        </w:rPr>
        <w:lastRenderedPageBreak/>
        <w:t xml:space="preserve">Tabela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Tabela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14</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xml:space="preserve"> Plan ewaluacji</w:t>
      </w:r>
      <w:bookmarkEnd w:id="88"/>
    </w:p>
    <w:tbl>
      <w:tblPr>
        <w:tblStyle w:val="Jasnasiatkaakcent211"/>
        <w:tblW w:w="0" w:type="auto"/>
        <w:jc w:val="center"/>
        <w:tblLook w:val="04A0" w:firstRow="1" w:lastRow="0" w:firstColumn="1" w:lastColumn="0" w:noHBand="0" w:noVBand="1"/>
      </w:tblPr>
      <w:tblGrid>
        <w:gridCol w:w="1050"/>
        <w:gridCol w:w="823"/>
        <w:gridCol w:w="824"/>
        <w:gridCol w:w="824"/>
        <w:gridCol w:w="824"/>
        <w:gridCol w:w="824"/>
        <w:gridCol w:w="824"/>
        <w:gridCol w:w="824"/>
        <w:gridCol w:w="824"/>
        <w:gridCol w:w="824"/>
      </w:tblGrid>
      <w:tr w:rsidR="00ED6132" w:rsidRPr="00ED6132" w:rsidTr="00C831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50" w:type="dxa"/>
            <w:vMerge w:val="restart"/>
          </w:tcPr>
          <w:p w:rsidR="00ED6132" w:rsidRPr="00ED6132" w:rsidRDefault="00ED6132" w:rsidP="00ED6132">
            <w:pPr>
              <w:spacing w:after="120"/>
              <w:ind w:firstLine="0"/>
              <w:rPr>
                <w:rFonts w:cs="Calibri"/>
                <w:color w:val="000000"/>
              </w:rPr>
            </w:pPr>
            <w:r w:rsidRPr="00ED6132">
              <w:rPr>
                <w:rFonts w:ascii="Calibri" w:hAnsi="Calibri"/>
                <w:sz w:val="20"/>
                <w:szCs w:val="20"/>
              </w:rPr>
              <w:t>Rodzaj ewaluacji</w:t>
            </w:r>
          </w:p>
        </w:tc>
        <w:tc>
          <w:tcPr>
            <w:tcW w:w="7415" w:type="dxa"/>
            <w:gridSpan w:val="9"/>
          </w:tcPr>
          <w:p w:rsidR="00ED6132" w:rsidRPr="00ED6132" w:rsidRDefault="00ED6132" w:rsidP="00ED6132">
            <w:pPr>
              <w:spacing w:after="12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ED6132">
              <w:rPr>
                <w:rFonts w:ascii="Calibri" w:hAnsi="Calibri" w:cs="Calibri"/>
                <w:color w:val="000000"/>
                <w:sz w:val="20"/>
                <w:szCs w:val="20"/>
              </w:rPr>
              <w:t>Rok przeprowadzenia badania ewaluacyjnego i opracowania raportu</w:t>
            </w:r>
          </w:p>
        </w:tc>
      </w:tr>
      <w:tr w:rsidR="00C83112" w:rsidRPr="00ED6132" w:rsidTr="00C831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50" w:type="dxa"/>
            <w:vMerge/>
          </w:tcPr>
          <w:p w:rsidR="00C83112" w:rsidRPr="00ED6132" w:rsidRDefault="00C83112" w:rsidP="00ED6132">
            <w:pPr>
              <w:spacing w:after="120"/>
              <w:ind w:firstLine="0"/>
              <w:rPr>
                <w:rFonts w:cs="Calibri"/>
                <w:color w:val="000000"/>
              </w:rPr>
            </w:pPr>
          </w:p>
        </w:tc>
        <w:tc>
          <w:tcPr>
            <w:tcW w:w="823" w:type="dxa"/>
            <w:vAlign w:val="center"/>
          </w:tcPr>
          <w:p w:rsidR="00C83112" w:rsidRPr="00ED6132" w:rsidRDefault="00C8311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ED6132">
              <w:rPr>
                <w:rFonts w:ascii="Calibri" w:eastAsia="Calibri" w:hAnsi="Calibri" w:cs="Times New Roman"/>
                <w:bCs/>
                <w:sz w:val="20"/>
                <w:szCs w:val="20"/>
              </w:rPr>
              <w:t>2023</w:t>
            </w:r>
          </w:p>
        </w:tc>
        <w:tc>
          <w:tcPr>
            <w:tcW w:w="824" w:type="dxa"/>
            <w:vAlign w:val="center"/>
          </w:tcPr>
          <w:p w:rsidR="00C83112" w:rsidRPr="00ED6132" w:rsidRDefault="00C8311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ED6132">
              <w:rPr>
                <w:rFonts w:ascii="Calibri" w:eastAsia="Calibri" w:hAnsi="Calibri" w:cs="Times New Roman"/>
                <w:bCs/>
                <w:sz w:val="20"/>
                <w:szCs w:val="20"/>
              </w:rPr>
              <w:t>2024</w:t>
            </w:r>
          </w:p>
        </w:tc>
        <w:tc>
          <w:tcPr>
            <w:tcW w:w="824" w:type="dxa"/>
            <w:vAlign w:val="center"/>
          </w:tcPr>
          <w:p w:rsidR="00C83112" w:rsidRPr="00ED6132" w:rsidRDefault="00C83112" w:rsidP="00ED6132">
            <w:pPr>
              <w:tabs>
                <w:tab w:val="left" w:pos="762"/>
              </w:tabs>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ED6132">
              <w:rPr>
                <w:rFonts w:ascii="Calibri" w:eastAsia="Calibri" w:hAnsi="Calibri" w:cs="Times New Roman"/>
                <w:bCs/>
                <w:sz w:val="20"/>
                <w:szCs w:val="20"/>
              </w:rPr>
              <w:t>2025</w:t>
            </w:r>
          </w:p>
        </w:tc>
        <w:tc>
          <w:tcPr>
            <w:tcW w:w="824" w:type="dxa"/>
            <w:vAlign w:val="center"/>
          </w:tcPr>
          <w:p w:rsidR="00C83112" w:rsidRPr="00ED6132" w:rsidRDefault="00C8311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ED6132">
              <w:rPr>
                <w:rFonts w:ascii="Calibri" w:eastAsia="Calibri" w:hAnsi="Calibri" w:cs="Times New Roman"/>
                <w:bCs/>
                <w:sz w:val="20"/>
                <w:szCs w:val="20"/>
              </w:rPr>
              <w:t>2026</w:t>
            </w:r>
          </w:p>
        </w:tc>
        <w:tc>
          <w:tcPr>
            <w:tcW w:w="824" w:type="dxa"/>
            <w:vAlign w:val="center"/>
          </w:tcPr>
          <w:p w:rsidR="00C83112" w:rsidRPr="00ED6132" w:rsidRDefault="00C8311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0"/>
                <w:szCs w:val="20"/>
              </w:rPr>
            </w:pPr>
            <w:r w:rsidRPr="00ED6132">
              <w:rPr>
                <w:rFonts w:ascii="Calibri" w:eastAsia="Calibri" w:hAnsi="Calibri" w:cs="Times New Roman"/>
                <w:bCs/>
                <w:sz w:val="20"/>
                <w:szCs w:val="20"/>
              </w:rPr>
              <w:t>2027</w:t>
            </w:r>
          </w:p>
        </w:tc>
        <w:tc>
          <w:tcPr>
            <w:tcW w:w="824" w:type="dxa"/>
            <w:vAlign w:val="center"/>
          </w:tcPr>
          <w:p w:rsidR="00C83112" w:rsidRPr="00ED6132" w:rsidRDefault="00C8311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Cs/>
                <w:sz w:val="20"/>
                <w:szCs w:val="20"/>
              </w:rPr>
            </w:pPr>
            <w:r w:rsidRPr="00ED6132">
              <w:rPr>
                <w:rFonts w:ascii="Calibri" w:eastAsia="Calibri" w:hAnsi="Calibri" w:cs="Times New Roman"/>
                <w:bCs/>
                <w:sz w:val="20"/>
                <w:szCs w:val="20"/>
              </w:rPr>
              <w:t>2028</w:t>
            </w:r>
          </w:p>
        </w:tc>
        <w:tc>
          <w:tcPr>
            <w:tcW w:w="824" w:type="dxa"/>
            <w:vAlign w:val="center"/>
          </w:tcPr>
          <w:p w:rsidR="00C83112" w:rsidRPr="00ED6132" w:rsidRDefault="00C8311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Cs/>
                <w:sz w:val="20"/>
                <w:szCs w:val="20"/>
              </w:rPr>
            </w:pPr>
            <w:r w:rsidRPr="00ED6132">
              <w:rPr>
                <w:rFonts w:ascii="Calibri" w:eastAsia="Calibri" w:hAnsi="Calibri" w:cs="Times New Roman"/>
                <w:bCs/>
                <w:sz w:val="20"/>
                <w:szCs w:val="20"/>
              </w:rPr>
              <w:t>2029</w:t>
            </w:r>
          </w:p>
        </w:tc>
        <w:tc>
          <w:tcPr>
            <w:tcW w:w="824" w:type="dxa"/>
            <w:vAlign w:val="center"/>
          </w:tcPr>
          <w:p w:rsidR="00C83112" w:rsidRPr="00ED6132" w:rsidRDefault="00C8311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Cs/>
                <w:sz w:val="20"/>
                <w:szCs w:val="20"/>
              </w:rPr>
            </w:pPr>
            <w:r w:rsidRPr="00ED6132">
              <w:rPr>
                <w:rFonts w:ascii="Calibri" w:eastAsia="Calibri" w:hAnsi="Calibri" w:cs="Times New Roman"/>
                <w:bCs/>
                <w:sz w:val="20"/>
                <w:szCs w:val="20"/>
              </w:rPr>
              <w:t>2030</w:t>
            </w:r>
          </w:p>
        </w:tc>
        <w:tc>
          <w:tcPr>
            <w:tcW w:w="824" w:type="dxa"/>
            <w:vAlign w:val="center"/>
          </w:tcPr>
          <w:p w:rsidR="00C83112" w:rsidRPr="00ED6132" w:rsidRDefault="00C8311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Cs/>
                <w:sz w:val="20"/>
                <w:szCs w:val="20"/>
              </w:rPr>
            </w:pPr>
            <w:r w:rsidRPr="00ED6132">
              <w:rPr>
                <w:rFonts w:ascii="Calibri" w:eastAsia="Calibri" w:hAnsi="Calibri" w:cs="Times New Roman"/>
                <w:bCs/>
                <w:sz w:val="20"/>
                <w:szCs w:val="20"/>
              </w:rPr>
              <w:t>2031</w:t>
            </w:r>
          </w:p>
        </w:tc>
      </w:tr>
      <w:tr w:rsidR="00C83112" w:rsidRPr="00ED6132" w:rsidTr="00C831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50" w:type="dxa"/>
            <w:vAlign w:val="center"/>
          </w:tcPr>
          <w:p w:rsidR="00C83112" w:rsidRPr="00ED6132" w:rsidRDefault="00C83112" w:rsidP="00ED6132">
            <w:pPr>
              <w:spacing w:before="0"/>
              <w:ind w:firstLine="0"/>
              <w:jc w:val="center"/>
              <w:rPr>
                <w:rFonts w:ascii="Calibri" w:hAnsi="Calibri"/>
                <w:sz w:val="20"/>
                <w:szCs w:val="20"/>
              </w:rPr>
            </w:pPr>
            <w:r w:rsidRPr="00ED6132">
              <w:rPr>
                <w:rFonts w:ascii="Calibri" w:hAnsi="Calibri"/>
                <w:sz w:val="20"/>
                <w:szCs w:val="20"/>
              </w:rPr>
              <w:t>Ewaluacja ex-</w:t>
            </w:r>
            <w:proofErr w:type="spellStart"/>
            <w:r w:rsidRPr="00ED6132">
              <w:rPr>
                <w:rFonts w:ascii="Calibri" w:hAnsi="Calibri"/>
                <w:sz w:val="20"/>
                <w:szCs w:val="20"/>
              </w:rPr>
              <w:t>ante</w:t>
            </w:r>
            <w:proofErr w:type="spellEnd"/>
          </w:p>
        </w:tc>
        <w:tc>
          <w:tcPr>
            <w:tcW w:w="823" w:type="dxa"/>
          </w:tcPr>
          <w:p w:rsidR="00C83112" w:rsidRPr="00CB0533"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r w:rsidRPr="00CB0533">
              <w:rPr>
                <w:rFonts w:ascii="Calibri" w:eastAsia="Calibri" w:hAnsi="Calibri" w:cs="Calibri"/>
                <w:color w:val="000000"/>
                <w:sz w:val="24"/>
                <w:szCs w:val="24"/>
              </w:rPr>
              <w:t>X</w:t>
            </w:r>
          </w:p>
        </w:tc>
        <w:tc>
          <w:tcPr>
            <w:tcW w:w="824" w:type="dxa"/>
          </w:tcPr>
          <w:p w:rsidR="00C83112" w:rsidRPr="00CB0533"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CB0533"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CB0533"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CB0533"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r>
      <w:tr w:rsidR="00C83112" w:rsidRPr="00ED6132" w:rsidTr="00C831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50" w:type="dxa"/>
            <w:vAlign w:val="center"/>
          </w:tcPr>
          <w:p w:rsidR="00C83112" w:rsidRPr="00ED6132" w:rsidRDefault="00C83112" w:rsidP="00ED6132">
            <w:pPr>
              <w:spacing w:before="0"/>
              <w:ind w:firstLine="0"/>
              <w:jc w:val="center"/>
              <w:rPr>
                <w:rFonts w:ascii="Calibri" w:hAnsi="Calibri"/>
                <w:sz w:val="20"/>
                <w:szCs w:val="20"/>
              </w:rPr>
            </w:pPr>
            <w:r w:rsidRPr="00ED6132">
              <w:rPr>
                <w:rFonts w:ascii="Calibri" w:hAnsi="Calibri"/>
                <w:sz w:val="20"/>
                <w:szCs w:val="20"/>
              </w:rPr>
              <w:t xml:space="preserve">Ewaluacja </w:t>
            </w:r>
            <w:proofErr w:type="spellStart"/>
            <w:r w:rsidRPr="00ED6132">
              <w:rPr>
                <w:rFonts w:ascii="Calibri" w:hAnsi="Calibri"/>
                <w:sz w:val="20"/>
                <w:szCs w:val="20"/>
              </w:rPr>
              <w:t>mid</w:t>
            </w:r>
            <w:proofErr w:type="spellEnd"/>
            <w:r w:rsidRPr="00ED6132">
              <w:rPr>
                <w:rFonts w:ascii="Calibri" w:hAnsi="Calibri"/>
                <w:sz w:val="20"/>
                <w:szCs w:val="20"/>
              </w:rPr>
              <w:t>-term</w:t>
            </w:r>
          </w:p>
        </w:tc>
        <w:tc>
          <w:tcPr>
            <w:tcW w:w="823" w:type="dxa"/>
          </w:tcPr>
          <w:p w:rsidR="00C83112" w:rsidRPr="00CB0533" w:rsidRDefault="00C83112" w:rsidP="00ED6132">
            <w:pPr>
              <w:spacing w:after="12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4"/>
                <w:szCs w:val="24"/>
              </w:rPr>
            </w:pPr>
          </w:p>
        </w:tc>
        <w:tc>
          <w:tcPr>
            <w:tcW w:w="824" w:type="dxa"/>
          </w:tcPr>
          <w:p w:rsidR="00C83112" w:rsidRPr="00CB0533" w:rsidRDefault="00C83112" w:rsidP="00ED6132">
            <w:pPr>
              <w:spacing w:after="12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4"/>
                <w:szCs w:val="24"/>
              </w:rPr>
            </w:pPr>
          </w:p>
        </w:tc>
        <w:tc>
          <w:tcPr>
            <w:tcW w:w="824" w:type="dxa"/>
          </w:tcPr>
          <w:p w:rsidR="00C83112" w:rsidRPr="00CB0533" w:rsidRDefault="00C83112" w:rsidP="00ED6132">
            <w:pPr>
              <w:spacing w:after="12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4"/>
                <w:szCs w:val="24"/>
              </w:rPr>
            </w:pPr>
          </w:p>
        </w:tc>
        <w:tc>
          <w:tcPr>
            <w:tcW w:w="824" w:type="dxa"/>
          </w:tcPr>
          <w:p w:rsidR="00C83112" w:rsidRPr="00CB0533" w:rsidRDefault="00C83112" w:rsidP="00ED6132">
            <w:pPr>
              <w:spacing w:after="12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4"/>
                <w:szCs w:val="24"/>
              </w:rPr>
            </w:pPr>
          </w:p>
        </w:tc>
        <w:tc>
          <w:tcPr>
            <w:tcW w:w="824" w:type="dxa"/>
          </w:tcPr>
          <w:p w:rsidR="00C83112" w:rsidRPr="00CB0533" w:rsidRDefault="00C83112" w:rsidP="00ED6132">
            <w:pPr>
              <w:spacing w:after="12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4"/>
                <w:szCs w:val="24"/>
              </w:rPr>
            </w:pPr>
            <w:r w:rsidRPr="00CB0533">
              <w:rPr>
                <w:rFonts w:ascii="Calibri" w:eastAsia="Calibri" w:hAnsi="Calibri" w:cs="Times New Roman"/>
                <w:sz w:val="24"/>
                <w:szCs w:val="24"/>
              </w:rPr>
              <w:t>X</w:t>
            </w:r>
          </w:p>
        </w:tc>
        <w:tc>
          <w:tcPr>
            <w:tcW w:w="824" w:type="dxa"/>
          </w:tcPr>
          <w:p w:rsidR="00C83112" w:rsidRPr="00ED6132" w:rsidRDefault="00C83112" w:rsidP="00ED6132">
            <w:pPr>
              <w:spacing w:after="12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4"/>
                <w:szCs w:val="24"/>
              </w:rPr>
            </w:pPr>
          </w:p>
        </w:tc>
      </w:tr>
      <w:tr w:rsidR="00C83112" w:rsidRPr="00ED6132" w:rsidTr="00C831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50" w:type="dxa"/>
            <w:vAlign w:val="center"/>
          </w:tcPr>
          <w:p w:rsidR="00C83112" w:rsidRPr="00ED6132" w:rsidRDefault="00C83112" w:rsidP="00ED6132">
            <w:pPr>
              <w:spacing w:before="0"/>
              <w:ind w:firstLine="0"/>
              <w:jc w:val="center"/>
              <w:rPr>
                <w:rFonts w:ascii="Calibri" w:hAnsi="Calibri"/>
                <w:sz w:val="20"/>
                <w:szCs w:val="20"/>
              </w:rPr>
            </w:pPr>
            <w:r w:rsidRPr="00ED6132">
              <w:rPr>
                <w:rFonts w:ascii="Calibri" w:hAnsi="Calibri"/>
                <w:sz w:val="20"/>
                <w:szCs w:val="20"/>
              </w:rPr>
              <w:t>Ewaluacja ex-post</w:t>
            </w:r>
          </w:p>
        </w:tc>
        <w:tc>
          <w:tcPr>
            <w:tcW w:w="823"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p>
        </w:tc>
        <w:tc>
          <w:tcPr>
            <w:tcW w:w="824" w:type="dxa"/>
          </w:tcPr>
          <w:p w:rsidR="00C83112" w:rsidRPr="00ED6132" w:rsidRDefault="00C83112" w:rsidP="00ED6132">
            <w:pPr>
              <w:spacing w:after="12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4"/>
                <w:szCs w:val="24"/>
              </w:rPr>
            </w:pPr>
            <w:r w:rsidRPr="00ED6132">
              <w:rPr>
                <w:rFonts w:ascii="Calibri" w:eastAsia="Calibri" w:hAnsi="Calibri" w:cs="Times New Roman"/>
                <w:sz w:val="24"/>
                <w:szCs w:val="24"/>
              </w:rPr>
              <w:t>X</w:t>
            </w:r>
          </w:p>
        </w:tc>
      </w:tr>
    </w:tbl>
    <w:p w:rsidR="00ED6132" w:rsidRPr="00ED6132" w:rsidRDefault="00ED6132" w:rsidP="00ED6132">
      <w:pPr>
        <w:spacing w:before="0" w:after="120"/>
        <w:rPr>
          <w:rFonts w:ascii="Calibri" w:eastAsia="Calibri" w:hAnsi="Calibri" w:cs="Calibri"/>
          <w:color w:val="000000"/>
        </w:rPr>
      </w:pPr>
      <w:r w:rsidRPr="00ED6132">
        <w:rPr>
          <w:rFonts w:ascii="Calibri" w:eastAsia="Calibri" w:hAnsi="Calibri" w:cs="Times New Roman"/>
          <w:i/>
          <w:sz w:val="18"/>
          <w:szCs w:val="18"/>
        </w:rPr>
        <w:t>Źródło: opracowanie własne</w:t>
      </w:r>
    </w:p>
    <w:p w:rsidR="00ED6132" w:rsidRPr="00ED6132" w:rsidRDefault="000C2F23" w:rsidP="00ED6132">
      <w:pPr>
        <w:rPr>
          <w:rFonts w:ascii="Calibri" w:eastAsia="Calibri" w:hAnsi="Calibri" w:cs="Times New Roman"/>
        </w:rPr>
      </w:pPr>
      <w:r w:rsidRPr="00ED6132">
        <w:rPr>
          <w:rFonts w:ascii="Calibri" w:eastAsia="Calibri" w:hAnsi="Calibri" w:cs="Times New Roman"/>
          <w:noProof/>
          <w:lang w:eastAsia="pl-PL"/>
        </w:rPr>
        <mc:AlternateContent>
          <mc:Choice Requires="wpg">
            <w:drawing>
              <wp:anchor distT="0" distB="0" distL="114300" distR="114300" simplePos="0" relativeHeight="251768832" behindDoc="0" locked="0" layoutInCell="1" allowOverlap="1" wp14:anchorId="4006549A" wp14:editId="4DE876F4">
                <wp:simplePos x="0" y="0"/>
                <wp:positionH relativeFrom="column">
                  <wp:posOffset>624205</wp:posOffset>
                </wp:positionH>
                <wp:positionV relativeFrom="paragraph">
                  <wp:posOffset>1144905</wp:posOffset>
                </wp:positionV>
                <wp:extent cx="4648200" cy="2927350"/>
                <wp:effectExtent l="57150" t="0" r="0" b="25400"/>
                <wp:wrapSquare wrapText="bothSides"/>
                <wp:docPr id="72" name="Grupa 72"/>
                <wp:cNvGraphicFramePr/>
                <a:graphic xmlns:a="http://schemas.openxmlformats.org/drawingml/2006/main">
                  <a:graphicData uri="http://schemas.microsoft.com/office/word/2010/wordprocessingGroup">
                    <wpg:wgp>
                      <wpg:cNvGrpSpPr/>
                      <wpg:grpSpPr>
                        <a:xfrm>
                          <a:off x="0" y="0"/>
                          <a:ext cx="4648200" cy="2927350"/>
                          <a:chOff x="0" y="0"/>
                          <a:chExt cx="4648200" cy="2927350"/>
                        </a:xfrm>
                      </wpg:grpSpPr>
                      <wpg:grpSp>
                        <wpg:cNvPr id="73" name="Grupa 73"/>
                        <wpg:cNvGrpSpPr/>
                        <wpg:grpSpPr>
                          <a:xfrm>
                            <a:off x="0" y="374650"/>
                            <a:ext cx="4133850" cy="2552700"/>
                            <a:chOff x="0" y="0"/>
                            <a:chExt cx="4133850" cy="2552700"/>
                          </a:xfrm>
                        </wpg:grpSpPr>
                        <wps:wsp>
                          <wps:cNvPr id="74" name="Prostokąt zaokrąglony 74"/>
                          <wps:cNvSpPr/>
                          <wps:spPr>
                            <a:xfrm>
                              <a:off x="0" y="0"/>
                              <a:ext cx="2051050" cy="431800"/>
                            </a:xfrm>
                            <a:prstGeom prst="roundRect">
                              <a:avLst/>
                            </a:prstGeom>
                            <a:gradFill rotWithShape="1">
                              <a:gsLst>
                                <a:gs pos="0">
                                  <a:srgbClr val="F5C040">
                                    <a:shade val="51000"/>
                                    <a:satMod val="130000"/>
                                  </a:srgbClr>
                                </a:gs>
                                <a:gs pos="80000">
                                  <a:srgbClr val="F5C040">
                                    <a:shade val="93000"/>
                                    <a:satMod val="130000"/>
                                  </a:srgbClr>
                                </a:gs>
                                <a:gs pos="100000">
                                  <a:srgbClr val="F5C040">
                                    <a:shade val="94000"/>
                                    <a:satMod val="135000"/>
                                  </a:srgbClr>
                                </a:gs>
                              </a:gsLst>
                              <a:lin ang="16200000" scaled="0"/>
                            </a:gradFill>
                            <a:ln w="9525" cap="flat" cmpd="sng" algn="ctr">
                              <a:solidFill>
                                <a:srgbClr val="F5C040">
                                  <a:shade val="95000"/>
                                  <a:satMod val="105000"/>
                                </a:srgbClr>
                              </a:solidFill>
                              <a:prstDash val="solid"/>
                            </a:ln>
                            <a:effectLst>
                              <a:outerShdw blurRad="40000" dist="23000" dir="5400000" rotWithShape="0">
                                <a:srgbClr val="000000">
                                  <a:alpha val="35000"/>
                                </a:srgbClr>
                              </a:outerShdw>
                            </a:effectLst>
                          </wps:spPr>
                          <wps:txbx>
                            <w:txbxContent>
                              <w:p w:rsidR="002441D5" w:rsidRDefault="002441D5" w:rsidP="00ED6132">
                                <w:pPr>
                                  <w:jc w:val="center"/>
                                </w:pPr>
                                <w:r>
                                  <w:t>TRAFNOŚĆ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Prostokąt zaokrąglony 75"/>
                          <wps:cNvSpPr/>
                          <wps:spPr>
                            <a:xfrm>
                              <a:off x="0" y="520700"/>
                              <a:ext cx="2051050" cy="431800"/>
                            </a:xfrm>
                            <a:prstGeom prst="roundRect">
                              <a:avLst/>
                            </a:prstGeom>
                            <a:gradFill rotWithShape="1">
                              <a:gsLst>
                                <a:gs pos="0">
                                  <a:srgbClr val="F5C040">
                                    <a:shade val="51000"/>
                                    <a:satMod val="130000"/>
                                  </a:srgbClr>
                                </a:gs>
                                <a:gs pos="80000">
                                  <a:srgbClr val="F5C040">
                                    <a:shade val="93000"/>
                                    <a:satMod val="130000"/>
                                  </a:srgbClr>
                                </a:gs>
                                <a:gs pos="100000">
                                  <a:srgbClr val="F5C040">
                                    <a:shade val="94000"/>
                                    <a:satMod val="135000"/>
                                  </a:srgbClr>
                                </a:gs>
                              </a:gsLst>
                              <a:lin ang="16200000" scaled="0"/>
                            </a:gradFill>
                            <a:ln w="9525" cap="flat" cmpd="sng" algn="ctr">
                              <a:solidFill>
                                <a:srgbClr val="F5C040">
                                  <a:shade val="95000"/>
                                  <a:satMod val="105000"/>
                                </a:srgbClr>
                              </a:solidFill>
                              <a:prstDash val="solid"/>
                            </a:ln>
                            <a:effectLst>
                              <a:outerShdw blurRad="40000" dist="23000" dir="5400000" rotWithShape="0">
                                <a:srgbClr val="000000">
                                  <a:alpha val="35000"/>
                                </a:srgbClr>
                              </a:outerShdw>
                            </a:effectLst>
                          </wps:spPr>
                          <wps:txbx>
                            <w:txbxContent>
                              <w:p w:rsidR="002441D5" w:rsidRDefault="002441D5" w:rsidP="00ED6132">
                                <w:pPr>
                                  <w:jc w:val="center"/>
                                </w:pPr>
                                <w:r>
                                  <w:t>EFEKTYWNOŚĆ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Prostokąt zaokrąglony 76"/>
                          <wps:cNvSpPr/>
                          <wps:spPr>
                            <a:xfrm>
                              <a:off x="0" y="1028700"/>
                              <a:ext cx="2051050" cy="431800"/>
                            </a:xfrm>
                            <a:prstGeom prst="roundRect">
                              <a:avLst/>
                            </a:prstGeom>
                            <a:gradFill rotWithShape="1">
                              <a:gsLst>
                                <a:gs pos="0">
                                  <a:srgbClr val="F5C040">
                                    <a:shade val="51000"/>
                                    <a:satMod val="130000"/>
                                  </a:srgbClr>
                                </a:gs>
                                <a:gs pos="80000">
                                  <a:srgbClr val="F5C040">
                                    <a:shade val="93000"/>
                                    <a:satMod val="130000"/>
                                  </a:srgbClr>
                                </a:gs>
                                <a:gs pos="100000">
                                  <a:srgbClr val="F5C040">
                                    <a:shade val="94000"/>
                                    <a:satMod val="135000"/>
                                  </a:srgbClr>
                                </a:gs>
                              </a:gsLst>
                              <a:lin ang="16200000" scaled="0"/>
                            </a:gradFill>
                            <a:ln w="9525" cap="flat" cmpd="sng" algn="ctr">
                              <a:solidFill>
                                <a:srgbClr val="F5C040">
                                  <a:shade val="95000"/>
                                  <a:satMod val="105000"/>
                                </a:srgbClr>
                              </a:solidFill>
                              <a:prstDash val="solid"/>
                            </a:ln>
                            <a:effectLst>
                              <a:outerShdw blurRad="40000" dist="23000" dir="5400000" rotWithShape="0">
                                <a:srgbClr val="000000">
                                  <a:alpha val="35000"/>
                                </a:srgbClr>
                              </a:outerShdw>
                            </a:effectLst>
                          </wps:spPr>
                          <wps:txbx>
                            <w:txbxContent>
                              <w:p w:rsidR="002441D5" w:rsidRDefault="002441D5" w:rsidP="00ED6132">
                                <w:pPr>
                                  <w:jc w:val="center"/>
                                </w:pPr>
                                <w:r>
                                  <w:t>SKUTECZNOŚĆ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Prostokąt zaokrąglony 77"/>
                          <wps:cNvSpPr/>
                          <wps:spPr>
                            <a:xfrm>
                              <a:off x="0" y="1543050"/>
                              <a:ext cx="2051050" cy="431800"/>
                            </a:xfrm>
                            <a:prstGeom prst="roundRect">
                              <a:avLst/>
                            </a:prstGeom>
                            <a:gradFill rotWithShape="1">
                              <a:gsLst>
                                <a:gs pos="0">
                                  <a:srgbClr val="F5C040">
                                    <a:shade val="51000"/>
                                    <a:satMod val="130000"/>
                                  </a:srgbClr>
                                </a:gs>
                                <a:gs pos="80000">
                                  <a:srgbClr val="F5C040">
                                    <a:shade val="93000"/>
                                    <a:satMod val="130000"/>
                                  </a:srgbClr>
                                </a:gs>
                                <a:gs pos="100000">
                                  <a:srgbClr val="F5C040">
                                    <a:shade val="94000"/>
                                    <a:satMod val="135000"/>
                                  </a:srgbClr>
                                </a:gs>
                              </a:gsLst>
                              <a:lin ang="16200000" scaled="0"/>
                            </a:gradFill>
                            <a:ln w="9525" cap="flat" cmpd="sng" algn="ctr">
                              <a:solidFill>
                                <a:srgbClr val="F5C040">
                                  <a:shade val="95000"/>
                                  <a:satMod val="105000"/>
                                </a:srgbClr>
                              </a:solidFill>
                              <a:prstDash val="solid"/>
                            </a:ln>
                            <a:effectLst>
                              <a:outerShdw blurRad="40000" dist="23000" dir="5400000" rotWithShape="0">
                                <a:srgbClr val="000000">
                                  <a:alpha val="35000"/>
                                </a:srgbClr>
                              </a:outerShdw>
                            </a:effectLst>
                          </wps:spPr>
                          <wps:txbx>
                            <w:txbxContent>
                              <w:p w:rsidR="002441D5" w:rsidRDefault="002441D5" w:rsidP="00ED6132">
                                <w:pPr>
                                  <w:jc w:val="center"/>
                                </w:pPr>
                                <w:r>
                                  <w:t>UŻYTECZNOŚĆ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Prostokąt zaokrąglony 78"/>
                          <wps:cNvSpPr/>
                          <wps:spPr>
                            <a:xfrm>
                              <a:off x="0" y="2051050"/>
                              <a:ext cx="2051050" cy="431800"/>
                            </a:xfrm>
                            <a:prstGeom prst="roundRect">
                              <a:avLst/>
                            </a:prstGeom>
                            <a:gradFill rotWithShape="1">
                              <a:gsLst>
                                <a:gs pos="0">
                                  <a:srgbClr val="F5C040">
                                    <a:shade val="51000"/>
                                    <a:satMod val="130000"/>
                                  </a:srgbClr>
                                </a:gs>
                                <a:gs pos="80000">
                                  <a:srgbClr val="F5C040">
                                    <a:shade val="93000"/>
                                    <a:satMod val="130000"/>
                                  </a:srgbClr>
                                </a:gs>
                                <a:gs pos="100000">
                                  <a:srgbClr val="F5C040">
                                    <a:shade val="94000"/>
                                    <a:satMod val="135000"/>
                                  </a:srgbClr>
                                </a:gs>
                              </a:gsLst>
                              <a:lin ang="16200000" scaled="0"/>
                            </a:gradFill>
                            <a:ln w="9525" cap="flat" cmpd="sng" algn="ctr">
                              <a:solidFill>
                                <a:srgbClr val="F5C040">
                                  <a:shade val="95000"/>
                                  <a:satMod val="105000"/>
                                </a:srgbClr>
                              </a:solidFill>
                              <a:prstDash val="solid"/>
                            </a:ln>
                            <a:effectLst>
                              <a:outerShdw blurRad="40000" dist="23000" dir="5400000" rotWithShape="0">
                                <a:srgbClr val="000000">
                                  <a:alpha val="35000"/>
                                </a:srgbClr>
                              </a:outerShdw>
                            </a:effectLst>
                          </wps:spPr>
                          <wps:txbx>
                            <w:txbxContent>
                              <w:p w:rsidR="002441D5" w:rsidRDefault="002441D5" w:rsidP="00ED6132">
                                <w:pPr>
                                  <w:jc w:val="center"/>
                                </w:pPr>
                                <w:r>
                                  <w:t>TRWAŁOŚĆ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Prostokąt zaokrąglony 79"/>
                          <wps:cNvSpPr/>
                          <wps:spPr>
                            <a:xfrm>
                              <a:off x="2355850" y="0"/>
                              <a:ext cx="469900" cy="2032000"/>
                            </a:xfrm>
                            <a:prstGeom prst="roundRect">
                              <a:avLst/>
                            </a:prstGeom>
                            <a:solidFill>
                              <a:srgbClr val="31B6FD"/>
                            </a:solidFill>
                            <a:ln w="25400" cap="flat" cmpd="sng" algn="ctr">
                              <a:solidFill>
                                <a:srgbClr val="31B6FD">
                                  <a:shade val="50000"/>
                                </a:srgbClr>
                              </a:solidFill>
                              <a:prstDash val="solid"/>
                            </a:ln>
                            <a:effectLst/>
                          </wps:spPr>
                          <wps:txbx>
                            <w:txbxContent>
                              <w:p w:rsidR="002441D5" w:rsidRPr="008151EE" w:rsidRDefault="002441D5" w:rsidP="00ED6132">
                                <w:pPr>
                                  <w:jc w:val="right"/>
                                  <w:rPr>
                                    <w:sz w:val="20"/>
                                    <w:szCs w:val="20"/>
                                  </w:rPr>
                                </w:pPr>
                                <w:r w:rsidRPr="008151EE">
                                  <w:rPr>
                                    <w:sz w:val="20"/>
                                    <w:szCs w:val="20"/>
                                  </w:rPr>
                                  <w:t>EWALUACJA EX-ANTE</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0" name="Prostokąt zaokrąglony 80"/>
                          <wps:cNvSpPr/>
                          <wps:spPr>
                            <a:xfrm>
                              <a:off x="3028950" y="0"/>
                              <a:ext cx="469900" cy="2032000"/>
                            </a:xfrm>
                            <a:prstGeom prst="roundRect">
                              <a:avLst/>
                            </a:prstGeom>
                            <a:solidFill>
                              <a:srgbClr val="31B6FD"/>
                            </a:solidFill>
                            <a:ln w="25400" cap="flat" cmpd="sng" algn="ctr">
                              <a:solidFill>
                                <a:srgbClr val="31B6FD">
                                  <a:shade val="50000"/>
                                </a:srgbClr>
                              </a:solidFill>
                              <a:prstDash val="solid"/>
                            </a:ln>
                            <a:effectLst/>
                          </wps:spPr>
                          <wps:txbx>
                            <w:txbxContent>
                              <w:p w:rsidR="002441D5" w:rsidRDefault="002441D5" w:rsidP="00ED6132">
                                <w:pPr>
                                  <w:jc w:val="right"/>
                                </w:pPr>
                                <w:r>
                                  <w:t>EWALUACJA MID-TERM</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81" name="Prostokąt zaokrąglony 81"/>
                          <wps:cNvSpPr/>
                          <wps:spPr>
                            <a:xfrm>
                              <a:off x="3663950" y="0"/>
                              <a:ext cx="469900" cy="2552700"/>
                            </a:xfrm>
                            <a:prstGeom prst="roundRect">
                              <a:avLst/>
                            </a:prstGeom>
                            <a:solidFill>
                              <a:srgbClr val="31B6FD"/>
                            </a:solidFill>
                            <a:ln w="25400" cap="flat" cmpd="sng" algn="ctr">
                              <a:solidFill>
                                <a:srgbClr val="31B6FD">
                                  <a:shade val="50000"/>
                                </a:srgbClr>
                              </a:solidFill>
                              <a:prstDash val="solid"/>
                            </a:ln>
                            <a:effectLst/>
                          </wps:spPr>
                          <wps:txbx>
                            <w:txbxContent>
                              <w:p w:rsidR="002441D5" w:rsidRDefault="002441D5" w:rsidP="00ED6132">
                                <w:pPr>
                                  <w:jc w:val="right"/>
                                </w:pPr>
                                <w:r>
                                  <w:t>EWALUACJA EX-POST</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g:grpSp>
                      <wps:wsp>
                        <wps:cNvPr id="82" name="Pole tekstowe 82"/>
                        <wps:cNvSpPr txBox="1"/>
                        <wps:spPr>
                          <a:xfrm>
                            <a:off x="0" y="0"/>
                            <a:ext cx="4648200" cy="304800"/>
                          </a:xfrm>
                          <a:prstGeom prst="rect">
                            <a:avLst/>
                          </a:prstGeom>
                          <a:solidFill>
                            <a:prstClr val="white"/>
                          </a:solidFill>
                          <a:ln>
                            <a:noFill/>
                          </a:ln>
                          <a:effectLst/>
                        </wps:spPr>
                        <wps:txbx>
                          <w:txbxContent>
                            <w:p w:rsidR="002441D5" w:rsidRPr="00CA7B89" w:rsidRDefault="002441D5" w:rsidP="00ED6132">
                              <w:pPr>
                                <w:pStyle w:val="Legenda"/>
                                <w:spacing w:after="0"/>
                                <w:rPr>
                                  <w:noProof/>
                                </w:rPr>
                              </w:pPr>
                              <w:bookmarkStart w:id="89" w:name="_Toc138068522"/>
                              <w:r>
                                <w:t xml:space="preserve">Ryc. </w:t>
                              </w:r>
                              <w:r w:rsidR="00E20FF4">
                                <w:fldChar w:fldCharType="begin"/>
                              </w:r>
                              <w:r w:rsidR="00E20FF4">
                                <w:instrText xml:space="preserve"> SEQ Ryc. \* ARABIC </w:instrText>
                              </w:r>
                              <w:r w:rsidR="00E20FF4">
                                <w:fldChar w:fldCharType="separate"/>
                              </w:r>
                              <w:r w:rsidR="0022657A">
                                <w:rPr>
                                  <w:noProof/>
                                </w:rPr>
                                <w:t>26</w:t>
                              </w:r>
                              <w:r w:rsidR="00E20FF4">
                                <w:rPr>
                                  <w:noProof/>
                                </w:rPr>
                                <w:fldChar w:fldCharType="end"/>
                              </w:r>
                              <w:r>
                                <w:t xml:space="preserve"> Rodzaje kryteriów ewaluacyjnych w odniesieniu do rodzaju ewaluacji</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upa 72" o:spid="_x0000_s1051" style="position:absolute;left:0;text-align:left;margin-left:49.15pt;margin-top:90.15pt;width:366pt;height:230.5pt;z-index:251768832" coordsize="46482,29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">
                <v:group id="Grupa 73" o:spid="_x0000_s1052" style="position:absolute;top:3746;width:41338;height:25527" coordsize="41338,25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roundrect id="Prostokąt zaokrąglony 74" o:spid="_x0000_s1053" style="position:absolute;width:20510;height:43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D0xsMA&#10;AADbAAAADwAAAGRycy9kb3ducmV2LnhtbESPT4vCMBTE74LfITxhb5oqUqUaRXbdZU+KfxCPj+bZ&#10;FpOX0mS1++2NIHgcZuY3zHzZWiNu1PjKsYLhIAFBnDtdcaHgePjuT0H4gKzROCYF/+Rhueh25php&#10;d+cd3fahEBHCPkMFZQh1JqXPS7LoB64mjt7FNRZDlE0hdYP3CLdGjpIklRYrjgsl1vRZUn7d/1kF&#10;yfTnK12bzdjwobqk2+vpPNQnpT567WoGIlAb3uFX+1crmIzh+SX+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3D0xsMAAADbAAAADwAAAAAAAAAAAAAAAACYAgAAZHJzL2Rv&#10;d25yZXYueG1sUEsFBgAAAAAEAAQA9QAAAIgDAAAAAA==&#10;" fillcolor="#ca9618" strokecolor="#f4bd3a">
                    <v:fill color2="#ffc81f" rotate="t" angle="180" colors="0 #ca9618;52429f #ffc523;1 #ffc81f" focus="100%" type="gradient">
                      <o:fill v:ext="view" type="gradientUnscaled"/>
                    </v:fill>
                    <v:shadow on="t" color="black" opacity="22937f" origin=",.5" offset="0,.63889mm"/>
                    <v:textbox>
                      <w:txbxContent>
                        <w:p w:rsidR="002441D5" w:rsidRDefault="002441D5" w:rsidP="00ED6132">
                          <w:pPr>
                            <w:jc w:val="center"/>
                          </w:pPr>
                          <w:r>
                            <w:t>TRAFNOŚĆ</w:t>
                          </w:r>
                        </w:p>
                      </w:txbxContent>
                    </v:textbox>
                  </v:roundrect>
                  <v:roundrect id="Prostokąt zaokrąglony 75" o:spid="_x0000_s1054" style="position:absolute;top:5207;width:20510;height:43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xRXcQA&#10;AADbAAAADwAAAGRycy9kb3ducmV2LnhtbESPQWvCQBSE70L/w/IKvZmNUlOJrlJqWzwpahGPj+wz&#10;Ce6+Ddmtxn/vCoLHYWa+YabzzhpxptbXjhUMkhQEceF0zaWCv91PfwzCB2SNxjEpuJKH+eylN8Vc&#10;uwtv6LwNpYgQ9jkqqEJocil9UZFFn7iGOHpH11oMUbal1C1eItwaOUzTTFqsOS5U2NBXRcVp+28V&#10;pOPfRfZtVu+Gd/UxW5/2h4HeK/X22n1OQATqwjP8aC+1go8R3L/EHy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8UV3EAAAA2wAAAA8AAAAAAAAAAAAAAAAAmAIAAGRycy9k&#10;b3ducmV2LnhtbFBLBQYAAAAABAAEAPUAAACJAwAAAAA=&#10;" fillcolor="#ca9618" strokecolor="#f4bd3a">
                    <v:fill color2="#ffc81f" rotate="t" angle="180" colors="0 #ca9618;52429f #ffc523;1 #ffc81f" focus="100%" type="gradient">
                      <o:fill v:ext="view" type="gradientUnscaled"/>
                    </v:fill>
                    <v:shadow on="t" color="black" opacity="22937f" origin=",.5" offset="0,.63889mm"/>
                    <v:textbox>
                      <w:txbxContent>
                        <w:p w:rsidR="002441D5" w:rsidRDefault="002441D5" w:rsidP="00ED6132">
                          <w:pPr>
                            <w:jc w:val="center"/>
                          </w:pPr>
                          <w:r>
                            <w:t>EFEKTYWNOŚĆ</w:t>
                          </w:r>
                        </w:p>
                      </w:txbxContent>
                    </v:textbox>
                  </v:roundrect>
                  <v:roundrect id="Prostokąt zaokrąglony 76" o:spid="_x0000_s1055" style="position:absolute;top:10287;width:20510;height:43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KsIA&#10;AADbAAAADwAAAGRycy9kb3ducmV2LnhtbESPQYvCMBSE78L+h/AEb5oqS5WuUWR1xZOyusgeH82z&#10;LSYvpYla/70RBI/DzHzDTOetNeJKja8cKxgOEhDEudMVFwr+Dj/9CQgfkDUax6TgTh7ms4/OFDPt&#10;bvxL130oRISwz1BBGUKdSenzkiz6gauJo3dyjcUQZVNI3eAtwq2RoyRJpcWK40KJNX2XlJ/3F6sg&#10;mayX6cpsPw0fqlO6Ox//h/qoVK/bLr5ABGrDO/xqb7SCcQrPL/E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7s8qwgAAANsAAAAPAAAAAAAAAAAAAAAAAJgCAABkcnMvZG93&#10;bnJldi54bWxQSwUGAAAAAAQABAD1AAAAhwMAAAAA&#10;" fillcolor="#ca9618" strokecolor="#f4bd3a">
                    <v:fill color2="#ffc81f" rotate="t" angle="180" colors="0 #ca9618;52429f #ffc523;1 #ffc81f" focus="100%" type="gradient">
                      <o:fill v:ext="view" type="gradientUnscaled"/>
                    </v:fill>
                    <v:shadow on="t" color="black" opacity="22937f" origin=",.5" offset="0,.63889mm"/>
                    <v:textbox>
                      <w:txbxContent>
                        <w:p w:rsidR="002441D5" w:rsidRDefault="002441D5" w:rsidP="00ED6132">
                          <w:pPr>
                            <w:jc w:val="center"/>
                          </w:pPr>
                          <w:r>
                            <w:t>SKUTECZNOŚĆ</w:t>
                          </w:r>
                        </w:p>
                      </w:txbxContent>
                    </v:textbox>
                  </v:roundrect>
                  <v:roundrect id="Prostokąt zaokrąglony 77" o:spid="_x0000_s1056" style="position:absolute;top:15430;width:20510;height:43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JqscQA&#10;AADbAAAADwAAAGRycy9kb3ducmV2LnhtbESPQWvCQBSE70L/w/IKvenGUqJEN0G0lp4s1SI9PrLP&#10;JLj7NmTXJP33XaHQ4zAz3zDrYrRG9NT5xrGC+SwBQVw63XCl4Ou0ny5B+ICs0TgmBT/kocgfJmvM&#10;tBv4k/pjqESEsM9QQR1Cm0npy5os+plriaN3cZ3FEGVXSd3hEOHWyOckSaXFhuNCjS1tayqvx5tV&#10;kCzfdumrObwYPjWX9ON6/p7rs1JPj+NmBSLQGP7Df+13rWCxgPuX+AN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eiarHEAAAA2wAAAA8AAAAAAAAAAAAAAAAAmAIAAGRycy9k&#10;b3ducmV2LnhtbFBLBQYAAAAABAAEAPUAAACJAwAAAAA=&#10;" fillcolor="#ca9618" strokecolor="#f4bd3a">
                    <v:fill color2="#ffc81f" rotate="t" angle="180" colors="0 #ca9618;52429f #ffc523;1 #ffc81f" focus="100%" type="gradient">
                      <o:fill v:ext="view" type="gradientUnscaled"/>
                    </v:fill>
                    <v:shadow on="t" color="black" opacity="22937f" origin=",.5" offset="0,.63889mm"/>
                    <v:textbox>
                      <w:txbxContent>
                        <w:p w:rsidR="002441D5" w:rsidRDefault="002441D5" w:rsidP="00ED6132">
                          <w:pPr>
                            <w:jc w:val="center"/>
                          </w:pPr>
                          <w:r>
                            <w:t>UŻYTECZNOŚĆ</w:t>
                          </w:r>
                        </w:p>
                      </w:txbxContent>
                    </v:textbox>
                  </v:roundrect>
                  <v:roundrect id="Prostokąt zaokrąglony 78" o:spid="_x0000_s1057" style="position:absolute;top:20510;width:20510;height:43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3+w8IA&#10;AADbAAAADwAAAGRycy9kb3ducmV2LnhtbERPz2vCMBS+C/4P4Q1207RDaumMMtwcO01sRXZ8NM+2&#10;NHkpTabdf78cBjt+fL83u8kacaPRd44VpMsEBHHtdMeNgnN1WOQgfEDWaByTgh/ysNvOZxsstLvz&#10;iW5laEQMYV+ggjaEoZDS1y1Z9Es3EEfu6kaLIcKxkXrEewy3Rj4lSSYtdhwbWhxo31Ldl99WQZK/&#10;v2Zv5nNluOqu2bG/fKX6otTjw/TyDCLQFP7Ff+4PrWAdx8Yv8Q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Pf7DwgAAANsAAAAPAAAAAAAAAAAAAAAAAJgCAABkcnMvZG93&#10;bnJldi54bWxQSwUGAAAAAAQABAD1AAAAhwMAAAAA&#10;" fillcolor="#ca9618" strokecolor="#f4bd3a">
                    <v:fill color2="#ffc81f" rotate="t" angle="180" colors="0 #ca9618;52429f #ffc523;1 #ffc81f" focus="100%" type="gradient">
                      <o:fill v:ext="view" type="gradientUnscaled"/>
                    </v:fill>
                    <v:shadow on="t" color="black" opacity="22937f" origin=",.5" offset="0,.63889mm"/>
                    <v:textbox>
                      <w:txbxContent>
                        <w:p w:rsidR="002441D5" w:rsidRDefault="002441D5" w:rsidP="00ED6132">
                          <w:pPr>
                            <w:jc w:val="center"/>
                          </w:pPr>
                          <w:r>
                            <w:t>TRWAŁOŚĆ</w:t>
                          </w:r>
                        </w:p>
                      </w:txbxContent>
                    </v:textbox>
                  </v:roundrect>
                  <v:roundrect id="Prostokąt zaokrąglony 79" o:spid="_x0000_s1058" style="position:absolute;left:23558;width:4699;height:203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Q3EMQA&#10;AADbAAAADwAAAGRycy9kb3ducmV2LnhtbESPzWrDMBCE74G8g9hCb4ncFvLjRAlJodBDeoid5LxY&#10;W9tUWjmSGrtvXxUKOQ4z8w2z3g7WiBv50DpW8DTNQBBXTrdcKziVb5MFiBCRNRrHpOCHAmw349Ea&#10;c+16PtKtiLVIEA45Kmhi7HIpQ9WQxTB1HXHyPp23GJP0tdQe+wS3Rj5n2UxabDktNNjRa0PVV/Ft&#10;FXyUBZe15PP15bC4DH1h9saflXp8GHYrEJGGeA//t9+1gvkS/r6kH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UNxDEAAAA2wAAAA8AAAAAAAAAAAAAAAAAmAIAAGRycy9k&#10;b3ducmV2LnhtbFBLBQYAAAAABAAEAPUAAACJAwAAAAA=&#10;" fillcolor="#31b6fd" strokecolor="#2185ba" strokeweight="2pt">
                    <v:textbox style="layout-flow:vertical;mso-layout-flow-alt:bottom-to-top">
                      <w:txbxContent>
                        <w:p w:rsidR="002441D5" w:rsidRPr="008151EE" w:rsidRDefault="002441D5" w:rsidP="00ED6132">
                          <w:pPr>
                            <w:jc w:val="right"/>
                            <w:rPr>
                              <w:sz w:val="20"/>
                              <w:szCs w:val="20"/>
                            </w:rPr>
                          </w:pPr>
                          <w:r w:rsidRPr="008151EE">
                            <w:rPr>
                              <w:sz w:val="20"/>
                              <w:szCs w:val="20"/>
                            </w:rPr>
                            <w:t>EWALUACJA EX-ANTE</w:t>
                          </w:r>
                        </w:p>
                      </w:txbxContent>
                    </v:textbox>
                  </v:roundrect>
                  <v:roundrect id="Prostokąt zaokrąglony 80" o:spid="_x0000_s1059" style="position:absolute;left:30289;width:4699;height:2032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vuqsAA&#10;AADbAAAADwAAAGRycy9kb3ducmV2LnhtbERPPWvDMBDdA/0P4grdErkpFONEMWkh0KEZajedD+ti&#10;m0gnV1Jt999HQyDj431vy9kaMZIPvWMFz6sMBHHjdM+tgu/6sMxBhIis0TgmBf8UoNw9LLZYaDfx&#10;F41VbEUK4VCggi7GoZAyNB1ZDCs3ECfu7LzFmKBvpfY4pXBr5DrLXqXFnlNDhwO9d9Rcqj+r4FhX&#10;XLeST78vn/nPPFXmzfiTUk+P834DItIc7+Kb+0MryNP69CX9ALm7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jvuqsAAAADbAAAADwAAAAAAAAAAAAAAAACYAgAAZHJzL2Rvd25y&#10;ZXYueG1sUEsFBgAAAAAEAAQA9QAAAIUDAAAAAA==&#10;" fillcolor="#31b6fd" strokecolor="#2185ba" strokeweight="2pt">
                    <v:textbox style="layout-flow:vertical;mso-layout-flow-alt:bottom-to-top">
                      <w:txbxContent>
                        <w:p w:rsidR="002441D5" w:rsidRDefault="002441D5" w:rsidP="00ED6132">
                          <w:pPr>
                            <w:jc w:val="right"/>
                          </w:pPr>
                          <w:r>
                            <w:t>EWALUACJA MID-TERM</w:t>
                          </w:r>
                        </w:p>
                      </w:txbxContent>
                    </v:textbox>
                  </v:roundrect>
                  <v:roundrect id="Prostokąt zaokrąglony 81" o:spid="_x0000_s1060" style="position:absolute;left:36639;width:4699;height:255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LMcMA&#10;AADbAAAADwAAAGRycy9kb3ducmV2LnhtbESPQWvCQBSE7wX/w/IEb3VjhRKiq6ggeLCHJrXnR/aZ&#10;BHffxt2tSf99t1DocZiZb5j1drRGPMiHzrGCxTwDQVw73XGj4KM6PucgQkTWaByTgm8KsN1MntZY&#10;aDfwOz3K2IgE4VCggjbGvpAy1C1ZDHPXEyfv6rzFmKRvpPY4JLg18iXLXqXFjtNCiz0dWqpv5ZdV&#10;8FaVXDWSL/flOf8ch9Lsjb8oNZuOuxWISGP8D/+1T1pBvoDfL+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LMcMAAADbAAAADwAAAAAAAAAAAAAAAACYAgAAZHJzL2Rv&#10;d25yZXYueG1sUEsFBgAAAAAEAAQA9QAAAIgDAAAAAA==&#10;" fillcolor="#31b6fd" strokecolor="#2185ba" strokeweight="2pt">
                    <v:textbox style="layout-flow:vertical;mso-layout-flow-alt:bottom-to-top">
                      <w:txbxContent>
                        <w:p w:rsidR="002441D5" w:rsidRDefault="002441D5" w:rsidP="00ED6132">
                          <w:pPr>
                            <w:jc w:val="right"/>
                          </w:pPr>
                          <w:r>
                            <w:t>EWALUACJA EX-POST</w:t>
                          </w:r>
                        </w:p>
                      </w:txbxContent>
                    </v:textbox>
                  </v:roundrect>
                </v:group>
                <v:shape id="Pole tekstowe 82" o:spid="_x0000_s1061" type="#_x0000_t202" style="position:absolute;width:46482;height:3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Z6NcMA&#10;AADbAAAADwAAAGRycy9kb3ducmV2LnhtbESPT4vCMBTE78J+h/AW9iJruj2IVKO4/oE96MEqnh/N&#10;27bYvJQk2vrtjSB4HGbmN8xs0ZtG3Mj52rKCn1ECgriwuuZSwem4/Z6A8AFZY2OZFNzJw2L+MZhh&#10;pm3HB7rloRQRwj5DBVUIbSalLyoy6Ee2JY7ev3UGQ5SulNphF+GmkWmSjKXBmuNChS2tKiou+dUo&#10;GK/dtTvwarg+bXa4b8v0/Hs/K/X12S+nIAL14R1+tf+0gkkKzy/x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rZ6NcMAAADbAAAADwAAAAAAAAAAAAAAAACYAgAAZHJzL2Rv&#10;d25yZXYueG1sUEsFBgAAAAAEAAQA9QAAAIgDAAAAAA==&#10;" stroked="f">
                  <v:textbox inset="0,0,0,0">
                    <w:txbxContent>
                      <w:p w:rsidR="002441D5" w:rsidRPr="00CA7B89" w:rsidRDefault="002441D5" w:rsidP="00ED6132">
                        <w:pPr>
                          <w:pStyle w:val="Legenda"/>
                          <w:spacing w:after="0"/>
                          <w:rPr>
                            <w:noProof/>
                          </w:rPr>
                        </w:pPr>
                        <w:bookmarkStart w:id="90" w:name="_Toc138068522"/>
                        <w:r>
                          <w:t xml:space="preserve">Ryc. </w:t>
                        </w:r>
                        <w:r w:rsidR="00E20FF4">
                          <w:fldChar w:fldCharType="begin"/>
                        </w:r>
                        <w:r w:rsidR="00E20FF4">
                          <w:instrText xml:space="preserve"> SEQ Ryc. \* ARABIC </w:instrText>
                        </w:r>
                        <w:r w:rsidR="00E20FF4">
                          <w:fldChar w:fldCharType="separate"/>
                        </w:r>
                        <w:r w:rsidR="0022657A">
                          <w:rPr>
                            <w:noProof/>
                          </w:rPr>
                          <w:t>26</w:t>
                        </w:r>
                        <w:r w:rsidR="00E20FF4">
                          <w:rPr>
                            <w:noProof/>
                          </w:rPr>
                          <w:fldChar w:fldCharType="end"/>
                        </w:r>
                        <w:r>
                          <w:t xml:space="preserve"> Rodzaje kryteriów ewaluacyjnych w odniesieniu do rodzaju ewaluacji</w:t>
                        </w:r>
                        <w:bookmarkEnd w:id="90"/>
                      </w:p>
                    </w:txbxContent>
                  </v:textbox>
                </v:shape>
                <w10:wrap type="square"/>
              </v:group>
            </w:pict>
          </mc:Fallback>
        </mc:AlternateContent>
      </w:r>
      <w:r w:rsidR="00ED6132" w:rsidRPr="00ED6132">
        <w:rPr>
          <w:rFonts w:ascii="Calibri" w:eastAsia="Calibri" w:hAnsi="Calibri" w:cs="Times New Roman"/>
        </w:rPr>
        <w:t>Najczęściej stosowanymi kryteriami w procesie ewaluacji są: skuteczność, efektywność, użyteczność, trwałość i trafność. Zastosowanie różnych kryteriów może prowadzić do skrajnie różnych ocen. Przykładowo: projekt może być uznany za skuteczny, ponieważ osiągnął zakładane cele, ale jest nieefektywny, ponieważ zaangażowane zostały nadmierne zasoby, lub nieużyteczny, bo nie zaspokaja potrzeb beneficjentów. Poniżej przedstawiono opis kryteriów ewaluacyjnych:</w:t>
      </w:r>
    </w:p>
    <w:p w:rsidR="00ED6132" w:rsidRPr="00ED6132" w:rsidRDefault="00ED6132" w:rsidP="00A13FA7">
      <w:pPr>
        <w:numPr>
          <w:ilvl w:val="0"/>
          <w:numId w:val="60"/>
        </w:numPr>
        <w:spacing w:before="0" w:after="0"/>
        <w:ind w:left="851"/>
        <w:contextualSpacing/>
        <w:rPr>
          <w:rFonts w:ascii="Calibri" w:eastAsia="Calibri" w:hAnsi="Calibri" w:cs="Times New Roman"/>
        </w:rPr>
      </w:pPr>
      <w:proofErr w:type="gramStart"/>
      <w:r w:rsidRPr="00ED6132">
        <w:rPr>
          <w:rFonts w:ascii="Calibri" w:eastAsia="Calibri" w:hAnsi="Calibri" w:cs="Times New Roman"/>
        </w:rPr>
        <w:t>skuteczność</w:t>
      </w:r>
      <w:proofErr w:type="gramEnd"/>
      <w:r w:rsidRPr="00ED6132">
        <w:rPr>
          <w:rFonts w:ascii="Calibri" w:eastAsia="Calibri" w:hAnsi="Calibri" w:cs="Times New Roman"/>
        </w:rPr>
        <w:t xml:space="preserve"> – ocenia stopień realizacji zakładanych celów w (czy osiągnięto to, co zaplanowano), skuteczność użytych metod, instytucji oraz wpływ czynników zewnętrznych na ostateczne efekty.</w:t>
      </w:r>
    </w:p>
    <w:p w:rsidR="00ED6132" w:rsidRPr="00ED6132" w:rsidRDefault="00ED6132" w:rsidP="00A13FA7">
      <w:pPr>
        <w:numPr>
          <w:ilvl w:val="0"/>
          <w:numId w:val="60"/>
        </w:numPr>
        <w:spacing w:before="0" w:after="0"/>
        <w:ind w:left="851"/>
        <w:contextualSpacing/>
        <w:rPr>
          <w:rFonts w:ascii="Calibri" w:eastAsia="Calibri" w:hAnsi="Calibri" w:cs="Times New Roman"/>
        </w:rPr>
      </w:pPr>
      <w:proofErr w:type="gramStart"/>
      <w:r w:rsidRPr="00ED6132">
        <w:rPr>
          <w:rFonts w:ascii="Calibri" w:eastAsia="Calibri" w:hAnsi="Calibri" w:cs="Times New Roman"/>
        </w:rPr>
        <w:t>efektywność</w:t>
      </w:r>
      <w:proofErr w:type="gramEnd"/>
      <w:r w:rsidRPr="00ED6132">
        <w:rPr>
          <w:rFonts w:ascii="Calibri" w:eastAsia="Calibri" w:hAnsi="Calibri" w:cs="Times New Roman"/>
        </w:rPr>
        <w:t xml:space="preserve"> - ocenia relację między nakładami, kosztami, zasobami (finansowymi, ludzkimi, administracyjnymi) a osiągniętymi efektami interwencji.</w:t>
      </w:r>
    </w:p>
    <w:p w:rsidR="00ED6132" w:rsidRPr="00ED6132" w:rsidRDefault="00ED6132" w:rsidP="00A13FA7">
      <w:pPr>
        <w:numPr>
          <w:ilvl w:val="0"/>
          <w:numId w:val="60"/>
        </w:numPr>
        <w:spacing w:before="0" w:after="0"/>
        <w:ind w:left="851"/>
        <w:contextualSpacing/>
        <w:rPr>
          <w:rFonts w:ascii="Calibri" w:eastAsia="Calibri" w:hAnsi="Calibri" w:cs="Times New Roman"/>
        </w:rPr>
      </w:pPr>
      <w:proofErr w:type="gramStart"/>
      <w:r w:rsidRPr="00ED6132">
        <w:rPr>
          <w:rFonts w:ascii="Calibri" w:eastAsia="Calibri" w:hAnsi="Calibri" w:cs="Times New Roman"/>
        </w:rPr>
        <w:t>użyteczność</w:t>
      </w:r>
      <w:proofErr w:type="gramEnd"/>
      <w:r w:rsidRPr="00ED6132">
        <w:rPr>
          <w:rFonts w:ascii="Calibri" w:eastAsia="Calibri" w:hAnsi="Calibri" w:cs="Times New Roman"/>
        </w:rPr>
        <w:t xml:space="preserve"> - ocenia całość rzeczywistych efektów wywołanych przez interwencję (zarówno tych planowanych, jak i nieplanowanych, tzw. ubocznych), odnosząc je do wyzwań społeczno-ekonomicznych (często już zmienionych w czasie). W odróżnieniu od kryterium trafności, ocena użyteczności jest prowadzona po zamknięciu interwencji lub w jej końcowej fazie wdrażania.</w:t>
      </w:r>
    </w:p>
    <w:p w:rsidR="00ED6132" w:rsidRPr="00ED6132" w:rsidRDefault="00ED6132" w:rsidP="00A13FA7">
      <w:pPr>
        <w:numPr>
          <w:ilvl w:val="0"/>
          <w:numId w:val="60"/>
        </w:numPr>
        <w:spacing w:before="0" w:after="0"/>
        <w:ind w:left="851"/>
        <w:contextualSpacing/>
        <w:rPr>
          <w:rFonts w:ascii="Calibri" w:eastAsia="Calibri" w:hAnsi="Calibri" w:cs="Times New Roman"/>
        </w:rPr>
      </w:pPr>
      <w:proofErr w:type="gramStart"/>
      <w:r w:rsidRPr="00ED6132">
        <w:rPr>
          <w:rFonts w:ascii="Calibri" w:eastAsia="Calibri" w:hAnsi="Calibri" w:cs="Times New Roman"/>
        </w:rPr>
        <w:t>trwałość</w:t>
      </w:r>
      <w:proofErr w:type="gramEnd"/>
      <w:r w:rsidRPr="00ED6132">
        <w:rPr>
          <w:rFonts w:ascii="Calibri" w:eastAsia="Calibri" w:hAnsi="Calibri" w:cs="Times New Roman"/>
        </w:rPr>
        <w:t xml:space="preserve"> - ocenia ciągłość efektów (przede wszystkim pozytywnych) danej interwencji w perspektywie średnio i długookresowej (a więc po zakończeniu interwencji).</w:t>
      </w:r>
    </w:p>
    <w:p w:rsidR="00ED6132" w:rsidRPr="00ED6132" w:rsidRDefault="00ED6132" w:rsidP="00A13FA7">
      <w:pPr>
        <w:numPr>
          <w:ilvl w:val="0"/>
          <w:numId w:val="60"/>
        </w:numPr>
        <w:spacing w:before="0" w:after="0"/>
        <w:ind w:left="851"/>
        <w:contextualSpacing/>
        <w:rPr>
          <w:rFonts w:ascii="Calibri" w:eastAsia="Calibri" w:hAnsi="Calibri" w:cs="Times New Roman"/>
        </w:rPr>
      </w:pPr>
      <w:proofErr w:type="gramStart"/>
      <w:r w:rsidRPr="00ED6132">
        <w:rPr>
          <w:rFonts w:ascii="Calibri" w:eastAsia="Calibri" w:hAnsi="Calibri" w:cs="Times New Roman"/>
        </w:rPr>
        <w:t>trafność</w:t>
      </w:r>
      <w:proofErr w:type="gramEnd"/>
      <w:r w:rsidRPr="00ED6132">
        <w:rPr>
          <w:rFonts w:ascii="Calibri" w:eastAsia="Calibri" w:hAnsi="Calibri" w:cs="Times New Roman"/>
        </w:rPr>
        <w:t xml:space="preserve"> - ocenia adekwatność planowanych celów interwencji i metod jej wdrażania do problemów i wyzwań społeczno-ekonomicznych, które zostały zidentyfikowane </w:t>
      </w:r>
      <w:r w:rsidRPr="00ED6132">
        <w:rPr>
          <w:rFonts w:ascii="Calibri" w:eastAsia="Calibri" w:hAnsi="Calibri" w:cs="Times New Roman"/>
        </w:rPr>
        <w:lastRenderedPageBreak/>
        <w:t>w diagnozie. Analiza tego kryterium jest prowadzona przed rozpoczęciem i w pierwszych fazach wdrażania interwencji.</w:t>
      </w:r>
    </w:p>
    <w:p w:rsidR="00ED6132" w:rsidRPr="00ED6132" w:rsidRDefault="00ED6132" w:rsidP="00ED6132">
      <w:pPr>
        <w:rPr>
          <w:rFonts w:ascii="Calibri" w:eastAsia="Calibri" w:hAnsi="Calibri" w:cs="Times New Roman"/>
        </w:rPr>
      </w:pPr>
      <w:r w:rsidRPr="00ED6132">
        <w:rPr>
          <w:rFonts w:ascii="Calibri" w:eastAsia="Calibri" w:hAnsi="Calibri" w:cs="Times New Roman"/>
        </w:rPr>
        <w:t>Liczba kryteriów ewaluacyjnych uzależniona jest od rodzaju ewaluacji:</w:t>
      </w:r>
    </w:p>
    <w:p w:rsidR="00ED6132" w:rsidRPr="00ED6132" w:rsidRDefault="00ED6132" w:rsidP="00ED6132">
      <w:pPr>
        <w:spacing w:after="120"/>
        <w:rPr>
          <w:rFonts w:ascii="Calibri" w:eastAsia="Calibri" w:hAnsi="Calibri" w:cs="Times New Roman"/>
        </w:rPr>
      </w:pPr>
      <w:r w:rsidRPr="00ED6132">
        <w:rPr>
          <w:rFonts w:ascii="Calibri" w:eastAsia="Calibri" w:hAnsi="Calibri" w:cs="Calibri"/>
          <w:color w:val="000000"/>
        </w:rPr>
        <w:t>Pomiar (ocena) w procesie ewaluacji dokonywany jest w oparciu o pytania badawcze przypisane do odpowiednich kryteriów ewaluacyjnych. P</w:t>
      </w:r>
      <w:r w:rsidRPr="00ED6132">
        <w:rPr>
          <w:rFonts w:ascii="Calibri" w:eastAsia="Calibri" w:hAnsi="Calibri" w:cs="Times New Roman"/>
        </w:rPr>
        <w:t xml:space="preserve">odstawowe pytania badawcze w odniesieniu do kryteriów i rodzaju ewaluacji prezentują się następująco: </w:t>
      </w:r>
    </w:p>
    <w:p w:rsidR="00ED6132" w:rsidRPr="00ED6132" w:rsidRDefault="00ED6132" w:rsidP="00ED6132">
      <w:pPr>
        <w:keepNext/>
        <w:spacing w:after="0" w:line="240" w:lineRule="auto"/>
        <w:rPr>
          <w:rFonts w:ascii="Calibri" w:eastAsia="Calibri" w:hAnsi="Calibri" w:cs="Times New Roman"/>
          <w:b/>
          <w:bCs/>
          <w:color w:val="00B0F0"/>
          <w:sz w:val="18"/>
          <w:szCs w:val="18"/>
        </w:rPr>
      </w:pPr>
      <w:bookmarkStart w:id="91" w:name="_Toc138068545"/>
      <w:r w:rsidRPr="00ED6132">
        <w:rPr>
          <w:rFonts w:ascii="Calibri" w:eastAsia="Calibri" w:hAnsi="Calibri" w:cs="Times New Roman"/>
          <w:b/>
          <w:bCs/>
          <w:color w:val="00B0F0"/>
          <w:sz w:val="18"/>
          <w:szCs w:val="18"/>
        </w:rPr>
        <w:t xml:space="preserve">Tabela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Tabela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15</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xml:space="preserve"> Zestaw przykładowych pytań badawczych odpowiadających danemu kryterium</w:t>
      </w:r>
      <w:bookmarkEnd w:id="91"/>
    </w:p>
    <w:tbl>
      <w:tblPr>
        <w:tblStyle w:val="Jasnasiatkaakcent211"/>
        <w:tblW w:w="0" w:type="auto"/>
        <w:tblLook w:val="04A0" w:firstRow="1" w:lastRow="0" w:firstColumn="1" w:lastColumn="0" w:noHBand="0" w:noVBand="1"/>
      </w:tblPr>
      <w:tblGrid>
        <w:gridCol w:w="2943"/>
        <w:gridCol w:w="6269"/>
      </w:tblGrid>
      <w:tr w:rsidR="00ED6132" w:rsidRPr="00ED6132" w:rsidTr="00ED61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D6132" w:rsidRPr="00ED6132" w:rsidRDefault="00ED6132" w:rsidP="00ED6132">
            <w:pPr>
              <w:spacing w:after="120"/>
              <w:ind w:firstLine="0"/>
              <w:jc w:val="center"/>
              <w:rPr>
                <w:rFonts w:cs="Calibri"/>
                <w:color w:val="000000"/>
                <w:sz w:val="20"/>
                <w:szCs w:val="20"/>
              </w:rPr>
            </w:pPr>
            <w:r w:rsidRPr="00ED6132">
              <w:rPr>
                <w:rFonts w:cs="Calibri"/>
                <w:color w:val="000000"/>
                <w:sz w:val="20"/>
                <w:szCs w:val="20"/>
              </w:rPr>
              <w:t>Kryterium</w:t>
            </w:r>
          </w:p>
        </w:tc>
        <w:tc>
          <w:tcPr>
            <w:tcW w:w="6269" w:type="dxa"/>
            <w:vAlign w:val="center"/>
          </w:tcPr>
          <w:p w:rsidR="00ED6132" w:rsidRPr="00ED6132" w:rsidRDefault="00ED6132" w:rsidP="00ED6132">
            <w:pPr>
              <w:spacing w:after="120"/>
              <w:ind w:firstLine="0"/>
              <w:jc w:val="left"/>
              <w:cnfStyle w:val="100000000000" w:firstRow="1" w:lastRow="0" w:firstColumn="0" w:lastColumn="0" w:oddVBand="0" w:evenVBand="0" w:oddHBand="0" w:evenHBand="0" w:firstRowFirstColumn="0" w:firstRowLastColumn="0" w:lastRowFirstColumn="0" w:lastRowLastColumn="0"/>
              <w:rPr>
                <w:rFonts w:cs="Calibri"/>
                <w:color w:val="000000"/>
                <w:sz w:val="20"/>
                <w:szCs w:val="20"/>
              </w:rPr>
            </w:pPr>
            <w:r w:rsidRPr="00ED6132">
              <w:rPr>
                <w:rFonts w:cs="Calibri"/>
                <w:color w:val="000000"/>
                <w:sz w:val="20"/>
                <w:szCs w:val="20"/>
              </w:rPr>
              <w:t>Przykładowe pytania</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D6132" w:rsidRPr="00ED6132" w:rsidRDefault="00ED6132" w:rsidP="00ED6132">
            <w:pPr>
              <w:spacing w:after="120"/>
              <w:ind w:firstLine="0"/>
              <w:jc w:val="center"/>
              <w:rPr>
                <w:rFonts w:cs="Calibri"/>
                <w:color w:val="000000"/>
                <w:sz w:val="20"/>
                <w:szCs w:val="20"/>
              </w:rPr>
            </w:pPr>
            <w:r w:rsidRPr="00ED6132">
              <w:rPr>
                <w:rFonts w:cs="Calibri"/>
                <w:color w:val="000000"/>
                <w:sz w:val="20"/>
                <w:szCs w:val="20"/>
              </w:rPr>
              <w:t>Trafność</w:t>
            </w:r>
          </w:p>
        </w:tc>
        <w:tc>
          <w:tcPr>
            <w:tcW w:w="6269" w:type="dxa"/>
            <w:vAlign w:val="center"/>
          </w:tcPr>
          <w:p w:rsidR="00ED6132" w:rsidRPr="00ED6132" w:rsidRDefault="00ED6132" w:rsidP="00ED6132">
            <w:pPr>
              <w:spacing w:after="120"/>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color w:val="000000"/>
                <w:sz w:val="20"/>
                <w:szCs w:val="20"/>
              </w:rPr>
              <w:t>W jakim stopniu realizacja celów Strategii zaspokoi potrzeby jego odbiorców?</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D6132" w:rsidRPr="00ED6132" w:rsidRDefault="00ED6132" w:rsidP="00ED6132">
            <w:pPr>
              <w:spacing w:after="120"/>
              <w:ind w:firstLine="0"/>
              <w:jc w:val="center"/>
              <w:rPr>
                <w:rFonts w:cs="Calibri"/>
                <w:color w:val="000000"/>
                <w:sz w:val="20"/>
                <w:szCs w:val="20"/>
              </w:rPr>
            </w:pPr>
            <w:r w:rsidRPr="00ED6132">
              <w:rPr>
                <w:rFonts w:cs="Calibri"/>
                <w:color w:val="000000"/>
                <w:sz w:val="20"/>
                <w:szCs w:val="20"/>
              </w:rPr>
              <w:t>Efektywność</w:t>
            </w:r>
          </w:p>
        </w:tc>
        <w:tc>
          <w:tcPr>
            <w:tcW w:w="6269" w:type="dxa"/>
            <w:vAlign w:val="center"/>
          </w:tcPr>
          <w:p w:rsidR="00ED6132" w:rsidRPr="00ED6132" w:rsidRDefault="00ED6132" w:rsidP="00ED6132">
            <w:pPr>
              <w:spacing w:after="120"/>
              <w:ind w:firstLine="0"/>
              <w:jc w:val="lef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bCs/>
                <w:sz w:val="20"/>
                <w:szCs w:val="20"/>
              </w:rPr>
              <w:t>W jaki sposób wykorzystano pozyskane środki finansowe? Czy działania są realizowane w sposób optymalny?</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D6132" w:rsidRPr="00ED6132" w:rsidRDefault="00ED6132" w:rsidP="00ED6132">
            <w:pPr>
              <w:spacing w:after="120"/>
              <w:ind w:firstLine="0"/>
              <w:jc w:val="center"/>
              <w:rPr>
                <w:rFonts w:cs="Calibri"/>
                <w:color w:val="000000"/>
                <w:sz w:val="20"/>
                <w:szCs w:val="20"/>
              </w:rPr>
            </w:pPr>
            <w:r w:rsidRPr="00ED6132">
              <w:rPr>
                <w:rFonts w:cs="Calibri"/>
                <w:color w:val="000000"/>
                <w:sz w:val="20"/>
                <w:szCs w:val="20"/>
              </w:rPr>
              <w:t>Skuteczność</w:t>
            </w:r>
          </w:p>
        </w:tc>
        <w:tc>
          <w:tcPr>
            <w:tcW w:w="6269" w:type="dxa"/>
            <w:vAlign w:val="center"/>
          </w:tcPr>
          <w:p w:rsidR="00ED6132" w:rsidRPr="00ED6132" w:rsidRDefault="00ED6132" w:rsidP="00ED6132">
            <w:pPr>
              <w:spacing w:after="120"/>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bCs/>
                <w:sz w:val="20"/>
                <w:szCs w:val="20"/>
              </w:rPr>
              <w:t>Czy Strategia jest realizowana zgodnie z założeniami? Jakie zmiany zaszły w stosunku do okresu przed rozpoczęciem realizacji?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D6132" w:rsidRPr="00ED6132" w:rsidRDefault="00ED6132" w:rsidP="00ED6132">
            <w:pPr>
              <w:spacing w:after="120"/>
              <w:ind w:firstLine="0"/>
              <w:jc w:val="center"/>
              <w:rPr>
                <w:rFonts w:cs="Calibri"/>
                <w:color w:val="000000"/>
                <w:sz w:val="20"/>
                <w:szCs w:val="20"/>
              </w:rPr>
            </w:pPr>
            <w:r w:rsidRPr="00ED6132">
              <w:rPr>
                <w:rFonts w:cs="Calibri"/>
                <w:color w:val="000000"/>
                <w:sz w:val="20"/>
                <w:szCs w:val="20"/>
              </w:rPr>
              <w:t>Użyteczność</w:t>
            </w:r>
          </w:p>
        </w:tc>
        <w:tc>
          <w:tcPr>
            <w:tcW w:w="6269" w:type="dxa"/>
            <w:vAlign w:val="center"/>
          </w:tcPr>
          <w:p w:rsidR="00ED6132" w:rsidRPr="00ED6132" w:rsidRDefault="00ED6132" w:rsidP="00ED6132">
            <w:pPr>
              <w:spacing w:after="120"/>
              <w:ind w:firstLine="0"/>
              <w:jc w:val="left"/>
              <w:cnfStyle w:val="000000010000" w:firstRow="0" w:lastRow="0" w:firstColumn="0" w:lastColumn="0" w:oddVBand="0" w:evenVBand="0" w:oddHBand="0" w:evenHBand="1"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bCs/>
                <w:sz w:val="20"/>
                <w:szCs w:val="20"/>
              </w:rPr>
              <w:t>W jakim stopniu realizowane działania są przydatne dla ich odbiorców?</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vAlign w:val="center"/>
          </w:tcPr>
          <w:p w:rsidR="00ED6132" w:rsidRPr="00ED6132" w:rsidRDefault="00ED6132" w:rsidP="00ED6132">
            <w:pPr>
              <w:spacing w:after="120"/>
              <w:ind w:firstLine="0"/>
              <w:jc w:val="center"/>
              <w:rPr>
                <w:rFonts w:cs="Calibri"/>
                <w:color w:val="000000"/>
                <w:sz w:val="20"/>
                <w:szCs w:val="20"/>
              </w:rPr>
            </w:pPr>
            <w:r w:rsidRPr="00ED6132">
              <w:rPr>
                <w:rFonts w:cs="Calibri"/>
                <w:color w:val="000000"/>
                <w:sz w:val="20"/>
                <w:szCs w:val="20"/>
              </w:rPr>
              <w:t>Trwałość</w:t>
            </w:r>
          </w:p>
        </w:tc>
        <w:tc>
          <w:tcPr>
            <w:tcW w:w="6269" w:type="dxa"/>
            <w:vAlign w:val="center"/>
          </w:tcPr>
          <w:p w:rsidR="00ED6132" w:rsidRPr="00ED6132" w:rsidRDefault="00ED6132" w:rsidP="00ED6132">
            <w:pPr>
              <w:spacing w:after="120"/>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000000"/>
                <w:sz w:val="20"/>
                <w:szCs w:val="20"/>
              </w:rPr>
            </w:pPr>
            <w:r w:rsidRPr="00ED6132">
              <w:rPr>
                <w:rFonts w:ascii="Calibri" w:eastAsia="Calibri" w:hAnsi="Calibri" w:cs="Calibri"/>
                <w:bCs/>
                <w:sz w:val="20"/>
                <w:szCs w:val="20"/>
              </w:rPr>
              <w:t>Czy osiągnięte efekty utrzymały się po zakończeniu realizacji Strategii? Jakie czynniki miały na to wpływ?</w:t>
            </w:r>
          </w:p>
        </w:tc>
      </w:tr>
    </w:tbl>
    <w:p w:rsidR="00ED6132" w:rsidRPr="00ED6132" w:rsidRDefault="00ED6132" w:rsidP="00ED6132">
      <w:pPr>
        <w:autoSpaceDE w:val="0"/>
        <w:autoSpaceDN w:val="0"/>
        <w:adjustRightInd w:val="0"/>
        <w:spacing w:after="120"/>
        <w:rPr>
          <w:rFonts w:ascii="Calibri" w:eastAsia="Calibri" w:hAnsi="Calibri" w:cs="Times New Roman"/>
        </w:rPr>
      </w:pPr>
      <w:r w:rsidRPr="00ED6132">
        <w:rPr>
          <w:rFonts w:ascii="Calibri" w:eastAsia="Calibri" w:hAnsi="Calibri" w:cs="Times New Roman"/>
        </w:rPr>
        <w:t>Katalog kryteriów ewaluacyjnych nie jest zamknięty, możliwe jest wykorzystanie innych m.in</w:t>
      </w:r>
      <w:proofErr w:type="gramStart"/>
      <w:r w:rsidRPr="00ED6132">
        <w:rPr>
          <w:rFonts w:ascii="Calibri" w:eastAsia="Calibri" w:hAnsi="Calibri" w:cs="Times New Roman"/>
        </w:rPr>
        <w:t>.: jakość</w:t>
      </w:r>
      <w:proofErr w:type="gramEnd"/>
      <w:r w:rsidRPr="00ED6132">
        <w:rPr>
          <w:rFonts w:ascii="Calibri" w:eastAsia="Calibri" w:hAnsi="Calibri" w:cs="Times New Roman"/>
        </w:rPr>
        <w:t xml:space="preserve"> podjętych działań w ramach Strategii, sprawiedliwość, komplementarność z innymi dokumentami strategicznymi/planistycznymi czy satysfakcja odbiorców inwestycji. </w:t>
      </w:r>
    </w:p>
    <w:p w:rsidR="00ED6132" w:rsidRPr="00ED6132" w:rsidRDefault="00ED6132" w:rsidP="00ED6132">
      <w:pPr>
        <w:spacing w:after="120"/>
        <w:rPr>
          <w:rFonts w:ascii="Calibri" w:eastAsia="Calibri" w:hAnsi="Calibri" w:cs="Calibri"/>
          <w:color w:val="000000"/>
        </w:rPr>
      </w:pPr>
      <w:r w:rsidRPr="00ED6132">
        <w:rPr>
          <w:rFonts w:ascii="Calibri" w:eastAsia="Calibri" w:hAnsi="Calibri" w:cs="Times New Roman"/>
        </w:rPr>
        <w:t>Po zakończeniu procesu ewaluacji przygotowywany jest raport końcowy.</w:t>
      </w:r>
    </w:p>
    <w:p w:rsidR="00ED6132" w:rsidRPr="00ED6132" w:rsidRDefault="00ED6132" w:rsidP="00ED6132">
      <w:pPr>
        <w:keepNext/>
        <w:keepLines/>
        <w:numPr>
          <w:ilvl w:val="1"/>
          <w:numId w:val="2"/>
        </w:numPr>
        <w:spacing w:before="200" w:after="0"/>
        <w:contextualSpacing/>
        <w:jc w:val="left"/>
        <w:outlineLvl w:val="1"/>
        <w:rPr>
          <w:rFonts w:ascii="Candara" w:eastAsia="Times New Roman" w:hAnsi="Candara" w:cs="Times New Roman"/>
          <w:b/>
          <w:bCs/>
          <w:color w:val="31B6FD"/>
          <w:sz w:val="26"/>
          <w:szCs w:val="26"/>
        </w:rPr>
      </w:pPr>
      <w:bookmarkStart w:id="92" w:name="_Toc138068789"/>
      <w:r w:rsidRPr="00ED6132">
        <w:rPr>
          <w:rFonts w:ascii="Candara" w:eastAsia="Times New Roman" w:hAnsi="Candara" w:cs="Times New Roman"/>
          <w:b/>
          <w:bCs/>
          <w:color w:val="31B6FD"/>
          <w:sz w:val="26"/>
          <w:szCs w:val="26"/>
        </w:rPr>
        <w:t>Wytyczne do sporządzania dokumentów wykonawczych</w:t>
      </w:r>
      <w:bookmarkEnd w:id="92"/>
    </w:p>
    <w:p w:rsidR="00ED6132" w:rsidRPr="00ED6132" w:rsidRDefault="00ED6132" w:rsidP="00ED6132">
      <w:pPr>
        <w:rPr>
          <w:rFonts w:ascii="Calibri" w:eastAsia="Calibri" w:hAnsi="Calibri" w:cs="Times New Roman"/>
        </w:rPr>
      </w:pPr>
      <w:r w:rsidRPr="00ED6132">
        <w:rPr>
          <w:rFonts w:ascii="Calibri" w:eastAsia="Calibri" w:hAnsi="Calibri" w:cs="Times New Roman"/>
        </w:rPr>
        <w:t>Poniższe wytyczne do sporządzania dokumentów wykonawczych obejmują zarówno obowiązkowe i fakultatywne plany, programy i inne opracowania Gmin HOF. Wytyczne określają stopień zgodności istniejących dokumentów z przedmiotową Strategią, jak również dokonują oceny aktualność obowiązujących dokumentów w kontekście zapisów strategii.</w:t>
      </w:r>
    </w:p>
    <w:tbl>
      <w:tblPr>
        <w:tblStyle w:val="Jasnasiatkaakcent211"/>
        <w:tblW w:w="0" w:type="auto"/>
        <w:tblLook w:val="04A0" w:firstRow="1" w:lastRow="0" w:firstColumn="1" w:lastColumn="0" w:noHBand="0" w:noVBand="1"/>
      </w:tblPr>
      <w:tblGrid>
        <w:gridCol w:w="9212"/>
      </w:tblGrid>
      <w:tr w:rsidR="00ED6132" w:rsidRPr="00ED6132" w:rsidTr="00ED61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rPr>
                <w:rFonts w:cs="Calibri"/>
              </w:rPr>
              <w:t>Studium Uwarunkowań i Kierunków Zagospodarowania Przestrzennego Miasta Hrubieszów</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i/>
              </w:rPr>
            </w:pPr>
            <w:r w:rsidRPr="00ED6132">
              <w:rPr>
                <w:rFonts w:ascii="Calibri" w:hAnsi="Calibri" w:cs="Calibri"/>
              </w:rPr>
              <w:t xml:space="preserve">Podstawa prawna: </w:t>
            </w:r>
            <w:r w:rsidRPr="00ED6132">
              <w:rPr>
                <w:rFonts w:ascii="Calibri" w:hAnsi="Calibri" w:cs="Calibri"/>
                <w:b w:val="0"/>
                <w:i/>
              </w:rPr>
              <w:t>Dokument przyjęty Uchwałą LIV/352/2014 Rady Miejskiej w Hrubieszowie z dnia 23 maja 2014 roku, zmieniony Uchwałą Nr XLVI/353/2017 Rady Miejskiej w Hrubieszowie z dnia 29 listopada 2017 r. w sprawie uchwalenia zmiany Studium uwarunkowań i kierunków zagospodarowania przestrzennego miasta Hrubieszów.</w:t>
            </w:r>
          </w:p>
          <w:p w:rsidR="00ED6132" w:rsidRPr="00ED6132" w:rsidRDefault="00ED6132" w:rsidP="00ED6132">
            <w:pPr>
              <w:ind w:firstLine="0"/>
            </w:pPr>
            <w:r w:rsidRPr="00ED6132">
              <w:rPr>
                <w:rFonts w:ascii="Calibri" w:hAnsi="Calibri" w:cs="Calibri"/>
              </w:rPr>
              <w:t xml:space="preserve">Rekomendacje / wnioski: </w:t>
            </w:r>
            <w:r w:rsidRPr="00ED6132">
              <w:rPr>
                <w:rFonts w:ascii="Calibri" w:hAnsi="Calibri" w:cs="Calibri"/>
                <w:b w:val="0"/>
                <w:i/>
              </w:rPr>
              <w:t>Studium Uwarunkowań i Kierunków Zagospodarowania Przestrzennego Miasta Hrubieszów jest zgodne z modelem struktury funkcjonalno-przestrzennej HOF, określonym w Strategii. Ewentualnej aktualizacji Studium wymagają uwarunkowania regionalne, opis środowiska przyrodniczego i środowiska kulturowego, które uległy zmianie od 2017 roku. Ponadto aktualizacja w Studium w przyszłości powinna opierać się o zmiany oparte na nowo zidentyfikowanych terenach służących działaniom prowadzącym do zwiększenia i wykorzystania potencjału gospodarczego i rekreacyjnego HOF.</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lastRenderedPageBreak/>
              <w:t>Miejscowe plany zagospodarowania przestrzennego w Mieście Hrubieszowie</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33674" w:rsidRDefault="00E33674" w:rsidP="00E33674">
            <w:pPr>
              <w:ind w:firstLine="0"/>
              <w:rPr>
                <w:rFonts w:asciiTheme="minorHAnsi" w:hAnsiTheme="minorHAnsi" w:cstheme="minorHAnsi"/>
                <w:b w:val="0"/>
                <w:i/>
              </w:rPr>
            </w:pPr>
            <w:r w:rsidRPr="00E33674">
              <w:rPr>
                <w:rFonts w:asciiTheme="minorHAnsi" w:hAnsiTheme="minorHAnsi" w:cstheme="minorHAnsi"/>
              </w:rPr>
              <w:t>Podstawa prawna:</w:t>
            </w:r>
            <w:r w:rsidRPr="0028327F">
              <w:rPr>
                <w:rFonts w:asciiTheme="minorHAnsi" w:hAnsiTheme="minorHAnsi" w:cstheme="minorHAnsi"/>
                <w:b w:val="0"/>
                <w:i/>
              </w:rPr>
              <w:t xml:space="preserve"> Uchwała Nr XXX</w:t>
            </w:r>
            <w:proofErr w:type="gramStart"/>
            <w:r w:rsidRPr="0028327F">
              <w:rPr>
                <w:rFonts w:asciiTheme="minorHAnsi" w:hAnsiTheme="minorHAnsi" w:cstheme="minorHAnsi"/>
                <w:b w:val="0"/>
                <w:i/>
              </w:rPr>
              <w:t>(363)2001 Rady</w:t>
            </w:r>
            <w:proofErr w:type="gramEnd"/>
            <w:r w:rsidRPr="0028327F">
              <w:rPr>
                <w:rFonts w:asciiTheme="minorHAnsi" w:hAnsiTheme="minorHAnsi" w:cstheme="minorHAnsi"/>
                <w:b w:val="0"/>
                <w:i/>
              </w:rPr>
              <w:t xml:space="preserve"> Miejskiej w Hrubieszowie z dnia 24 sierpnia 2001 roku, Uchwała nr LI/497/06 Rady Miejskiej w Hrubieszowie z dnia 25 września 2006 roku, Uchwała nr VIII/73/07 Rady Miejskiej w Hrubieszowie z dnia 29 maja 2007, Uchwała nr XXIV/239/08 Rady Miejskiej w Hrubieszowie z dnia 20 sierpnia 2008, Uchwała nr XXX/306/09 Rady Miejskiej w Hrubieszowie z dnia 3 lutego 2009 r., Uchwała nr LI/467/2010 Rady Miejskiej w Hrubieszowie z dnia 29 kwietnia 2010, Uchwała nr LI/469/2010 Rady Miejskiej w Hrubieszowie z dnia 29 kwietnia 2010, Uchwała nr LI/472/2010 Rady Miejskiej w Hrubieszowie z dnia 29 kwietnia 2010, Uchwała nr XI/80/2011 Rady Miejskiej w Hrubieszowie z dnia 26 lipca 2011, Uchwała nr XIV/98/2011 Rady Miejskiej </w:t>
            </w:r>
            <w:proofErr w:type="gramStart"/>
            <w:r w:rsidRPr="0028327F">
              <w:rPr>
                <w:rFonts w:asciiTheme="minorHAnsi" w:hAnsiTheme="minorHAnsi" w:cstheme="minorHAnsi"/>
                <w:b w:val="0"/>
                <w:i/>
              </w:rPr>
              <w:t>w</w:t>
            </w:r>
            <w:proofErr w:type="gramEnd"/>
            <w:r w:rsidRPr="0028327F">
              <w:rPr>
                <w:rFonts w:asciiTheme="minorHAnsi" w:hAnsiTheme="minorHAnsi" w:cstheme="minorHAnsi"/>
                <w:b w:val="0"/>
                <w:i/>
              </w:rPr>
              <w:t xml:space="preserve"> Hrubieszowie z dnia 30 września 2011 roku, Uchwała nr XIX/142/2012 Rady Miejskiej w Hrubieszowie z dnia 29 lutego 2012 roku, Uchwała nr XXIII/166/2012 Rady Miejskiej w Hrubieszowie z dnia 30 maja 2012 roku, Uchwała Nr XXV/180/2012 Rady Miejskiej w Hrubieszowie z dnia 28 czerwca 2012 roku, Uchwała Nr LV/365/2014 Rady Miejskiej w Hrubieszowie z dnia 30 czerwca 2014 roku, Uchwała Nr IX/62/2015 Rady Miejskiej w Hrubieszowie z dnia 28 maja 2015 roku, Uchwała Nr XXXIX/273/2017 Rady Miejskiej w Hrubieszowie z dnia 30 marca 2017 roku, Uchwała Nr XLIV/343/2017 Rady Miejskiej w Hrubieszowie z dnia 30 października 2017 roku, Uchwała Nr LIV/408/2018 Rady Miejskiej w Hrubieszowie z dnia 30 maja 2018 roku, Uchwała Nr V/22/2019 Rady Miejskiej w Hrubieszowie z dnia 26 lutego 2019 r., Uchwała Nr VIII/74/2019 Rady Miejskiej w Hrubieszowie z dnia 30 maja 2019 r.</w:t>
            </w:r>
            <w:r>
              <w:rPr>
                <w:rFonts w:asciiTheme="minorHAnsi" w:hAnsiTheme="minorHAnsi" w:cstheme="minorHAnsi"/>
                <w:b w:val="0"/>
                <w:i/>
              </w:rPr>
              <w:t xml:space="preserve">, Uchwała Nr XXXIV/268/2021 </w:t>
            </w:r>
            <w:r w:rsidRPr="0028327F">
              <w:rPr>
                <w:rFonts w:asciiTheme="minorHAnsi" w:hAnsiTheme="minorHAnsi" w:cstheme="minorHAnsi"/>
                <w:b w:val="0"/>
                <w:i/>
              </w:rPr>
              <w:t>Rady Miejskiej w Hrubieszowie</w:t>
            </w:r>
            <w:r>
              <w:rPr>
                <w:rFonts w:asciiTheme="minorHAnsi" w:hAnsiTheme="minorHAnsi" w:cstheme="minorHAnsi"/>
                <w:b w:val="0"/>
                <w:i/>
              </w:rPr>
              <w:t xml:space="preserve"> z dnia 29 kwietnia 2021 roku.</w:t>
            </w:r>
          </w:p>
          <w:p w:rsidR="00E33674" w:rsidRDefault="00E33674" w:rsidP="00E33674">
            <w:pPr>
              <w:spacing w:before="0"/>
              <w:ind w:firstLine="0"/>
              <w:rPr>
                <w:rFonts w:asciiTheme="minorHAnsi" w:hAnsiTheme="minorHAnsi" w:cstheme="minorHAnsi"/>
                <w:b w:val="0"/>
              </w:rPr>
            </w:pPr>
          </w:p>
          <w:p w:rsidR="00ED6132" w:rsidRPr="00ED6132" w:rsidRDefault="00E33674" w:rsidP="00E33674">
            <w:pPr>
              <w:spacing w:before="0"/>
              <w:ind w:firstLine="0"/>
            </w:pPr>
            <w:r w:rsidRPr="00E33674">
              <w:rPr>
                <w:rFonts w:asciiTheme="minorHAnsi" w:hAnsiTheme="minorHAnsi" w:cstheme="minorHAnsi"/>
              </w:rPr>
              <w:t>Rekomendacje/ wnioski:</w:t>
            </w:r>
            <w:r>
              <w:rPr>
                <w:rFonts w:asciiTheme="minorHAnsi" w:hAnsiTheme="minorHAnsi" w:cstheme="minorHAnsi"/>
                <w:b w:val="0"/>
              </w:rPr>
              <w:t xml:space="preserve"> </w:t>
            </w:r>
            <w:r>
              <w:rPr>
                <w:rFonts w:asciiTheme="minorHAnsi" w:hAnsiTheme="minorHAnsi" w:cstheme="minorHAnsi"/>
                <w:b w:val="0"/>
                <w:i/>
              </w:rPr>
              <w:t>A</w:t>
            </w:r>
            <w:r w:rsidRPr="00E77828">
              <w:rPr>
                <w:rFonts w:asciiTheme="minorHAnsi" w:hAnsiTheme="minorHAnsi" w:cstheme="minorHAnsi"/>
                <w:b w:val="0"/>
                <w:i/>
              </w:rPr>
              <w:t>ktualizacja obowiązując</w:t>
            </w:r>
            <w:r>
              <w:rPr>
                <w:rFonts w:asciiTheme="minorHAnsi" w:hAnsiTheme="minorHAnsi" w:cstheme="minorHAnsi"/>
                <w:b w:val="0"/>
                <w:i/>
              </w:rPr>
              <w:t>ych planów</w:t>
            </w:r>
            <w:r w:rsidRPr="00E77828">
              <w:rPr>
                <w:rFonts w:asciiTheme="minorHAnsi" w:hAnsiTheme="minorHAnsi" w:cstheme="minorHAnsi"/>
                <w:b w:val="0"/>
                <w:i/>
              </w:rPr>
              <w:t xml:space="preserve"> dotyczy ewentualnych konsekwencji aktualizacji studium i/lub na nowo zidentyfikowanych terenach służących działaniom prowadzącym do zwiększenia i wykorzystania potencjału gospodarczego i rekreacyjnego </w:t>
            </w:r>
            <w:r>
              <w:rPr>
                <w:rFonts w:asciiTheme="minorHAnsi" w:hAnsiTheme="minorHAnsi" w:cstheme="minorHAnsi"/>
                <w:b w:val="0"/>
                <w:i/>
              </w:rPr>
              <w:t>G</w:t>
            </w:r>
            <w:r w:rsidRPr="00E77828">
              <w:rPr>
                <w:rFonts w:asciiTheme="minorHAnsi" w:hAnsiTheme="minorHAnsi" w:cstheme="minorHAnsi"/>
                <w:b w:val="0"/>
                <w:i/>
              </w:rPr>
              <w:t>miny oraz rozbudowy jej infrastr</w:t>
            </w:r>
            <w:r>
              <w:rPr>
                <w:rFonts w:asciiTheme="minorHAnsi" w:hAnsiTheme="minorHAnsi" w:cstheme="minorHAnsi"/>
                <w:b w:val="0"/>
                <w:i/>
              </w:rPr>
              <w:t xml:space="preserve">uktury w wyniku prowadzenia działań zapisanych w Strategii HOF. Ze względu na zadanie: Budowa żłobka samorządowego w Mieście Hrubieszów konieczne jest przeprowadzenie zmiany miejscowego planu zagospodarowania przestrzennego przy ul. Konopnickiej. Prawdopodobnie również zadanie: </w:t>
            </w:r>
            <w:r w:rsidRPr="006B1626">
              <w:rPr>
                <w:rFonts w:asciiTheme="minorHAnsi" w:hAnsiTheme="minorHAnsi" w:cstheme="minorHAnsi"/>
                <w:b w:val="0"/>
                <w:i/>
              </w:rPr>
              <w:t>Budowa zbiornika retencyjnego – rekreacyjnego na działce nr 2294, obręb Podgórze w dolinie rzeki Huczwy w m. Hrubieszów wymagać będzie wprowadzenia zmian w MPZP Miasta Hrubieszów. Kwestia będzie możliwa do rozstrzygnięcia po wyborze koncepcji programowo- przestrzennej realizacji przedsięwzięcia.</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t>Program Ochrony Środowiska dla Gminy Miejskiej Hrubieszów</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b w:val="0"/>
                <w:i/>
              </w:rPr>
            </w:pPr>
            <w:r w:rsidRPr="00ED6132">
              <w:rPr>
                <w:rFonts w:ascii="Calibri" w:hAnsi="Calibri" w:cs="Calibri"/>
              </w:rPr>
              <w:t xml:space="preserve">Podstawa prawna: </w:t>
            </w:r>
            <w:r w:rsidRPr="00ED6132">
              <w:rPr>
                <w:rFonts w:ascii="Calibri" w:hAnsi="Calibri" w:cs="Calibri"/>
                <w:b w:val="0"/>
                <w:i/>
              </w:rPr>
              <w:t>Dokument przyjęty Uchwałą Nr XXIX/238/2020 Rady Miejskiej w Hrubieszowie z dnia 30 grudnia 2020 r. w sprawie przyjęcia „Programu Ochrony Środowiska dla Gminy Miejskiej Hrubieszów.</w:t>
            </w:r>
          </w:p>
          <w:p w:rsidR="00ED6132" w:rsidRPr="00ED6132" w:rsidRDefault="00ED6132" w:rsidP="00ED6132">
            <w:pPr>
              <w:ind w:firstLine="0"/>
            </w:pPr>
            <w:r w:rsidRPr="00ED6132">
              <w:rPr>
                <w:rFonts w:ascii="Calibri" w:hAnsi="Calibri" w:cs="Calibri"/>
              </w:rPr>
              <w:t xml:space="preserve">Rekomendacje / wnioski: </w:t>
            </w:r>
            <w:r w:rsidRPr="00ED6132">
              <w:rPr>
                <w:rFonts w:ascii="Calibri" w:hAnsi="Calibri" w:cs="Calibri"/>
                <w:b w:val="0"/>
                <w:i/>
              </w:rPr>
              <w:t>Program aktualny, założenia programu uwzględniono w dokumencie Strategii.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shd w:val="clear" w:color="auto" w:fill="auto"/>
          </w:tcPr>
          <w:p w:rsidR="00ED6132" w:rsidRPr="00ED6132" w:rsidRDefault="00ED6132" w:rsidP="00ED6132">
            <w:pPr>
              <w:ind w:firstLine="0"/>
              <w:jc w:val="center"/>
              <w:rPr>
                <w:rFonts w:cs="Calibri"/>
              </w:rPr>
            </w:pPr>
            <w:r w:rsidRPr="00ED6132">
              <w:rPr>
                <w:rFonts w:cs="Calibri"/>
              </w:rPr>
              <w:t>Program usuwania wyrobów zawierających azbest z terenu miasta Hrubieszów na lata 2012-2032</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b w:val="0"/>
                <w:i/>
              </w:rPr>
            </w:pPr>
            <w:r w:rsidRPr="00ED6132">
              <w:rPr>
                <w:rFonts w:ascii="Calibri" w:hAnsi="Calibri" w:cs="Calibri"/>
              </w:rPr>
              <w:t xml:space="preserve">Podstawa prawna: </w:t>
            </w:r>
            <w:r w:rsidRPr="00ED6132">
              <w:rPr>
                <w:rFonts w:ascii="Calibri" w:hAnsi="Calibri" w:cs="Calibri"/>
                <w:b w:val="0"/>
                <w:i/>
              </w:rPr>
              <w:t>Dokument przyjęty Uchwałą Nr XIX/143/2012 z dnia 29 lutego 2012 r. w sprawie uchwalenia programu usuwania wyrobów zawierających azbest z terenu miasta Hrubieszów na lata 2012 – 2032.</w:t>
            </w:r>
          </w:p>
          <w:p w:rsidR="00ED6132" w:rsidRPr="00ED6132" w:rsidRDefault="00ED6132" w:rsidP="00ED6132">
            <w:pPr>
              <w:ind w:firstLine="0"/>
              <w:rPr>
                <w:rFonts w:cs="Calibri"/>
              </w:rPr>
            </w:pPr>
            <w:r w:rsidRPr="00ED6132">
              <w:rPr>
                <w:rFonts w:ascii="Calibri" w:hAnsi="Calibri" w:cs="Calibri"/>
              </w:rPr>
              <w:t xml:space="preserve">Rekomendacje / wnioski: </w:t>
            </w:r>
            <w:r w:rsidRPr="00ED6132">
              <w:rPr>
                <w:rFonts w:ascii="Calibri" w:hAnsi="Calibri" w:cs="Calibri"/>
                <w:b w:val="0"/>
                <w:i/>
              </w:rPr>
              <w:t>Program aktualny, zgodny z zapisami Strategii i je uszczegóławiający. Ewentualnej aktualizacji Studium wymagają rozdziały dotyczące informacji o mieście, czy inwentaryzacji wyrobów zawierających azbest, które uległy zmianie od 2001 roku.</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cs="Calibri"/>
              </w:rPr>
            </w:pPr>
            <w:r w:rsidRPr="00ED6132">
              <w:rPr>
                <w:rFonts w:cs="Calibri"/>
              </w:rPr>
              <w:t>Lokalny Program Rewitalizacji Miasta Hrubieszów na lata 2017-2023</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b w:val="0"/>
                <w:i/>
              </w:rPr>
            </w:pPr>
            <w:r w:rsidRPr="00ED6132">
              <w:rPr>
                <w:rFonts w:ascii="Calibri" w:hAnsi="Calibri" w:cs="Calibri"/>
              </w:rPr>
              <w:lastRenderedPageBreak/>
              <w:t xml:space="preserve">Podstawa prawna: </w:t>
            </w:r>
            <w:r w:rsidRPr="00ED6132">
              <w:rPr>
                <w:rFonts w:ascii="Calibri" w:hAnsi="Calibri" w:cs="Calibri"/>
                <w:b w:val="0"/>
                <w:i/>
              </w:rPr>
              <w:t>Dokument przyjęty Uchwałą Nr XLV/345 Rady Miejskiej w Hrubieszowie z dnia 10 listopada 2017 w sprawie przyjęcia Lokalnego Programu Rewitalizacji Miasta Hrubieszowa na lata 2017-2023.</w:t>
            </w:r>
          </w:p>
          <w:p w:rsidR="00ED6132" w:rsidRPr="00ED6132" w:rsidRDefault="00ED6132" w:rsidP="00ED6132">
            <w:pPr>
              <w:ind w:firstLine="0"/>
              <w:rPr>
                <w:rFonts w:cs="Calibri"/>
              </w:rPr>
            </w:pPr>
            <w:r w:rsidRPr="00ED6132">
              <w:rPr>
                <w:rFonts w:ascii="Calibri" w:hAnsi="Calibri" w:cs="Calibri"/>
              </w:rPr>
              <w:t xml:space="preserve">Rekomendacje / wnioski: </w:t>
            </w:r>
            <w:r w:rsidRPr="00ED6132">
              <w:rPr>
                <w:rFonts w:ascii="Calibri" w:hAnsi="Calibri" w:cs="Calibri"/>
                <w:b w:val="0"/>
                <w:i/>
              </w:rPr>
              <w:t>Program aktualny, zgodny z zapisami Strategii.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cs="Calibri"/>
              </w:rPr>
            </w:pPr>
            <w:r w:rsidRPr="00ED6132">
              <w:rPr>
                <w:rFonts w:cs="Calibri"/>
              </w:rPr>
              <w:t>Gminny Program Opieki nad Zabytkami Miasta Hrubieszów na lata 2019-2022</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b w:val="0"/>
                <w:i/>
              </w:rPr>
            </w:pPr>
            <w:r w:rsidRPr="00ED6132">
              <w:rPr>
                <w:rFonts w:ascii="Calibri" w:hAnsi="Calibri" w:cs="Calibri"/>
              </w:rPr>
              <w:t>Podstawa prawna:</w:t>
            </w:r>
            <w:r w:rsidRPr="00ED6132">
              <w:rPr>
                <w:rFonts w:ascii="Calibri" w:hAnsi="Calibri" w:cs="Calibri"/>
                <w:i/>
              </w:rPr>
              <w:t xml:space="preserve"> </w:t>
            </w:r>
            <w:r w:rsidRPr="00ED6132">
              <w:rPr>
                <w:rFonts w:ascii="Calibri" w:hAnsi="Calibri" w:cs="Calibri"/>
                <w:b w:val="0"/>
                <w:i/>
              </w:rPr>
              <w:t>Dokument przyjęty Uchwałą Nr X/91/2019 Rady Miejskiej w Hrubieszowie z dnia 26 czerwca 2019 r. w sprawie przyjęcia Gminnego Programu Opieki nad Zabytkami Miasta Hrubieszów na lata 2019 – 2022.</w:t>
            </w:r>
          </w:p>
          <w:p w:rsidR="00ED6132" w:rsidRPr="00ED6132" w:rsidRDefault="00ED6132" w:rsidP="00ED6132">
            <w:pPr>
              <w:ind w:firstLine="0"/>
              <w:rPr>
                <w:rFonts w:ascii="Calibri" w:hAnsi="Calibri" w:cs="Calibri"/>
              </w:rPr>
            </w:pPr>
            <w:r w:rsidRPr="00ED6132">
              <w:rPr>
                <w:rFonts w:ascii="Calibri" w:hAnsi="Calibri" w:cs="Calibri"/>
              </w:rPr>
              <w:t xml:space="preserve">Rekomendacje / wnioski: </w:t>
            </w:r>
            <w:r w:rsidRPr="00ED6132">
              <w:rPr>
                <w:rFonts w:ascii="Calibri" w:hAnsi="Calibri" w:cs="Calibri"/>
                <w:b w:val="0"/>
                <w:i/>
              </w:rPr>
              <w:t>Program aktualny, zgodny z zapisami Strategii i je uszczegóławiający.</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cs="Calibri"/>
              </w:rPr>
            </w:pPr>
            <w:r w:rsidRPr="00ED6132">
              <w:rPr>
                <w:rFonts w:cs="Calibri"/>
              </w:rPr>
              <w:t>Wieloletni program gospodarowania mieszkaniowym zasobem Gminy Miejskiej Hrubieszów na lata 2021 - 2026</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b w:val="0"/>
                <w:i/>
              </w:rPr>
            </w:pPr>
            <w:r w:rsidRPr="00ED6132">
              <w:rPr>
                <w:rFonts w:ascii="Calibri" w:hAnsi="Calibri" w:cs="Calibri"/>
              </w:rPr>
              <w:t xml:space="preserve">Podstawa prawna: </w:t>
            </w:r>
            <w:r w:rsidRPr="00ED6132">
              <w:rPr>
                <w:rFonts w:ascii="Calibri" w:hAnsi="Calibri" w:cs="Calibri"/>
                <w:b w:val="0"/>
                <w:i/>
              </w:rPr>
              <w:t>Dokument przyjęty Uchwałą Nr XL/319/2021 Rady Miejskiej w Hrubieszowie z dnia z dnia 30 września 2021 r. w sprawie przyjęcia „Wieloletniego programu gospodarowania mieszkaniowym zasobem Gminy Miejskiej Hrubieszów na lata 2021 - 2026”</w:t>
            </w:r>
          </w:p>
          <w:p w:rsidR="00ED6132" w:rsidRPr="00ED6132" w:rsidRDefault="00ED6132" w:rsidP="00ED6132">
            <w:pPr>
              <w:ind w:firstLine="0"/>
              <w:rPr>
                <w:rFonts w:cs="Calibri"/>
              </w:rPr>
            </w:pPr>
            <w:r w:rsidRPr="00ED6132">
              <w:rPr>
                <w:rFonts w:ascii="Calibri" w:hAnsi="Calibri" w:cs="Calibri"/>
              </w:rPr>
              <w:t xml:space="preserve">Rekomendacje / wnioski: </w:t>
            </w:r>
            <w:r w:rsidRPr="00ED6132">
              <w:rPr>
                <w:rFonts w:ascii="Calibri" w:hAnsi="Calibri" w:cs="Calibri"/>
                <w:b w:val="0"/>
                <w:i/>
              </w:rPr>
              <w:t>Program aktualny, zgodny z zapisami Strategii i je uszczegóławiający.</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cs="Calibri"/>
              </w:rPr>
            </w:pPr>
            <w:r w:rsidRPr="00ED6132">
              <w:rPr>
                <w:rFonts w:cs="Calibri"/>
              </w:rPr>
              <w:t>Strategia Rozwiązywania Problemów Społecznych Miasta Hrubieszowa na lata 2015-2020</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i/>
              </w:rPr>
            </w:pPr>
            <w:r w:rsidRPr="00ED6132">
              <w:rPr>
                <w:rFonts w:ascii="Calibri" w:hAnsi="Calibri" w:cs="Calibri"/>
              </w:rPr>
              <w:t xml:space="preserve">Podstawa prawna: </w:t>
            </w:r>
            <w:r w:rsidRPr="00ED6132">
              <w:rPr>
                <w:rFonts w:ascii="Calibri" w:hAnsi="Calibri" w:cs="Calibri"/>
                <w:b w:val="0"/>
                <w:i/>
              </w:rPr>
              <w:t>Dokument przyjęty Uchwałą Nr VIII/54/2015 Rady Miejskiej w Hrubieszowie z dnia 30 kwietnia 2015 roku w sprawie przyjęcia Strategii Rozwiązywania Problemów Społecznych Miasta Hrubieszowa na lata 2015-2020.</w:t>
            </w:r>
          </w:p>
          <w:p w:rsidR="00ED6132" w:rsidRPr="00ED6132" w:rsidRDefault="00ED6132" w:rsidP="00ED6132">
            <w:pPr>
              <w:ind w:firstLine="0"/>
              <w:rPr>
                <w:rFonts w:ascii="Calibri" w:hAnsi="Calibri" w:cs="Calibri"/>
              </w:rPr>
            </w:pPr>
            <w:r w:rsidRPr="00ED6132">
              <w:rPr>
                <w:rFonts w:ascii="Calibri" w:hAnsi="Calibri" w:cs="Calibri"/>
              </w:rPr>
              <w:t xml:space="preserve">Rekomendacje / wnioski: </w:t>
            </w:r>
            <w:r w:rsidRPr="00ED6132">
              <w:rPr>
                <w:rFonts w:ascii="Calibri" w:hAnsi="Calibri" w:cs="Calibri"/>
                <w:b w:val="0"/>
                <w:i/>
              </w:rPr>
              <w:t>Dokument wymaga aktualizacji, rekomenduje się, aby założenia strategii były zgodne z założeniami Strategii rozwoju ponadlokalnego Hrubieszowskiego Obszaru Funkcjonalnego na lata 2021 – 2030.</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ascii="Calibri" w:hAnsi="Calibri" w:cs="Calibri"/>
              </w:rPr>
            </w:pPr>
            <w:r w:rsidRPr="00ED6132">
              <w:rPr>
                <w:rFonts w:ascii="Calibri" w:hAnsi="Calibri" w:cs="Calibri"/>
              </w:rPr>
              <w:t>Program Wspierania Rodziny w Gminie Miejskiej Hrubieszów na lata 2018-2020</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i/>
              </w:rPr>
            </w:pPr>
            <w:r w:rsidRPr="00ED6132">
              <w:rPr>
                <w:rFonts w:ascii="Calibri" w:hAnsi="Calibri" w:cs="Calibri"/>
              </w:rPr>
              <w:t xml:space="preserve">Podstawa prawna: </w:t>
            </w:r>
            <w:r w:rsidRPr="00ED6132">
              <w:rPr>
                <w:rFonts w:ascii="Calibri" w:hAnsi="Calibri" w:cs="Calibri"/>
                <w:b w:val="0"/>
                <w:i/>
              </w:rPr>
              <w:t>Dokument przyjęty Uchwałą Nr LVI/418/2018 Rady Miejskiej W Hrubieszowie z dnia 13 lipca 2018 r. w sprawie przyjęcia Programu Wspierania Rodziny w Gminie Miejskiej Hrubieszów na lata 2018-2020.</w:t>
            </w:r>
          </w:p>
          <w:p w:rsidR="00ED6132" w:rsidRPr="00ED6132" w:rsidRDefault="00ED6132" w:rsidP="00ED6132">
            <w:pPr>
              <w:ind w:firstLine="0"/>
              <w:rPr>
                <w:rFonts w:cs="Calibri"/>
              </w:rPr>
            </w:pPr>
            <w:r w:rsidRPr="00ED6132">
              <w:rPr>
                <w:rFonts w:ascii="Calibri" w:hAnsi="Calibri" w:cs="Calibri"/>
              </w:rPr>
              <w:t xml:space="preserve">Rekomendacje / wnioski: </w:t>
            </w:r>
            <w:r w:rsidRPr="00ED6132">
              <w:rPr>
                <w:rFonts w:ascii="Calibri" w:hAnsi="Calibri" w:cs="Calibri"/>
                <w:b w:val="0"/>
                <w:i/>
              </w:rPr>
              <w:t>Dokument wymaga aktualizacji, rekomenduje się, aby założenia programu były zgodne z założeniami Strategii rozwoju ponadlokalnego Hrubieszowskiego Obszaru Funkcjonalnego na lata 2021 – 2030.</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ascii="Calibri" w:hAnsi="Calibri" w:cs="Calibri"/>
              </w:rPr>
            </w:pPr>
            <w:r w:rsidRPr="00ED6132">
              <w:rPr>
                <w:rFonts w:ascii="Calibri" w:hAnsi="Calibri" w:cs="Calibri"/>
              </w:rPr>
              <w:t>Program Przeciwdziałania Przemocy w Rodzinie oraz Ochrony Ofiar Przemocy w Rodzinie realizowany w Gminie Miejskiej Hrubieszów na lata 2018-2020</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i/>
              </w:rPr>
            </w:pPr>
            <w:r w:rsidRPr="00ED6132">
              <w:rPr>
                <w:rFonts w:ascii="Calibri" w:hAnsi="Calibri" w:cs="Calibri"/>
              </w:rPr>
              <w:t xml:space="preserve">Podstawa prawna: </w:t>
            </w:r>
            <w:r w:rsidRPr="00ED6132">
              <w:rPr>
                <w:rFonts w:ascii="Calibri" w:hAnsi="Calibri" w:cs="Calibri"/>
                <w:b w:val="0"/>
                <w:i/>
              </w:rPr>
              <w:t>Dokument przyjęty Uchwałą Nr LIV/407/2018 Rady Miejskiej w Hrubieszowie z dnia 30 maja 2018 w sprawie przyjęcia Programu Przeciwdziałania Przemocy w Rodzinie oraz Ochrony Oﬁar Przemocy w Rodzinie realizowanego w Gminie Miejskiej Hrubieszów w latach 2018-2020.</w:t>
            </w:r>
          </w:p>
          <w:p w:rsidR="00ED6132" w:rsidRPr="00ED6132" w:rsidRDefault="00ED6132" w:rsidP="00ED6132">
            <w:pPr>
              <w:ind w:firstLine="0"/>
              <w:rPr>
                <w:rFonts w:cs="Calibri"/>
              </w:rPr>
            </w:pPr>
            <w:r w:rsidRPr="00ED6132">
              <w:rPr>
                <w:rFonts w:ascii="Calibri" w:hAnsi="Calibri" w:cs="Calibri"/>
              </w:rPr>
              <w:t xml:space="preserve">Rekomendacje / wnioski: </w:t>
            </w:r>
            <w:r w:rsidRPr="00ED6132">
              <w:rPr>
                <w:rFonts w:ascii="Calibri" w:hAnsi="Calibri" w:cs="Calibri"/>
                <w:b w:val="0"/>
                <w:i/>
              </w:rPr>
              <w:t>Dokument wymaga aktualizacji, rekomenduje się, aby założenia programu były zgodne z założeniami Strategii rozwoju ponadlokalnego Hrubieszowskiego Obszaru Funkcjonalnego na lata 2021 – 2030.</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cs="Calibri"/>
              </w:rPr>
            </w:pPr>
            <w:r w:rsidRPr="00ED6132">
              <w:rPr>
                <w:rFonts w:cs="Calibri"/>
              </w:rPr>
              <w:t>Plan Gospodarki Niskoemisyjnej dla Gminy Miejskiej Hrubieszów na lata 2015-2020</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i/>
              </w:rPr>
            </w:pPr>
            <w:r w:rsidRPr="00ED6132">
              <w:rPr>
                <w:rFonts w:ascii="Calibri" w:hAnsi="Calibri" w:cs="Calibri"/>
              </w:rPr>
              <w:t>Podstawa prawna:</w:t>
            </w:r>
            <w:r w:rsidRPr="00ED6132">
              <w:rPr>
                <w:rFonts w:cs="Calibri"/>
              </w:rPr>
              <w:t xml:space="preserve"> </w:t>
            </w:r>
            <w:r w:rsidRPr="00ED6132">
              <w:rPr>
                <w:rFonts w:ascii="Calibri" w:hAnsi="Calibri" w:cs="Calibri"/>
                <w:b w:val="0"/>
                <w:i/>
              </w:rPr>
              <w:t xml:space="preserve">Dokument przyjęty Uchwałą Nr XII/84/2015 Rady Miejskiej w Hrubieszowie z dnia 28 sierpnia 2015 roku w sprawie przyjęcia i zatwierdzenia do wdrażania Planu Gospodarki Niskoemisyjnej dla Gminy Miejskiej Hrubieszów na lata 2015 - 2020, następnie uległ aktualizacji </w:t>
            </w:r>
            <w:r w:rsidRPr="00ED6132">
              <w:rPr>
                <w:rFonts w:ascii="Calibri" w:hAnsi="Calibri" w:cs="Calibri"/>
                <w:b w:val="0"/>
                <w:i/>
              </w:rPr>
              <w:lastRenderedPageBreak/>
              <w:t>Uchwałą Nr XXV/189/2016 Rady Miejskiej w Hrubieszowie z dnia 20 czerwca 2016 roku w sprawie przyjęcia do realizacji zaktualizowanego „Planu Gospodarki Niskoemisyjnej dla Gminy Miejskiej Hrubieszów na lata 2015-2020”.</w:t>
            </w:r>
          </w:p>
          <w:p w:rsidR="00ED6132" w:rsidRPr="00ED6132" w:rsidRDefault="00ED6132" w:rsidP="00ED6132">
            <w:pPr>
              <w:ind w:firstLine="0"/>
              <w:rPr>
                <w:rFonts w:cs="Calibri"/>
              </w:rPr>
            </w:pPr>
            <w:r w:rsidRPr="00ED6132">
              <w:rPr>
                <w:rFonts w:ascii="Calibri" w:hAnsi="Calibri" w:cs="Calibri"/>
              </w:rPr>
              <w:t xml:space="preserve">Rekomendacje / wnioski: </w:t>
            </w:r>
            <w:r w:rsidRPr="00ED6132">
              <w:rPr>
                <w:rFonts w:ascii="Calibri" w:hAnsi="Calibri" w:cs="Calibri"/>
                <w:b w:val="0"/>
                <w:i/>
              </w:rPr>
              <w:t>Dokument wymaga aktualizacji z powodu uwzględnienia nowego okresu programowania, rekomenduje się, aby założenia zaktualizowanego planu były zgodne z założeniami Strategii rozwoju ponadlokalnego Hrubieszowskiego Obszaru Funkcjonalnego na lata 2021 – 2030.</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cs="Calibri"/>
              </w:rPr>
            </w:pPr>
            <w:r w:rsidRPr="00ED6132">
              <w:rPr>
                <w:rFonts w:cs="Calibri"/>
              </w:rPr>
              <w:lastRenderedPageBreak/>
              <w:t>Program współpracy Miasta Hrubieszów z organizacjami pozarządowymi i innymi podmiotami prowadzącymi działalność pożytku publicznego na rok 2022</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i/>
              </w:rPr>
            </w:pPr>
            <w:r w:rsidRPr="00ED6132">
              <w:rPr>
                <w:rFonts w:ascii="Calibri" w:hAnsi="Calibri" w:cs="Calibri"/>
              </w:rPr>
              <w:t xml:space="preserve">Podstawa prawna: </w:t>
            </w:r>
            <w:r w:rsidRPr="00ED6132">
              <w:rPr>
                <w:rFonts w:ascii="Calibri" w:hAnsi="Calibri" w:cs="Calibri"/>
                <w:b w:val="0"/>
                <w:i/>
              </w:rPr>
              <w:t>Dokument przyjęty Uchwałą Nr XLII/338/2021 Rady Miejskiej w Hrubieszowie z dnia 25 listopada 2021 r. w sprawie Programu współpracy Miasta Hrubieszów z organizacjami pozarządowymi i innymi podmiotami prowadzącymi działalność pożytku publicznego na rok 2022.</w:t>
            </w:r>
          </w:p>
          <w:p w:rsidR="00ED6132" w:rsidRPr="00ED6132" w:rsidRDefault="00ED6132" w:rsidP="00ED6132">
            <w:pPr>
              <w:ind w:firstLine="0"/>
              <w:rPr>
                <w:rFonts w:cs="Calibri"/>
              </w:rPr>
            </w:pPr>
            <w:r w:rsidRPr="00ED6132">
              <w:rPr>
                <w:rFonts w:ascii="Calibri" w:hAnsi="Calibri" w:cs="Calibri"/>
              </w:rPr>
              <w:t xml:space="preserve">Rekomendacje / wnioski: </w:t>
            </w:r>
            <w:r w:rsidRPr="00ED6132">
              <w:rPr>
                <w:rFonts w:ascii="Calibri" w:hAnsi="Calibri" w:cs="Calibri"/>
                <w:b w:val="0"/>
                <w:i/>
              </w:rPr>
              <w:t>Program przyjmowany corocznie. Brak rekomendacji.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cs="Calibri"/>
              </w:rPr>
            </w:pPr>
            <w:r w:rsidRPr="00ED6132">
              <w:rPr>
                <w:rFonts w:cs="Calibri"/>
              </w:rPr>
              <w:t>Wieloletnia prognoza finansowa na lata 2021  - 2040</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b w:val="0"/>
                <w:i/>
              </w:rPr>
            </w:pPr>
            <w:r w:rsidRPr="00ED6132">
              <w:rPr>
                <w:rFonts w:ascii="Calibri" w:hAnsi="Calibri" w:cs="Calibri"/>
              </w:rPr>
              <w:t xml:space="preserve">Podstawa prawna: </w:t>
            </w:r>
            <w:r w:rsidRPr="00ED6132">
              <w:rPr>
                <w:rFonts w:ascii="Calibri" w:hAnsi="Calibri" w:cs="Calibri"/>
                <w:b w:val="0"/>
                <w:i/>
              </w:rPr>
              <w:t>Dokument przyjęty Uchwałą Nr XXIX/234/2020 Rady Miejskiej w Hrubieszowie z dnia 30 grudnia 2020 r. w sprawie wieloletniej prognozy finansowej na lata 2021 – 2040, który następnie ulegał dwanaście razy zmianom w 2021 roku. Ostatnia aktualizacja została przyjęta Uchwałą Nr XLIV/344/2021 Rady Miejskiej w Hrubieszowie z dnia 21 grudnia 2021 r.</w:t>
            </w:r>
          </w:p>
          <w:p w:rsidR="00ED6132" w:rsidRPr="00ED6132" w:rsidRDefault="00ED6132" w:rsidP="00ED6132">
            <w:pPr>
              <w:ind w:firstLine="0"/>
              <w:rPr>
                <w:rFonts w:cs="Calibri"/>
              </w:rPr>
            </w:pPr>
            <w:r w:rsidRPr="00ED6132">
              <w:rPr>
                <w:rFonts w:ascii="Calibri" w:hAnsi="Calibri" w:cs="Calibri"/>
              </w:rPr>
              <w:t xml:space="preserve">Rekomendacje / wnioski: </w:t>
            </w:r>
            <w:r w:rsidRPr="00ED6132">
              <w:rPr>
                <w:rFonts w:ascii="Calibri" w:hAnsi="Calibri" w:cs="Calibri"/>
                <w:b w:val="0"/>
                <w:i/>
              </w:rPr>
              <w:t>Dokument aktualny, zgodny z zapisami strategii. Rekomenduje się aktualizacje zgodnie z potrzebami.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cs="Calibri"/>
              </w:rPr>
            </w:pPr>
            <w:r w:rsidRPr="00ED6132">
              <w:t>Strategia rozwoju Gminy Hrubieszów na lata 2021-2027 (z perspektywą do roku 2030)</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rPr>
            </w:pPr>
            <w:r w:rsidRPr="00ED6132">
              <w:rPr>
                <w:rFonts w:ascii="Calibri" w:hAnsi="Calibri" w:cs="Calibri"/>
              </w:rPr>
              <w:t>Podstawa prawna:</w:t>
            </w:r>
            <w:r w:rsidR="007C5E1D">
              <w:rPr>
                <w:rFonts w:ascii="Calibri" w:hAnsi="Calibri" w:cs="Calibri"/>
              </w:rPr>
              <w:t xml:space="preserve"> </w:t>
            </w:r>
            <w:r w:rsidR="007C5E1D" w:rsidRPr="00ED6132">
              <w:rPr>
                <w:rFonts w:ascii="Calibri" w:hAnsi="Calibri" w:cs="Calibri"/>
                <w:b w:val="0"/>
                <w:i/>
              </w:rPr>
              <w:t>Dokument przyjęty Uchwałą Nr</w:t>
            </w:r>
            <w:r w:rsidR="007C5E1D">
              <w:rPr>
                <w:rFonts w:ascii="Calibri" w:hAnsi="Calibri" w:cs="Calibri"/>
                <w:b w:val="0"/>
                <w:i/>
              </w:rPr>
              <w:t xml:space="preserve"> </w:t>
            </w:r>
            <w:r w:rsidR="007C5E1D" w:rsidRPr="007C5E1D">
              <w:rPr>
                <w:rFonts w:ascii="Calibri" w:hAnsi="Calibri" w:cs="Calibri"/>
                <w:b w:val="0"/>
                <w:i/>
              </w:rPr>
              <w:t>XXXVIII/278/2022</w:t>
            </w:r>
            <w:r w:rsidR="007C5E1D">
              <w:rPr>
                <w:rFonts w:ascii="Calibri" w:hAnsi="Calibri" w:cs="Calibri"/>
                <w:b w:val="0"/>
                <w:i/>
              </w:rPr>
              <w:t xml:space="preserve"> </w:t>
            </w:r>
            <w:r w:rsidR="007C5E1D" w:rsidRPr="007C5E1D">
              <w:rPr>
                <w:rFonts w:ascii="Calibri" w:hAnsi="Calibri" w:cs="Calibri"/>
                <w:b w:val="0"/>
                <w:i/>
              </w:rPr>
              <w:t>Rady Gminy Hrubieszów z dnia 21 lutego 2022 roku w sprawie przyjęcia Strategii Rozwoju Gminy Hrubieszów na lata 2021-2027 (z perspektywą do roku 2030)</w:t>
            </w:r>
            <w:r w:rsidR="007C5E1D">
              <w:rPr>
                <w:rFonts w:ascii="Calibri" w:hAnsi="Calibri" w:cs="Calibri"/>
                <w:b w:val="0"/>
                <w:i/>
              </w:rPr>
              <w:t>.</w:t>
            </w:r>
          </w:p>
          <w:p w:rsidR="00ED6132" w:rsidRPr="00ED6132" w:rsidRDefault="00ED6132" w:rsidP="00ED6132">
            <w:pPr>
              <w:ind w:firstLine="0"/>
              <w:rPr>
                <w:rFonts w:cs="Calibri"/>
              </w:rPr>
            </w:pPr>
            <w:r w:rsidRPr="00ED6132">
              <w:rPr>
                <w:rFonts w:ascii="Calibri" w:hAnsi="Calibri" w:cs="Calibri"/>
              </w:rPr>
              <w:t xml:space="preserve">Rekomendacje / wnioski: </w:t>
            </w:r>
            <w:r w:rsidRPr="00ED6132">
              <w:rPr>
                <w:rFonts w:ascii="Calibri" w:hAnsi="Calibri" w:cs="Calibri"/>
                <w:b w:val="0"/>
                <w:i/>
              </w:rPr>
              <w:t>Część prac przebiegała równolegle z pracami nad Strategią rozwoju ponadlokalnego Hrubieszowskiego Obszaru Funkcjonalnego na lata 2021 – 2030. Dokument aktualny, zgodny z zapisami Strategii rozwoju ponadlokalnego Hrubieszowskiego Obszaru Funkcjonalnego na lata 2021 – 2030.</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vAlign w:val="center"/>
          </w:tcPr>
          <w:p w:rsidR="00ED6132" w:rsidRPr="00ED6132" w:rsidRDefault="00ED6132" w:rsidP="00ED6132">
            <w:pPr>
              <w:ind w:firstLine="0"/>
              <w:jc w:val="center"/>
            </w:pPr>
            <w:r w:rsidRPr="00ED6132">
              <w:t>Studium Uwarunkowań i Kierunków Zagospodarowania Przestrzennego Gminy Hrubieszów</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rPr>
            </w:pPr>
            <w:r w:rsidRPr="00ED6132">
              <w:rPr>
                <w:rFonts w:ascii="Calibri" w:hAnsi="Calibri" w:cs="Calibri"/>
              </w:rPr>
              <w:t xml:space="preserve">Podstawa prawna: </w:t>
            </w:r>
            <w:r w:rsidRPr="00ED6132">
              <w:rPr>
                <w:rFonts w:ascii="Calibri" w:hAnsi="Calibri" w:cs="Calibri"/>
                <w:b w:val="0"/>
                <w:i/>
              </w:rPr>
              <w:t xml:space="preserve">Dokument przyjęty Uchwałą Nr XXII/181/2001 Rady Gminy Hrubieszów w dniu 30.04.2001 </w:t>
            </w:r>
            <w:proofErr w:type="gramStart"/>
            <w:r w:rsidRPr="00ED6132">
              <w:rPr>
                <w:rFonts w:ascii="Calibri" w:hAnsi="Calibri" w:cs="Calibri"/>
                <w:b w:val="0"/>
                <w:i/>
              </w:rPr>
              <w:t>r</w:t>
            </w:r>
            <w:proofErr w:type="gramEnd"/>
            <w:r w:rsidRPr="00ED6132">
              <w:rPr>
                <w:rFonts w:ascii="Calibri" w:hAnsi="Calibri" w:cs="Calibri"/>
                <w:b w:val="0"/>
                <w:i/>
              </w:rPr>
              <w:t>., który następnie ulegał zmianom w roku 2008, 2012, 2013 oraz 2016. Ostatnia aktualizacja studium została przyjęta uchwałą nr XXIX/162/2017 Rady Gminy Hrubieszów z dnia 26 maja 2017 r</w:t>
            </w:r>
            <w:proofErr w:type="gramStart"/>
            <w:r w:rsidRPr="00ED6132">
              <w:rPr>
                <w:rFonts w:ascii="Calibri" w:hAnsi="Calibri" w:cs="Calibri"/>
                <w:b w:val="0"/>
                <w:i/>
              </w:rPr>
              <w:t>.). W</w:t>
            </w:r>
            <w:proofErr w:type="gramEnd"/>
            <w:r w:rsidRPr="00ED6132">
              <w:rPr>
                <w:rFonts w:ascii="Calibri" w:hAnsi="Calibri" w:cs="Calibri"/>
                <w:b w:val="0"/>
                <w:i/>
              </w:rPr>
              <w:t xml:space="preserve"> ramach tej ostatniej zmiany wprowadzono teren pod lokalizację lądowiska i zabudowy zagrodowej w m. Metelin.</w:t>
            </w:r>
            <w:r w:rsidRPr="00ED6132">
              <w:rPr>
                <w:rFonts w:ascii="Calibri" w:hAnsi="Calibri" w:cs="Calibri"/>
              </w:rPr>
              <w:t xml:space="preserve"> </w:t>
            </w:r>
          </w:p>
          <w:p w:rsidR="00ED6132" w:rsidRPr="00ED6132" w:rsidRDefault="00ED6132" w:rsidP="00ED6132">
            <w:pPr>
              <w:ind w:firstLine="0"/>
              <w:rPr>
                <w:rFonts w:ascii="Calibri" w:hAnsi="Calibri" w:cs="Calibri"/>
              </w:rPr>
            </w:pPr>
            <w:r w:rsidRPr="00ED6132">
              <w:rPr>
                <w:rFonts w:ascii="Calibri" w:hAnsi="Calibri" w:cs="Calibri"/>
              </w:rPr>
              <w:t xml:space="preserve">Rekomendacje / wnioski: </w:t>
            </w:r>
            <w:r w:rsidRPr="00ED6132">
              <w:rPr>
                <w:rFonts w:ascii="Calibri" w:hAnsi="Calibri" w:cs="Calibri"/>
                <w:b w:val="0"/>
                <w:i/>
              </w:rPr>
              <w:t>Studium Uwarunkowań i Kierunków Zagospodarowania Przestrzennego Gminy Hrubieszów jest zgodne z modelem struktury funkcjonalno-przestrzennej gminy, określonym w strategii. Ewentualnej aktualizacji Studium wymagają uwarunkowania regionalne, opis środowiska przyrodniczego i środowiska kulturowego, które uległy zmianie od 2001 roku. Ponadto aktualizacja w Studium w przyszłości powinna opierać się o zmiany oparte na nowo zidentyfikowanych terenach służących działaniom prowadzącym do zwiększenia i wykorzystania potencjału gospodarczego i rekreacyjnego gminy.</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vAlign w:val="center"/>
          </w:tcPr>
          <w:p w:rsidR="00ED6132" w:rsidRPr="00ED6132" w:rsidRDefault="00ED6132" w:rsidP="00ED6132">
            <w:pPr>
              <w:ind w:firstLine="0"/>
              <w:jc w:val="center"/>
            </w:pPr>
            <w:r w:rsidRPr="00ED6132">
              <w:t>Miejscowy plan zagospodarowania przestrzennego Gminy Hrubieszów</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rPr>
            </w:pPr>
            <w:r w:rsidRPr="00ED6132">
              <w:rPr>
                <w:rFonts w:ascii="Calibri" w:hAnsi="Calibri" w:cs="Calibri"/>
              </w:rPr>
              <w:t xml:space="preserve">Podstawa prawna: </w:t>
            </w:r>
            <w:r w:rsidRPr="00ED6132">
              <w:rPr>
                <w:rFonts w:ascii="Calibri" w:hAnsi="Calibri" w:cs="Calibri"/>
                <w:b w:val="0"/>
                <w:i/>
              </w:rPr>
              <w:t xml:space="preserve">Miejscowy plan zagospodarowania przestrzennego Gminy Hrubieszów został przyjęty uchwałą Nr XII/84/2004 Rady Gminy Hrubieszów z dnia 29 maja 2004 roku, następnie ulegał aktualizacji w zależności od potrzeb społecznych. Ostatnia zmiana MPZP Gminy Hrubieszów miała </w:t>
            </w:r>
            <w:r w:rsidRPr="00ED6132">
              <w:rPr>
                <w:rFonts w:ascii="Calibri" w:hAnsi="Calibri" w:cs="Calibri"/>
                <w:b w:val="0"/>
                <w:i/>
              </w:rPr>
              <w:lastRenderedPageBreak/>
              <w:t>miejsce w 2020 roku i dokonała się uchwałą nr XVI/115/2020 Rady Gminy Hrubieszów z dnia 17 lutego 2020 w sprawie uchwalenia zmiany miejscowego planu zagospodarowania przestrzennego gminy Hrubieszów dotyczących lokalizacji usług turystyki w miejscowości Czumów, lokalizacji zabudowy usługowej w miejscowości Stefankowice oraz lokalizacji zabudowy usługowo- przemysłowej w miejscowości Teptiuków.</w:t>
            </w:r>
          </w:p>
          <w:p w:rsidR="00ED6132" w:rsidRPr="00ED6132" w:rsidRDefault="00ED6132" w:rsidP="00ED6132">
            <w:pPr>
              <w:ind w:firstLine="0"/>
            </w:pPr>
            <w:r w:rsidRPr="00ED6132">
              <w:rPr>
                <w:rFonts w:ascii="Calibri" w:hAnsi="Calibri" w:cs="Calibri"/>
              </w:rPr>
              <w:t xml:space="preserve">Rekomendacje / wnioski: </w:t>
            </w:r>
            <w:r w:rsidRPr="00ED6132">
              <w:rPr>
                <w:rFonts w:ascii="Calibri" w:hAnsi="Calibri" w:cs="Calibri"/>
                <w:b w:val="0"/>
                <w:i/>
              </w:rPr>
              <w:t>Ewentualna aktualizacja obowiązującego planu dotyczy ewentualnych konsekwencji aktualizacji studium i/lub na nowo zidentyfikowanych terenach służących działaniom prowadzącym do zwiększenia i wykorzystania potencjału gospodarczego i rekreacyjnego Gminy oraz rozbudowy jej infrastruktury. Miejscowy plan zagospodarowania przestrzennego Gminy Hrubieszów jest zgodny z modelem struktury funkcjonalno-przestrzennej HOF, określonym w Strategii.</w:t>
            </w:r>
            <w:r w:rsidRPr="00ED6132">
              <w:rPr>
                <w:b w:val="0"/>
              </w:rPr>
              <w:t xml:space="preserve"> </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lastRenderedPageBreak/>
              <w:t>Program Ochrony Środowiska dla Gminy Hrubieszów na lata 2021-2024 z perspektywą do roku 2028</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b w:val="0"/>
                <w:i/>
              </w:rPr>
            </w:pPr>
            <w:r w:rsidRPr="00ED6132">
              <w:rPr>
                <w:rFonts w:ascii="Calibri" w:hAnsi="Calibri" w:cs="Calibri"/>
              </w:rPr>
              <w:t xml:space="preserve">Podstawa prawna: </w:t>
            </w:r>
            <w:r w:rsidRPr="00ED6132">
              <w:rPr>
                <w:rFonts w:ascii="Calibri" w:hAnsi="Calibri" w:cs="Calibri"/>
                <w:b w:val="0"/>
                <w:i/>
              </w:rPr>
              <w:t xml:space="preserve">Program przyjęty uchwałą nr XXVII/188/2021 Rady Gminy Hrubieszów z dnia 29 styczeń 2021 roku w sprawie przyjęcia „Programu Ochrony Środowiska dla Gminy Hrubieszów na lata 2021-2024 z perspektywą do roku 2028”. </w:t>
            </w:r>
          </w:p>
          <w:p w:rsidR="00ED6132" w:rsidRPr="00ED6132" w:rsidRDefault="00ED6132" w:rsidP="00ED6132">
            <w:pPr>
              <w:ind w:firstLine="0"/>
            </w:pPr>
            <w:r w:rsidRPr="00ED6132">
              <w:rPr>
                <w:rFonts w:ascii="Calibri" w:hAnsi="Calibri" w:cs="Calibri"/>
              </w:rPr>
              <w:t xml:space="preserve">Rekomendacje / wnioski: </w:t>
            </w:r>
            <w:r w:rsidRPr="00594C6E">
              <w:rPr>
                <w:rFonts w:ascii="Calibri" w:hAnsi="Calibri" w:cs="Calibri"/>
                <w:b w:val="0"/>
                <w:i/>
              </w:rPr>
              <w:t>Program aktualny, założenia programu uwzględniono w dokumencie Strategii.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t>Gminny Program Wspierania Rodziny na lata 2020-2023</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594C6E" w:rsidRDefault="00ED6132" w:rsidP="00ED6132">
            <w:pPr>
              <w:ind w:firstLine="0"/>
              <w:rPr>
                <w:rFonts w:ascii="Calibri" w:hAnsi="Calibri" w:cs="Calibri"/>
                <w:b w:val="0"/>
                <w:i/>
              </w:rPr>
            </w:pPr>
            <w:r w:rsidRPr="00ED6132">
              <w:rPr>
                <w:rFonts w:ascii="Calibri" w:hAnsi="Calibri" w:cs="Calibri"/>
                <w:i/>
              </w:rPr>
              <w:t xml:space="preserve">Podstawa prawna: </w:t>
            </w:r>
            <w:r w:rsidRPr="00594C6E">
              <w:rPr>
                <w:rFonts w:ascii="Calibri" w:hAnsi="Calibri" w:cs="Calibri"/>
                <w:b w:val="0"/>
                <w:i/>
              </w:rPr>
              <w:t xml:space="preserve">Program przyjęty uchwałą nr XXIV/172/2020 Rady Gminy Hrubieszów z dnia 11 grudnia 2020 roku w sprawie uchwalenia Gminnego Programu Wspierania Rodziny na lata 2020-2023. </w:t>
            </w:r>
          </w:p>
          <w:p w:rsidR="00ED6132" w:rsidRPr="00ED6132" w:rsidRDefault="00ED6132" w:rsidP="00ED6132">
            <w:pPr>
              <w:ind w:firstLine="0"/>
            </w:pPr>
            <w:r w:rsidRPr="00ED6132">
              <w:rPr>
                <w:rFonts w:ascii="Calibri" w:hAnsi="Calibri" w:cs="Calibri"/>
              </w:rPr>
              <w:t>Rekomendacje / wnioski:</w:t>
            </w:r>
            <w:r w:rsidRPr="00ED6132">
              <w:rPr>
                <w:rFonts w:ascii="Calibri" w:hAnsi="Calibri" w:cs="Calibri"/>
                <w:i/>
              </w:rPr>
              <w:t xml:space="preserve"> </w:t>
            </w:r>
            <w:r w:rsidRPr="00594C6E">
              <w:rPr>
                <w:rFonts w:ascii="Calibri" w:hAnsi="Calibri" w:cs="Calibri"/>
                <w:b w:val="0"/>
                <w:i/>
              </w:rPr>
              <w:t>Program aktualny, założenia programu uwzględniono w dokumencie Strategii.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t>Wieloletni program gospodarowania mieszkaniowym zasobem Gminy Hrubieszów na lata 2021- 2025</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594C6E" w:rsidRDefault="00ED6132" w:rsidP="00ED6132">
            <w:pPr>
              <w:ind w:firstLine="0"/>
              <w:rPr>
                <w:rFonts w:ascii="Calibri" w:hAnsi="Calibri" w:cs="Calibri"/>
                <w:b w:val="0"/>
                <w:i/>
              </w:rPr>
            </w:pPr>
            <w:r w:rsidRPr="00ED6132">
              <w:rPr>
                <w:rFonts w:ascii="Calibri" w:hAnsi="Calibri" w:cs="Calibri"/>
              </w:rPr>
              <w:t>Podstawa prawna:</w:t>
            </w:r>
            <w:r w:rsidRPr="00ED6132">
              <w:rPr>
                <w:rFonts w:ascii="Calibri" w:hAnsi="Calibri" w:cs="Calibri"/>
                <w:i/>
              </w:rPr>
              <w:t xml:space="preserve"> </w:t>
            </w:r>
            <w:r w:rsidRPr="00594C6E">
              <w:rPr>
                <w:rFonts w:ascii="Calibri" w:hAnsi="Calibri" w:cs="Calibri"/>
                <w:b w:val="0"/>
                <w:i/>
              </w:rPr>
              <w:t xml:space="preserve">Przyjęty uchwałą nr XXX/218/2021 Rady Gminy Hrubieszów z dnia 24 maja 2021 r. w sprawie uchwalenia Wieloletniego programu gospodarowania mieszkaniowym zasobem Gminy Hrubieszów na lata 2021- 2025. </w:t>
            </w:r>
          </w:p>
          <w:p w:rsidR="00ED6132" w:rsidRPr="00ED6132" w:rsidRDefault="00ED6132" w:rsidP="00ED6132">
            <w:pPr>
              <w:ind w:firstLine="0"/>
              <w:rPr>
                <w:rFonts w:ascii="Calibri" w:hAnsi="Calibri" w:cs="Calibri"/>
                <w:i/>
              </w:rPr>
            </w:pPr>
            <w:r w:rsidRPr="00ED6132">
              <w:rPr>
                <w:rFonts w:ascii="Calibri" w:hAnsi="Calibri" w:cs="Calibri"/>
              </w:rPr>
              <w:t>Rekomendacje / wnioski:</w:t>
            </w:r>
            <w:r w:rsidRPr="00ED6132">
              <w:rPr>
                <w:rFonts w:ascii="Calibri" w:hAnsi="Calibri" w:cs="Calibri"/>
                <w:i/>
              </w:rPr>
              <w:t xml:space="preserve"> </w:t>
            </w:r>
            <w:r w:rsidRPr="00594C6E">
              <w:rPr>
                <w:rFonts w:ascii="Calibri" w:hAnsi="Calibri" w:cs="Calibri"/>
                <w:b w:val="0"/>
                <w:i/>
              </w:rPr>
              <w:t>Program aktualny, założenia programu uwzględniono w dokumencie Strategii.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t>Gminny Program Opieki nad Zabytkami Gminy Hrubieszów na lata 2018– 2021</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594C6E" w:rsidRDefault="00ED6132" w:rsidP="00ED6132">
            <w:pPr>
              <w:ind w:firstLine="0"/>
              <w:rPr>
                <w:rFonts w:ascii="Calibri" w:hAnsi="Calibri" w:cs="Calibri"/>
                <w:b w:val="0"/>
                <w:i/>
              </w:rPr>
            </w:pPr>
            <w:r w:rsidRPr="00ED6132">
              <w:rPr>
                <w:rFonts w:ascii="Calibri" w:hAnsi="Calibri" w:cs="Calibri"/>
              </w:rPr>
              <w:t>Podstawa prawna:</w:t>
            </w:r>
            <w:r w:rsidRPr="00ED6132">
              <w:rPr>
                <w:rFonts w:ascii="Calibri" w:hAnsi="Calibri" w:cs="Calibri"/>
                <w:i/>
              </w:rPr>
              <w:t xml:space="preserve"> </w:t>
            </w:r>
            <w:r w:rsidRPr="00594C6E">
              <w:rPr>
                <w:rFonts w:ascii="Calibri" w:hAnsi="Calibri" w:cs="Calibri"/>
                <w:b w:val="0"/>
                <w:i/>
              </w:rPr>
              <w:t>Uchwała Nr II/8/2018 Rady Gminy Hrubieszów z dnia 12 grudnia 2018r. w sprawie: przyjęcia Gminnego Programu Opieki nad Zabytkami dla Gminy Hrubieszów na lata 2018 – 2021.</w:t>
            </w:r>
          </w:p>
          <w:p w:rsidR="00ED6132" w:rsidRPr="00ED6132" w:rsidRDefault="00ED6132" w:rsidP="00ED6132">
            <w:pPr>
              <w:ind w:firstLine="0"/>
            </w:pPr>
            <w:r w:rsidRPr="00ED6132">
              <w:rPr>
                <w:rFonts w:ascii="Calibri" w:hAnsi="Calibri" w:cs="Calibri"/>
              </w:rPr>
              <w:t>Rekomendacje / wnioski:</w:t>
            </w:r>
            <w:r w:rsidRPr="00ED6132">
              <w:rPr>
                <w:rFonts w:ascii="Calibri" w:hAnsi="Calibri" w:cs="Calibri"/>
                <w:i/>
              </w:rPr>
              <w:t xml:space="preserve"> </w:t>
            </w:r>
            <w:r w:rsidRPr="00594C6E">
              <w:rPr>
                <w:rFonts w:ascii="Calibri" w:hAnsi="Calibri" w:cs="Calibri"/>
                <w:b w:val="0"/>
                <w:i/>
              </w:rPr>
              <w:t>Program wymaga aktualizacji i dostosowania do obowiązujących przepisów prawa. Aktualizacja dokumentu umożliwi zapewnienie spójności ze strategią i uszczegółowienie zapisanych w niej założeń w zakresie ochrony i opieki nad zabytkami oraz zarządzania dziedzictwem.</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t>Gminna Strategia Rozwiązywania Problemów Społecznych Gminy Hrubieszów na lata 2020-2025</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594C6E" w:rsidRDefault="00ED6132" w:rsidP="00ED6132">
            <w:pPr>
              <w:ind w:firstLine="0"/>
              <w:rPr>
                <w:rFonts w:ascii="Calibri" w:hAnsi="Calibri" w:cs="Calibri"/>
                <w:b w:val="0"/>
                <w:i/>
              </w:rPr>
            </w:pPr>
            <w:r w:rsidRPr="00ED6132">
              <w:rPr>
                <w:rFonts w:ascii="Calibri" w:hAnsi="Calibri" w:cs="Calibri"/>
              </w:rPr>
              <w:t>Podstawa prawna:</w:t>
            </w:r>
            <w:r w:rsidRPr="00ED6132">
              <w:rPr>
                <w:rFonts w:ascii="Calibri" w:hAnsi="Calibri" w:cs="Calibri"/>
                <w:i/>
              </w:rPr>
              <w:t xml:space="preserve"> </w:t>
            </w:r>
            <w:r w:rsidRPr="00594C6E">
              <w:rPr>
                <w:rFonts w:ascii="Calibri" w:hAnsi="Calibri" w:cs="Calibri"/>
                <w:b w:val="0"/>
                <w:i/>
              </w:rPr>
              <w:t>Dokument przyjęty Uchwałą Nr XXIV/174/2020 Rady Gminy Hrubieszów z dnia 11 grudnia 2020 roku w sprawie uchwalenia Gminnej Strategii Rozwiązywania Problemów Społecznych Gminy Hrubieszów na lata 2020-2025.</w:t>
            </w:r>
          </w:p>
          <w:p w:rsidR="00ED6132" w:rsidRPr="00ED6132" w:rsidRDefault="00ED6132" w:rsidP="00ED6132">
            <w:pPr>
              <w:ind w:firstLine="0"/>
            </w:pPr>
            <w:r w:rsidRPr="00ED6132">
              <w:rPr>
                <w:rFonts w:ascii="Calibri" w:hAnsi="Calibri" w:cs="Calibri"/>
              </w:rPr>
              <w:lastRenderedPageBreak/>
              <w:t>Rekomendacje / wnioski:</w:t>
            </w:r>
            <w:r w:rsidRPr="00ED6132">
              <w:rPr>
                <w:rFonts w:ascii="Calibri" w:hAnsi="Calibri" w:cs="Calibri"/>
                <w:i/>
              </w:rPr>
              <w:t xml:space="preserve"> </w:t>
            </w:r>
            <w:r w:rsidRPr="00594C6E">
              <w:rPr>
                <w:rFonts w:ascii="Calibri" w:hAnsi="Calibri" w:cs="Calibri"/>
                <w:b w:val="0"/>
                <w:i/>
              </w:rPr>
              <w:t>Program aktualny, założenia programu uwzględniono w dokumencie Strategii.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lastRenderedPageBreak/>
              <w:t>Plan Gospodarki Niskoemisyjnej dla Gminy Hrubieszów</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594C6E" w:rsidRDefault="00ED6132" w:rsidP="00ED6132">
            <w:pPr>
              <w:ind w:firstLine="0"/>
              <w:rPr>
                <w:rFonts w:ascii="Calibri" w:hAnsi="Calibri" w:cs="Calibri"/>
                <w:b w:val="0"/>
                <w:i/>
              </w:rPr>
            </w:pPr>
            <w:r w:rsidRPr="00ED6132">
              <w:rPr>
                <w:rFonts w:ascii="Calibri" w:hAnsi="Calibri" w:cs="Calibri"/>
              </w:rPr>
              <w:t>Podstawa prawna:</w:t>
            </w:r>
            <w:r w:rsidRPr="00ED6132">
              <w:rPr>
                <w:rFonts w:ascii="Calibri" w:hAnsi="Calibri" w:cs="Calibri"/>
                <w:i/>
              </w:rPr>
              <w:t xml:space="preserve"> </w:t>
            </w:r>
            <w:r w:rsidRPr="00594C6E">
              <w:rPr>
                <w:rFonts w:ascii="Calibri" w:hAnsi="Calibri" w:cs="Calibri"/>
                <w:b w:val="0"/>
                <w:i/>
              </w:rPr>
              <w:t xml:space="preserve">Dokument przyjęty Uchwałą Nr X/79/2019 Rady Gminy Hrubieszów z dnia 25 września 2019 roku w sprawie uchwalenia Planu Gospodarki Niskoemisyjnej dla Gminy Hrubieszów. </w:t>
            </w:r>
          </w:p>
          <w:p w:rsidR="00ED6132" w:rsidRPr="00ED6132" w:rsidRDefault="00ED6132" w:rsidP="00ED6132">
            <w:pPr>
              <w:ind w:firstLine="0"/>
            </w:pPr>
            <w:r w:rsidRPr="00ED6132">
              <w:rPr>
                <w:rFonts w:ascii="Calibri" w:hAnsi="Calibri" w:cs="Calibri"/>
              </w:rPr>
              <w:t xml:space="preserve">Rekomendacje / wnioski: </w:t>
            </w:r>
            <w:r w:rsidRPr="00594C6E">
              <w:rPr>
                <w:rFonts w:ascii="Calibri" w:hAnsi="Calibri" w:cs="Calibri"/>
                <w:b w:val="0"/>
                <w:i/>
              </w:rPr>
              <w:t>Plan aktualny, założenia planu uwzględniono w dokumencie Strategii.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t>Program usuwania azbestu i wyrobów zawierających azbest dla Gminy Hrubieszów na lata 2011-2032</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rPr>
                <w:rFonts w:ascii="Calibri" w:hAnsi="Calibri" w:cs="Calibri"/>
                <w:i/>
              </w:rPr>
            </w:pPr>
            <w:r w:rsidRPr="00ED6132">
              <w:rPr>
                <w:rFonts w:ascii="Calibri" w:hAnsi="Calibri" w:cs="Calibri"/>
              </w:rPr>
              <w:t xml:space="preserve">Podstawa prawna: </w:t>
            </w:r>
            <w:r w:rsidRPr="00594C6E">
              <w:rPr>
                <w:rFonts w:ascii="Calibri" w:hAnsi="Calibri" w:cs="Calibri"/>
                <w:b w:val="0"/>
                <w:i/>
              </w:rPr>
              <w:t>Dokument przyjęty Uchwałą Nr VII/32/2011 Rady Gminy Hrubieszów z dnia 15 kwietnia 2011 roku w sprawie przyjęcia Programu usuwania azbestu i wyrobów zawierających azbest dla Gminy Hrubieszów na lata 2011-2032.</w:t>
            </w:r>
          </w:p>
          <w:p w:rsidR="00ED6132" w:rsidRPr="00ED6132" w:rsidRDefault="00ED6132" w:rsidP="00ED6132">
            <w:pPr>
              <w:ind w:firstLine="0"/>
            </w:pPr>
            <w:r w:rsidRPr="00ED6132">
              <w:rPr>
                <w:rFonts w:ascii="Calibri" w:hAnsi="Calibri" w:cs="Calibri"/>
              </w:rPr>
              <w:t>Rekomendacje / wnioski:</w:t>
            </w:r>
            <w:r w:rsidRPr="00ED6132">
              <w:rPr>
                <w:rFonts w:ascii="Calibri" w:hAnsi="Calibri" w:cs="Calibri"/>
                <w:i/>
              </w:rPr>
              <w:t xml:space="preserve"> </w:t>
            </w:r>
            <w:r w:rsidRPr="00594C6E">
              <w:rPr>
                <w:rFonts w:ascii="Calibri" w:hAnsi="Calibri" w:cs="Calibri"/>
                <w:b w:val="0"/>
                <w:i/>
              </w:rPr>
              <w:t>Program aktualny, założenia programu uwzględniono w dokumencie Strategii.</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pPr>
            <w:r w:rsidRPr="00ED6132">
              <w:t>Roczny Program Współpracy Gminy Hrubieszów z organizacjami pozarządowymi oraz podmiotami, o których mowa w art. 3 ust. 3 ustawy o działalności pożytku publicznego i o wolontariacie</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594C6E" w:rsidRDefault="00ED6132" w:rsidP="00ED6132">
            <w:pPr>
              <w:ind w:firstLine="0"/>
              <w:rPr>
                <w:rFonts w:ascii="Calibri" w:hAnsi="Calibri" w:cs="Calibri"/>
                <w:b w:val="0"/>
                <w:i/>
              </w:rPr>
            </w:pPr>
            <w:r w:rsidRPr="00ED6132">
              <w:rPr>
                <w:rFonts w:ascii="Calibri" w:hAnsi="Calibri" w:cs="Calibri"/>
              </w:rPr>
              <w:t>Podstawa prawna:</w:t>
            </w:r>
            <w:r w:rsidRPr="00ED6132">
              <w:rPr>
                <w:rFonts w:ascii="Calibri" w:hAnsi="Calibri" w:cs="Calibri"/>
                <w:i/>
              </w:rPr>
              <w:t xml:space="preserve"> </w:t>
            </w:r>
            <w:r w:rsidRPr="00594C6E">
              <w:rPr>
                <w:rFonts w:ascii="Calibri" w:hAnsi="Calibri" w:cs="Calibri"/>
                <w:b w:val="0"/>
                <w:i/>
              </w:rPr>
              <w:t>Dokument przyjęty Uchwałą Nr XXXV/258/2021 Rady Gminy Hrubieszów z dnia 24 listopada 2021 roku w sprawie uchwalenia Rocznego Programu Współpracy Gminy Hrubieszów z organizacjami pozarządowymi oraz podmiotami, o których mowa w art. 3 ust. 3 ustawy o działalności pożytku publicznego i o wolontariacie.</w:t>
            </w:r>
          </w:p>
          <w:p w:rsidR="00ED6132" w:rsidRPr="00ED6132" w:rsidRDefault="00ED6132" w:rsidP="00ED6132">
            <w:pPr>
              <w:ind w:firstLine="0"/>
            </w:pPr>
            <w:r w:rsidRPr="00ED6132">
              <w:rPr>
                <w:rFonts w:ascii="Calibri" w:hAnsi="Calibri" w:cs="Calibri"/>
              </w:rPr>
              <w:t>Rekomendacje / wnioski:</w:t>
            </w:r>
            <w:r w:rsidRPr="00ED6132">
              <w:rPr>
                <w:rFonts w:ascii="Calibri" w:hAnsi="Calibri" w:cs="Calibri"/>
                <w:i/>
              </w:rPr>
              <w:t xml:space="preserve"> </w:t>
            </w:r>
            <w:r w:rsidRPr="00594C6E">
              <w:rPr>
                <w:rFonts w:ascii="Calibri" w:hAnsi="Calibri" w:cs="Calibri"/>
                <w:b w:val="0"/>
                <w:i/>
              </w:rPr>
              <w:t>Program przyjmowany corocznie. Rekomenduje się opracowanie programu wieloletniej współpracy z organizacjami pozarządowymi. Obszary współpracy finansowej i niefinansowej powinny uwzględniać szczególnie te pola, które strategia uznaje za kluczowe oraz gdzie samorząd nie ma możliwości pełnego zaspokojenia potrzeb społecznych lub gdzie aktywność organizacji może istotnie podnieść poziom usług społecznych dostarczanych społeczności lokalnej (np. w ramach polityki społecznej). Program wieloletni pozwala na wdrożenie umów wieloletnich z organizacjami zapewniając im długofalowe ramy działania i niezbędne finansowanie.</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ED6132" w:rsidRDefault="00ED6132" w:rsidP="00ED6132">
            <w:pPr>
              <w:ind w:firstLine="0"/>
              <w:jc w:val="center"/>
              <w:rPr>
                <w:rFonts w:cs="Calibri"/>
              </w:rPr>
            </w:pPr>
            <w:r w:rsidRPr="00ED6132">
              <w:rPr>
                <w:rFonts w:cs="Calibri"/>
              </w:rPr>
              <w:t>Wieloletnia prognoza finansowa na lata 2022 - 2028</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tcPr>
          <w:p w:rsidR="00ED6132" w:rsidRPr="00594C6E" w:rsidRDefault="00ED6132" w:rsidP="00ED6132">
            <w:pPr>
              <w:ind w:firstLine="0"/>
              <w:rPr>
                <w:rFonts w:ascii="Calibri" w:hAnsi="Calibri" w:cs="Calibri"/>
                <w:b w:val="0"/>
                <w:i/>
              </w:rPr>
            </w:pPr>
            <w:r w:rsidRPr="00ED6132">
              <w:rPr>
                <w:rFonts w:ascii="Calibri" w:hAnsi="Calibri" w:cs="Calibri"/>
              </w:rPr>
              <w:t xml:space="preserve">Podstawa prawna: </w:t>
            </w:r>
            <w:r w:rsidRPr="00594C6E">
              <w:rPr>
                <w:rFonts w:ascii="Calibri" w:hAnsi="Calibri" w:cs="Calibri"/>
                <w:b w:val="0"/>
                <w:i/>
              </w:rPr>
              <w:t>Dokument przyjęty Uchwałą Nr XXXVII/271/2021 Rady Gminy Hrubieszów z dnia 29 grudnia 2021 w sprawie wieloletniej prognozy finansowej.</w:t>
            </w:r>
          </w:p>
          <w:p w:rsidR="00ED6132" w:rsidRPr="00ED6132" w:rsidRDefault="00ED6132" w:rsidP="00ED6132">
            <w:pPr>
              <w:ind w:firstLine="0"/>
              <w:rPr>
                <w:rFonts w:cs="Calibri"/>
              </w:rPr>
            </w:pPr>
            <w:r w:rsidRPr="00ED6132">
              <w:rPr>
                <w:rFonts w:ascii="Calibri" w:hAnsi="Calibri" w:cs="Calibri"/>
              </w:rPr>
              <w:t xml:space="preserve">Rekomendacje / wnioski: </w:t>
            </w:r>
            <w:r w:rsidRPr="00594C6E">
              <w:rPr>
                <w:rFonts w:ascii="Calibri" w:hAnsi="Calibri" w:cs="Calibri"/>
                <w:b w:val="0"/>
                <w:i/>
              </w:rPr>
              <w:t>Dokument aktualny, zgodny z zapisami strategii. Rekomenduje się aktualizacje zgodnie z potrzebami.</w:t>
            </w:r>
          </w:p>
        </w:tc>
      </w:tr>
    </w:tbl>
    <w:p w:rsidR="00ED6132" w:rsidRPr="00ED6132" w:rsidRDefault="00ED6132" w:rsidP="005A4D88">
      <w:pPr>
        <w:pStyle w:val="Nagwek11"/>
      </w:pPr>
      <w:bookmarkStart w:id="93" w:name="_Toc138068790"/>
      <w:r w:rsidRPr="00ED6132">
        <w:t>Zgodność Strategii z innymi dokumentami strategicznymi i planistycznymi</w:t>
      </w:r>
      <w:bookmarkEnd w:id="93"/>
    </w:p>
    <w:p w:rsidR="00ED6132" w:rsidRPr="00ED6132" w:rsidRDefault="00ED6132" w:rsidP="00ED6132">
      <w:pPr>
        <w:spacing w:after="0"/>
        <w:ind w:firstLine="357"/>
        <w:rPr>
          <w:rFonts w:ascii="Calibri" w:eastAsia="Candara" w:hAnsi="Calibri" w:cs="Times New Roman"/>
        </w:rPr>
      </w:pPr>
      <w:r w:rsidRPr="00ED6132">
        <w:rPr>
          <w:rFonts w:ascii="Calibri" w:eastAsia="Candara" w:hAnsi="Calibri" w:cs="Times New Roman"/>
        </w:rPr>
        <w:t>Strategia rozwoju ponadlokalnego Hrubieszowskiego Obszaru Funkcjonalnego na lata 2021-2030 została przygotowana z uwzględnieniem założeń strategicznych polityki państwa i regionu, a także uwarunkowań członkostwa Polski w Unii Europejskiej. Poniżej omówiono komplementarność z najważniejszymi dokumentami z ww. poziomów. Punktem odniesienia dla niniejszej Strategii są również, wskazane wcześniej, obszary strategicznej interwencji, które znajdują się w Strategii Rozwoju Województwa.</w:t>
      </w:r>
    </w:p>
    <w:p w:rsidR="00ED6132" w:rsidRPr="00ED6132" w:rsidRDefault="00ED6132" w:rsidP="00ED6132">
      <w:pPr>
        <w:spacing w:after="0"/>
        <w:ind w:firstLine="357"/>
        <w:rPr>
          <w:rFonts w:ascii="Calibri" w:eastAsia="Candara" w:hAnsi="Calibri" w:cs="Times New Roman"/>
        </w:rPr>
      </w:pPr>
      <w:r w:rsidRPr="00ED6132">
        <w:rPr>
          <w:rFonts w:ascii="Calibri" w:eastAsia="Candara" w:hAnsi="Calibri" w:cs="Times New Roman"/>
        </w:rPr>
        <w:lastRenderedPageBreak/>
        <w:t>Strategia Rozwoju pełni zasadnicze funkcje:</w:t>
      </w:r>
    </w:p>
    <w:p w:rsidR="00ED6132" w:rsidRPr="00ED6132" w:rsidRDefault="00ED6132" w:rsidP="00A13FA7">
      <w:pPr>
        <w:numPr>
          <w:ilvl w:val="0"/>
          <w:numId w:val="15"/>
        </w:numPr>
        <w:spacing w:before="0" w:after="120"/>
        <w:contextualSpacing/>
        <w:jc w:val="left"/>
        <w:rPr>
          <w:rFonts w:ascii="Calibri" w:eastAsia="Candara" w:hAnsi="Calibri" w:cs="Times New Roman"/>
        </w:rPr>
      </w:pPr>
      <w:proofErr w:type="gramStart"/>
      <w:r w:rsidRPr="00ED6132">
        <w:rPr>
          <w:rFonts w:ascii="Calibri" w:eastAsia="Candara" w:hAnsi="Calibri" w:cs="Times New Roman"/>
        </w:rPr>
        <w:t>prezentuje</w:t>
      </w:r>
      <w:proofErr w:type="gramEnd"/>
      <w:r w:rsidRPr="00ED6132">
        <w:rPr>
          <w:rFonts w:ascii="Calibri" w:eastAsia="Candara" w:hAnsi="Calibri" w:cs="Times New Roman"/>
        </w:rPr>
        <w:t xml:space="preserve"> kierunki rozwoju HOF, jego społeczeństwa i gospodarki, a także jest istotnym materiałem informacyjnym w komunikacji z interesariuszami wewnętrznymi i zewnętrznymi;</w:t>
      </w:r>
    </w:p>
    <w:p w:rsidR="00ED6132" w:rsidRPr="00ED6132" w:rsidRDefault="00ED6132" w:rsidP="00A13FA7">
      <w:pPr>
        <w:numPr>
          <w:ilvl w:val="0"/>
          <w:numId w:val="15"/>
        </w:numPr>
        <w:spacing w:before="0" w:after="120"/>
        <w:contextualSpacing/>
        <w:jc w:val="left"/>
        <w:rPr>
          <w:rFonts w:ascii="Calibri" w:eastAsia="Candara" w:hAnsi="Calibri" w:cs="Times New Roman"/>
        </w:rPr>
      </w:pPr>
      <w:proofErr w:type="gramStart"/>
      <w:r w:rsidRPr="00ED6132">
        <w:rPr>
          <w:rFonts w:ascii="Calibri" w:eastAsia="Candara" w:hAnsi="Calibri" w:cs="Times New Roman"/>
        </w:rPr>
        <w:t>jako</w:t>
      </w:r>
      <w:proofErr w:type="gramEnd"/>
      <w:r w:rsidRPr="00ED6132">
        <w:rPr>
          <w:rFonts w:ascii="Calibri" w:eastAsia="Candara" w:hAnsi="Calibri" w:cs="Times New Roman"/>
        </w:rPr>
        <w:t xml:space="preserve"> perspektywiczny plan działania stanowi podstawę lepszego zarządzania przez administrację samorządową - sformułowanie misji, wizji i celów strategicznych daje możliwość ustalenia kierunków działań;</w:t>
      </w:r>
    </w:p>
    <w:p w:rsidR="00ED6132" w:rsidRPr="00ED6132" w:rsidRDefault="00ED6132" w:rsidP="00A13FA7">
      <w:pPr>
        <w:numPr>
          <w:ilvl w:val="0"/>
          <w:numId w:val="15"/>
        </w:numPr>
        <w:spacing w:before="0" w:after="120"/>
        <w:contextualSpacing/>
        <w:jc w:val="left"/>
        <w:rPr>
          <w:rFonts w:ascii="Calibri" w:eastAsia="Candara" w:hAnsi="Calibri" w:cs="Times New Roman"/>
        </w:rPr>
      </w:pPr>
      <w:proofErr w:type="gramStart"/>
      <w:r w:rsidRPr="00ED6132">
        <w:rPr>
          <w:rFonts w:ascii="Calibri" w:eastAsia="Candara" w:hAnsi="Calibri" w:cs="Times New Roman"/>
        </w:rPr>
        <w:t>stanowi</w:t>
      </w:r>
      <w:proofErr w:type="gramEnd"/>
      <w:r w:rsidRPr="00ED6132">
        <w:rPr>
          <w:rFonts w:ascii="Calibri" w:eastAsia="Candara" w:hAnsi="Calibri" w:cs="Times New Roman"/>
        </w:rPr>
        <w:t xml:space="preserve"> podstawę do zarządzania określonymi zasobami materialnymi i finansowymi, co daje szansę na trafne wydatkowanie środków własnych, a także ubieganie się o środki krajowe oraz pomocowe Unii Europejskiej i międzynarodowych instytucji finansowych.</w:t>
      </w:r>
    </w:p>
    <w:p w:rsidR="00ED6132" w:rsidRPr="00ED6132" w:rsidRDefault="00ED6132" w:rsidP="00A13FA7">
      <w:pPr>
        <w:keepNext/>
        <w:keepLines/>
        <w:numPr>
          <w:ilvl w:val="1"/>
          <w:numId w:val="8"/>
        </w:numPr>
        <w:spacing w:before="200" w:after="0"/>
        <w:jc w:val="left"/>
        <w:outlineLvl w:val="1"/>
        <w:rPr>
          <w:rFonts w:ascii="Candara" w:eastAsia="Times New Roman" w:hAnsi="Candara" w:cs="Times New Roman"/>
          <w:b/>
          <w:bCs/>
          <w:color w:val="31B6FD"/>
          <w:sz w:val="26"/>
          <w:szCs w:val="26"/>
        </w:rPr>
      </w:pPr>
      <w:bookmarkStart w:id="94" w:name="_Toc138068791"/>
      <w:r w:rsidRPr="00ED6132">
        <w:rPr>
          <w:rFonts w:ascii="Candara" w:eastAsia="Times New Roman" w:hAnsi="Candara" w:cs="Times New Roman"/>
          <w:b/>
          <w:bCs/>
          <w:color w:val="31B6FD"/>
          <w:sz w:val="26"/>
          <w:szCs w:val="26"/>
        </w:rPr>
        <w:t>Zgodność z dokumentami wyższego rzędu</w:t>
      </w:r>
      <w:bookmarkEnd w:id="94"/>
    </w:p>
    <w:p w:rsidR="00ED6132" w:rsidRPr="00ED6132" w:rsidRDefault="00ED6132" w:rsidP="00ED6132">
      <w:pPr>
        <w:rPr>
          <w:rFonts w:ascii="Calibri" w:eastAsia="Calibri" w:hAnsi="Calibri" w:cs="Times New Roman"/>
        </w:rPr>
      </w:pPr>
      <w:r w:rsidRPr="00ED6132">
        <w:rPr>
          <w:rFonts w:ascii="Calibri" w:eastAsia="Calibri" w:hAnsi="Calibri" w:cs="Times New Roman"/>
        </w:rPr>
        <w:t>Wyznaczona wizja rozwoju Hrubieszowskiego Obszaru Funkcjonalnego, która zostanie osiągnięta w wyniku realizacji celów i kierunków interwencji, jest spójna z głównymi celami dokumentów, zarówno na poziomie krajowym, jak i regionalnym.</w:t>
      </w:r>
    </w:p>
    <w:tbl>
      <w:tblPr>
        <w:tblStyle w:val="Jasnasiatkaakcent211"/>
        <w:tblW w:w="0" w:type="auto"/>
        <w:tblLayout w:type="fixed"/>
        <w:tblLook w:val="04A0" w:firstRow="1" w:lastRow="0" w:firstColumn="1" w:lastColumn="0" w:noHBand="0" w:noVBand="1"/>
      </w:tblPr>
      <w:tblGrid>
        <w:gridCol w:w="3652"/>
        <w:gridCol w:w="1409"/>
        <w:gridCol w:w="1409"/>
        <w:gridCol w:w="1409"/>
        <w:gridCol w:w="1409"/>
      </w:tblGrid>
      <w:tr w:rsidR="00ED6132" w:rsidRPr="00ED6132" w:rsidTr="00ED61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ind w:firstLine="0"/>
            </w:pPr>
          </w:p>
        </w:tc>
        <w:tc>
          <w:tcPr>
            <w:tcW w:w="1409" w:type="dxa"/>
          </w:tcPr>
          <w:p w:rsidR="00ED6132" w:rsidRPr="00ED6132" w:rsidRDefault="00ED6132" w:rsidP="00ED6132">
            <w:pPr>
              <w:spacing w:before="0"/>
              <w:ind w:left="34" w:firstLine="0"/>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sz w:val="18"/>
                <w:szCs w:val="18"/>
              </w:rPr>
            </w:pPr>
            <w:r w:rsidRPr="00ED6132">
              <w:rPr>
                <w:rFonts w:ascii="Calibri" w:hAnsi="Calibri"/>
                <w:sz w:val="18"/>
                <w:szCs w:val="18"/>
              </w:rPr>
              <w:t xml:space="preserve">1. </w:t>
            </w:r>
            <w:proofErr w:type="gramStart"/>
            <w:r w:rsidRPr="00ED6132">
              <w:rPr>
                <w:rFonts w:ascii="Calibri" w:hAnsi="Calibri"/>
                <w:sz w:val="18"/>
                <w:szCs w:val="18"/>
              </w:rPr>
              <w:t>Lepsza jakość</w:t>
            </w:r>
            <w:proofErr w:type="gramEnd"/>
            <w:r w:rsidRPr="00ED6132">
              <w:rPr>
                <w:rFonts w:ascii="Calibri" w:hAnsi="Calibri"/>
                <w:sz w:val="18"/>
                <w:szCs w:val="18"/>
              </w:rPr>
              <w:t xml:space="preserve"> życia i zintegrowana społeczność lokalna</w:t>
            </w:r>
          </w:p>
        </w:tc>
        <w:tc>
          <w:tcPr>
            <w:tcW w:w="1409" w:type="dxa"/>
          </w:tcPr>
          <w:p w:rsidR="00ED6132" w:rsidRPr="00ED6132" w:rsidRDefault="00ED6132" w:rsidP="00A13FA7">
            <w:pPr>
              <w:numPr>
                <w:ilvl w:val="0"/>
                <w:numId w:val="61"/>
              </w:numPr>
              <w:spacing w:before="0"/>
              <w:ind w:left="34"/>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ED6132">
              <w:rPr>
                <w:rFonts w:ascii="Calibri" w:hAnsi="Calibri" w:cs="Calibri"/>
                <w:sz w:val="18"/>
                <w:szCs w:val="18"/>
              </w:rPr>
              <w:t xml:space="preserve">Czyste środowisko i adaptacja do zmian klimatu </w:t>
            </w:r>
          </w:p>
        </w:tc>
        <w:tc>
          <w:tcPr>
            <w:tcW w:w="1409" w:type="dxa"/>
          </w:tcPr>
          <w:p w:rsidR="00ED6132" w:rsidRPr="00ED6132" w:rsidRDefault="00ED6132" w:rsidP="00A13FA7">
            <w:pPr>
              <w:numPr>
                <w:ilvl w:val="0"/>
                <w:numId w:val="61"/>
              </w:numPr>
              <w:spacing w:before="0"/>
              <w:ind w:left="34" w:hanging="125"/>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ED6132">
              <w:rPr>
                <w:rFonts w:ascii="Calibri" w:hAnsi="Calibri" w:cs="Calibri"/>
                <w:sz w:val="18"/>
                <w:szCs w:val="18"/>
              </w:rPr>
              <w:t>Rozwijająca się gospodarka i lokalny rynek pracy</w:t>
            </w:r>
          </w:p>
        </w:tc>
        <w:tc>
          <w:tcPr>
            <w:tcW w:w="1409" w:type="dxa"/>
          </w:tcPr>
          <w:p w:rsidR="00ED6132" w:rsidRPr="00ED6132" w:rsidRDefault="00ED6132" w:rsidP="00A13FA7">
            <w:pPr>
              <w:numPr>
                <w:ilvl w:val="0"/>
                <w:numId w:val="61"/>
              </w:numPr>
              <w:spacing w:before="0"/>
              <w:ind w:left="34"/>
              <w:contextualSpacing/>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szCs w:val="18"/>
              </w:rPr>
            </w:pPr>
            <w:r w:rsidRPr="00ED6132">
              <w:rPr>
                <w:rFonts w:ascii="Calibri" w:hAnsi="Calibri" w:cs="Calibri"/>
                <w:sz w:val="18"/>
                <w:szCs w:val="18"/>
              </w:rPr>
              <w:t>Sprawna administracja i aktywne społeczeństwo obywatelskie</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5"/>
            <w:shd w:val="clear" w:color="auto" w:fill="72ABF7" w:themeFill="text2" w:themeFillTint="66"/>
            <w:vAlign w:val="center"/>
          </w:tcPr>
          <w:p w:rsidR="00ED6132" w:rsidRPr="00ED6132" w:rsidRDefault="00ED6132" w:rsidP="00ED6132">
            <w:pPr>
              <w:ind w:firstLine="0"/>
              <w:jc w:val="center"/>
            </w:pPr>
            <w:r w:rsidRPr="00ED6132">
              <w:rPr>
                <w:sz w:val="18"/>
                <w:szCs w:val="18"/>
              </w:rPr>
              <w:t>Strategia na rzecz Odpowiedzialnego Rozwoju do roku 2020 (z perspektywą do roku 2030)</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Cel 1. Trwały wzrost gospodarczy oparty coraz silniej o wiedzę, dane i doskonałość organizacyjną.</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Cel 2. Rozwój społecznie wrażliwy i terytorialnie zrównoważony.</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Cel 3. Skuteczne państwo i instytucje służące wzrostowi oraz włączeniu społecznemu i gospodarczemu</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5"/>
            <w:shd w:val="clear" w:color="auto" w:fill="72ABF7" w:themeFill="text2" w:themeFillTint="66"/>
          </w:tcPr>
          <w:p w:rsidR="00ED6132" w:rsidRPr="00ED6132" w:rsidRDefault="00ED6132" w:rsidP="00ED6132">
            <w:pPr>
              <w:ind w:firstLine="0"/>
              <w:jc w:val="center"/>
            </w:pPr>
            <w:r w:rsidRPr="00ED6132">
              <w:rPr>
                <w:sz w:val="18"/>
                <w:szCs w:val="18"/>
              </w:rPr>
              <w:t>Krajowa Strategia Rozwoju Regionalnego 2030</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Cel 1. Zwiększenie spójności rozwoju kraju w wymiarze społecznym, gospodarczym, środowiskowym i przestrzennym</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Cel 2. Wzmacnianie regionalnych przewag konkurencyjnych</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 xml:space="preserve">Cel 3. </w:t>
            </w:r>
            <w:proofErr w:type="gramStart"/>
            <w:r w:rsidRPr="00ED6132">
              <w:rPr>
                <w:sz w:val="18"/>
                <w:szCs w:val="18"/>
              </w:rPr>
              <w:t>Podniesienie jakości</w:t>
            </w:r>
            <w:proofErr w:type="gramEnd"/>
            <w:r w:rsidRPr="00ED6132">
              <w:rPr>
                <w:sz w:val="18"/>
                <w:szCs w:val="18"/>
              </w:rPr>
              <w:t xml:space="preserve"> zarządzania i wdrażania polityk ukierunkowanych terytorialnie</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5"/>
            <w:shd w:val="clear" w:color="auto" w:fill="72ABF7" w:themeFill="text2" w:themeFillTint="66"/>
          </w:tcPr>
          <w:p w:rsidR="00ED6132" w:rsidRPr="00ED6132" w:rsidRDefault="00ED6132" w:rsidP="00ED6132">
            <w:pPr>
              <w:ind w:firstLine="0"/>
              <w:jc w:val="center"/>
            </w:pPr>
            <w:r w:rsidRPr="00ED6132">
              <w:rPr>
                <w:sz w:val="18"/>
                <w:szCs w:val="18"/>
              </w:rPr>
              <w:t>Koncepcja Przestrzennego Zagospodarowania Kraju 2030</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Cel 1. Podwyższenie konkurencyjności głównych ośrodków miejskich Polski w przestrzeni europejskiej poprzez ich integrację funkcjonalną przy zachowaniu policentrycznej struktury systemu osadniczego sprzyjającej spójności</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 xml:space="preserve">Cel 2. Poprawa spójności wewnętrznej kraju poprzez promowanie integracji funkcjonalnej, tworzenie warunków dla rozprzestrzeniania się czynników rozwoju oraz wykorzystanie potencjału wewnętrznego wszystkich terytoriów </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 xml:space="preserve">Cel 3. Poprawa dostępności terytorialnej kraju w różnych skalach przestrzennych poprzez rozwijanie infrastruktury </w:t>
            </w:r>
            <w:r w:rsidRPr="00ED6132">
              <w:rPr>
                <w:sz w:val="18"/>
                <w:szCs w:val="18"/>
              </w:rPr>
              <w:lastRenderedPageBreak/>
              <w:t xml:space="preserve">transportowej i telekomunikacyjnej </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lastRenderedPageBreak/>
              <w:t>X</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lastRenderedPageBreak/>
              <w:t xml:space="preserve">Cel 4. Kształtowanie struktur przestrzennych wspierających osiągnięcie i utrzymanie </w:t>
            </w:r>
            <w:proofErr w:type="gramStart"/>
            <w:r w:rsidRPr="00ED6132">
              <w:rPr>
                <w:sz w:val="18"/>
                <w:szCs w:val="18"/>
              </w:rPr>
              <w:t>wysokiej jakości</w:t>
            </w:r>
            <w:proofErr w:type="gramEnd"/>
            <w:r w:rsidRPr="00ED6132">
              <w:rPr>
                <w:sz w:val="18"/>
                <w:szCs w:val="18"/>
              </w:rPr>
              <w:t xml:space="preserve"> środowiska przyrodniczego i walorów krajobrazowych Polski </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Cel 5. Zwiększenie odporności struktury przestrzennej kraju na zagrożenia naturalne i utraty bezpieczeństwa energetycznego oraz kształtowanie struktur przestrzennych wspierających zdolności obronne państwa</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Cel 6. Przywrócenie i utrwalenie ładu przestrzennego</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0C2F23">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5"/>
            <w:shd w:val="clear" w:color="auto" w:fill="72ABF7" w:themeFill="text2" w:themeFillTint="66"/>
            <w:vAlign w:val="center"/>
          </w:tcPr>
          <w:p w:rsidR="00ED6132" w:rsidRPr="00ED6132" w:rsidRDefault="00ED6132" w:rsidP="00ED6132">
            <w:pPr>
              <w:ind w:firstLine="0"/>
              <w:jc w:val="center"/>
            </w:pPr>
            <w:r w:rsidRPr="00ED6132">
              <w:rPr>
                <w:sz w:val="18"/>
                <w:szCs w:val="18"/>
              </w:rPr>
              <w:t>Polska 2030 Trzecia fala nowoczesności Długookresowa Strategia Rozwoju Kraju</w:t>
            </w:r>
          </w:p>
        </w:tc>
      </w:tr>
      <w:tr w:rsidR="00ED6132" w:rsidRPr="00ED6132" w:rsidTr="000C2F23">
        <w:trPr>
          <w:cnfStyle w:val="000000100000" w:firstRow="0" w:lastRow="0" w:firstColumn="0" w:lastColumn="0" w:oddVBand="0" w:evenVBand="0" w:oddHBand="1" w:evenHBand="0" w:firstRowFirstColumn="0" w:firstRowLastColumn="0" w:lastRowFirstColumn="0" w:lastRowLastColumn="0"/>
          <w:trHeight w:val="1685"/>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Obszar konkurencyjności i innowacyjności gospodarki (modernizacji)</w:t>
            </w:r>
          </w:p>
          <w:p w:rsidR="00ED6132" w:rsidRPr="00ED6132" w:rsidRDefault="00ED6132" w:rsidP="00ED6132">
            <w:pPr>
              <w:ind w:firstLine="0"/>
              <w:jc w:val="left"/>
              <w:rPr>
                <w:sz w:val="18"/>
                <w:szCs w:val="18"/>
              </w:rPr>
            </w:pPr>
            <w:r w:rsidRPr="00ED6132">
              <w:rPr>
                <w:i/>
                <w:sz w:val="18"/>
                <w:szCs w:val="18"/>
              </w:rPr>
              <w:t>Nastawiony na zbudowanie nowych przewag konkurencyjnych Polski opartych o wzrost KI (wzrost kapitału ludzkiego, społecznego, relacyjnego, strukturalnego) i wykorzystanie impetu</w:t>
            </w:r>
            <w:r w:rsidRPr="00ED6132">
              <w:rPr>
                <w:sz w:val="18"/>
                <w:szCs w:val="18"/>
              </w:rPr>
              <w:t xml:space="preserve"> </w:t>
            </w:r>
            <w:r w:rsidRPr="00ED6132">
              <w:rPr>
                <w:i/>
                <w:sz w:val="18"/>
                <w:szCs w:val="18"/>
              </w:rPr>
              <w:t>cyfrowego, co daje w efekcie większą konkurencyjność</w:t>
            </w:r>
          </w:p>
        </w:tc>
        <w:tc>
          <w:tcPr>
            <w:tcW w:w="1409" w:type="dxa"/>
            <w:vAlign w:val="center"/>
          </w:tcPr>
          <w:p w:rsidR="00ED6132" w:rsidRPr="00ED6132" w:rsidRDefault="00A9327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A9327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0C2F23">
        <w:trPr>
          <w:cnfStyle w:val="000000010000" w:firstRow="0" w:lastRow="0" w:firstColumn="0" w:lastColumn="0" w:oddVBand="0" w:evenVBand="0" w:oddHBand="0" w:evenHBand="1" w:firstRowFirstColumn="0" w:firstRowLastColumn="0" w:lastRowFirstColumn="0" w:lastRowLastColumn="0"/>
          <w:trHeight w:val="1786"/>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Obszar równoważenia potencjału rozwojowego regionów (dyfuzji)</w:t>
            </w:r>
          </w:p>
          <w:p w:rsidR="00ED6132" w:rsidRPr="00ED6132" w:rsidRDefault="00ED6132" w:rsidP="00ED6132">
            <w:pPr>
              <w:ind w:firstLine="0"/>
              <w:jc w:val="left"/>
              <w:rPr>
                <w:i/>
                <w:sz w:val="18"/>
                <w:szCs w:val="18"/>
              </w:rPr>
            </w:pPr>
            <w:r w:rsidRPr="00ED6132">
              <w:rPr>
                <w:i/>
                <w:sz w:val="18"/>
                <w:szCs w:val="18"/>
              </w:rPr>
              <w:t>Zgodnie z zasadami rozbudzania potencjału rozwojowego odpowiednich obszarów mechanizmami dyfuzji i absorbcji oraz polityką spójności społecznej, co daje w efekcie zwiększenie potencjału konkurencyjności Polski</w:t>
            </w:r>
          </w:p>
        </w:tc>
        <w:tc>
          <w:tcPr>
            <w:tcW w:w="1409"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09"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0C2F23">
            <w:pPr>
              <w:spacing w:before="0"/>
              <w:ind w:firstLine="0"/>
              <w:jc w:val="left"/>
              <w:rPr>
                <w:sz w:val="18"/>
                <w:szCs w:val="18"/>
              </w:rPr>
            </w:pPr>
            <w:r w:rsidRPr="00ED6132">
              <w:rPr>
                <w:sz w:val="18"/>
                <w:szCs w:val="18"/>
              </w:rPr>
              <w:t xml:space="preserve">Obszar efektywności i sprawności państwa (efektywności) </w:t>
            </w:r>
          </w:p>
          <w:p w:rsidR="00ED6132" w:rsidRPr="00ED6132" w:rsidRDefault="00ED6132" w:rsidP="00ED6132">
            <w:pPr>
              <w:ind w:firstLine="0"/>
              <w:jc w:val="left"/>
              <w:rPr>
                <w:i/>
                <w:sz w:val="18"/>
                <w:szCs w:val="18"/>
              </w:rPr>
            </w:pPr>
            <w:r w:rsidRPr="00ED6132">
              <w:rPr>
                <w:i/>
                <w:sz w:val="18"/>
                <w:szCs w:val="18"/>
              </w:rPr>
              <w:t xml:space="preserve">Usprawniający funkcje przyjaznego i pomocnego państwa (nie </w:t>
            </w:r>
            <w:proofErr w:type="spellStart"/>
            <w:r w:rsidRPr="00ED6132">
              <w:rPr>
                <w:i/>
                <w:sz w:val="18"/>
                <w:szCs w:val="18"/>
              </w:rPr>
              <w:t>nadodpowiedzialnego</w:t>
            </w:r>
            <w:proofErr w:type="spellEnd"/>
            <w:r w:rsidRPr="00ED6132">
              <w:rPr>
                <w:i/>
                <w:sz w:val="18"/>
                <w:szCs w:val="18"/>
              </w:rPr>
              <w:t>) działającego efektywnie w kluczowych obszarach interwencji</w:t>
            </w:r>
          </w:p>
        </w:tc>
        <w:tc>
          <w:tcPr>
            <w:tcW w:w="1409"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09"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bl>
    <w:p w:rsidR="00770852" w:rsidRPr="001D46F9" w:rsidRDefault="00770852" w:rsidP="00770852">
      <w:pPr>
        <w:rPr>
          <w:b/>
        </w:rPr>
      </w:pPr>
      <w:bookmarkStart w:id="95" w:name="_Toc138068792"/>
      <w:r w:rsidRPr="001D46F9">
        <w:rPr>
          <w:b/>
        </w:rPr>
        <w:t>Plan zarządzania ryzykiem powodziowym dla obszaru dorzecza Wisły</w:t>
      </w:r>
    </w:p>
    <w:p w:rsidR="00770852" w:rsidRDefault="00770852" w:rsidP="00770852">
      <w:pPr>
        <w:spacing w:after="0"/>
      </w:pPr>
      <w:r>
        <w:t xml:space="preserve">Obszar </w:t>
      </w:r>
      <w:proofErr w:type="gramStart"/>
      <w:r>
        <w:t xml:space="preserve">HOF </w:t>
      </w:r>
      <w:r w:rsidRPr="001D46F9">
        <w:t>jako</w:t>
      </w:r>
      <w:proofErr w:type="gramEnd"/>
      <w:r w:rsidRPr="001D46F9">
        <w:t xml:space="preserve"> obszar położony w regionie Środkowej Wisły objęt</w:t>
      </w:r>
      <w:r>
        <w:t>y</w:t>
      </w:r>
      <w:r w:rsidRPr="001D46F9">
        <w:t xml:space="preserve"> jest Planem zarządzania ryzykiem powodziowym. Strategia </w:t>
      </w:r>
      <w:r w:rsidRPr="00770852">
        <w:t>rozwoju ponadlokalnego Hrubieszowskiego Obszaru Funkcjonalnego na lata 2021 – 2030</w:t>
      </w:r>
      <w:r>
        <w:t xml:space="preserve"> </w:t>
      </w:r>
      <w:r w:rsidRPr="001D46F9">
        <w:t>przyczynia się do realizacji celu Planu, zgodn</w:t>
      </w:r>
      <w:r>
        <w:t>ego</w:t>
      </w:r>
      <w:r w:rsidRPr="001D46F9">
        <w:t xml:space="preserve"> z ustawą - Prawo wodne, tj. ograniczenie potencjalnych negatywnych skutków powodzi dla życia i zdrowia ludzi, środowiska, dziedzictwa kulturowego oraz działalności gospodarczej. </w:t>
      </w:r>
      <w:proofErr w:type="gramStart"/>
      <w:r w:rsidRPr="001D46F9">
        <w:t>Realizacja  celu</w:t>
      </w:r>
      <w:proofErr w:type="gramEnd"/>
      <w:r w:rsidRPr="001D46F9">
        <w:t xml:space="preserve"> nadrzędnego Planu umożliwiają 3 cele główne, tj.: </w:t>
      </w:r>
    </w:p>
    <w:p w:rsidR="00770852" w:rsidRPr="00770852" w:rsidRDefault="00770852" w:rsidP="00770852">
      <w:pPr>
        <w:pStyle w:val="Tekstkomentarza"/>
        <w:numPr>
          <w:ilvl w:val="0"/>
          <w:numId w:val="97"/>
        </w:numPr>
        <w:ind w:left="567"/>
        <w:rPr>
          <w:sz w:val="22"/>
        </w:rPr>
      </w:pPr>
      <w:proofErr w:type="gramStart"/>
      <w:r w:rsidRPr="00770852">
        <w:rPr>
          <w:sz w:val="22"/>
        </w:rPr>
        <w:t>zahamowanie</w:t>
      </w:r>
      <w:proofErr w:type="gramEnd"/>
      <w:r w:rsidRPr="00770852">
        <w:rPr>
          <w:sz w:val="22"/>
        </w:rPr>
        <w:t xml:space="preserve"> wzrostu ryzyka powodziowego, </w:t>
      </w:r>
    </w:p>
    <w:p w:rsidR="00770852" w:rsidRPr="00770852" w:rsidRDefault="00770852" w:rsidP="00770852">
      <w:pPr>
        <w:pStyle w:val="Tekstkomentarza"/>
        <w:numPr>
          <w:ilvl w:val="0"/>
          <w:numId w:val="97"/>
        </w:numPr>
        <w:ind w:left="567"/>
        <w:rPr>
          <w:sz w:val="22"/>
        </w:rPr>
      </w:pPr>
      <w:proofErr w:type="gramStart"/>
      <w:r w:rsidRPr="00770852">
        <w:rPr>
          <w:sz w:val="22"/>
        </w:rPr>
        <w:t>obniżenie</w:t>
      </w:r>
      <w:proofErr w:type="gramEnd"/>
      <w:r w:rsidRPr="00770852">
        <w:rPr>
          <w:sz w:val="22"/>
        </w:rPr>
        <w:t xml:space="preserve"> istniejącego ryzyka powodziowego</w:t>
      </w:r>
    </w:p>
    <w:p w:rsidR="00770852" w:rsidRPr="00770852" w:rsidRDefault="00770852" w:rsidP="00770852">
      <w:pPr>
        <w:pStyle w:val="Tekstkomentarza"/>
        <w:numPr>
          <w:ilvl w:val="0"/>
          <w:numId w:val="97"/>
        </w:numPr>
        <w:ind w:left="567"/>
        <w:rPr>
          <w:sz w:val="22"/>
        </w:rPr>
      </w:pPr>
      <w:proofErr w:type="gramStart"/>
      <w:r w:rsidRPr="00770852">
        <w:rPr>
          <w:sz w:val="22"/>
        </w:rPr>
        <w:t>poprawa</w:t>
      </w:r>
      <w:proofErr w:type="gramEnd"/>
      <w:r w:rsidRPr="00770852">
        <w:rPr>
          <w:sz w:val="22"/>
        </w:rPr>
        <w:t xml:space="preserve"> systemu zarządzania ryzykiem powodziowym.</w:t>
      </w:r>
    </w:p>
    <w:p w:rsidR="00770852" w:rsidRDefault="00770852" w:rsidP="00770852">
      <w:r w:rsidRPr="001D46F9">
        <w:t xml:space="preserve"> W dokumencie Strategii zawarto zapisy umożliwiające realizację założeń Planu zarządzania ryzykiem powodziowym dla obszaru dorzecza Wisły. </w:t>
      </w:r>
    </w:p>
    <w:p w:rsidR="00770852" w:rsidRDefault="00770852" w:rsidP="00770852">
      <w:pPr>
        <w:rPr>
          <w:b/>
        </w:rPr>
      </w:pPr>
    </w:p>
    <w:p w:rsidR="00770852" w:rsidRPr="001D46F9" w:rsidRDefault="00770852" w:rsidP="00770852">
      <w:pPr>
        <w:rPr>
          <w:b/>
        </w:rPr>
      </w:pPr>
      <w:r w:rsidRPr="001D46F9">
        <w:rPr>
          <w:b/>
        </w:rPr>
        <w:lastRenderedPageBreak/>
        <w:t>Plan gospodarowania wodami na obszarze dorzecza Wisły</w:t>
      </w:r>
    </w:p>
    <w:p w:rsidR="00770852" w:rsidRDefault="00770852" w:rsidP="00770852">
      <w:r w:rsidRPr="001D46F9">
        <w:t xml:space="preserve">Kolejnym dokumentem odnoszącym się do stanu i potencjału ekologicznego i chemicznego wód powierzchniowych i podziemnych na obszarze </w:t>
      </w:r>
      <w:r>
        <w:t>HOF</w:t>
      </w:r>
      <w:r w:rsidRPr="001D46F9">
        <w:t xml:space="preserve"> jest Plan gospodarowania wodami na obszarze dorzecza Wisły. Przedmiotowa Strategia nie narusza założeń Planu, a realizacja przedsięwzięć ujętych w celu </w:t>
      </w:r>
      <w:r w:rsidR="000E1C1D">
        <w:t xml:space="preserve">II </w:t>
      </w:r>
      <w:r w:rsidR="000E1C1D" w:rsidRPr="000E1C1D">
        <w:t>2.</w:t>
      </w:r>
      <w:r w:rsidR="000E1C1D">
        <w:t xml:space="preserve"> Czyste środowisko i adaptacja do zmian klimatu </w:t>
      </w:r>
      <w:r w:rsidRPr="001D46F9">
        <w:t>umożliwi utrzymanie lub poprawę stanu jednolitych części wód.</w:t>
      </w:r>
    </w:p>
    <w:p w:rsidR="000E1C1D" w:rsidRPr="001D46F9" w:rsidRDefault="000E1C1D" w:rsidP="000E1C1D">
      <w:r w:rsidRPr="001D46F9">
        <w:rPr>
          <w:b/>
        </w:rPr>
        <w:t>Plan przeciwdziałania skutkom suszy</w:t>
      </w:r>
    </w:p>
    <w:p w:rsidR="000E1C1D" w:rsidRPr="001D46F9" w:rsidRDefault="000E1C1D" w:rsidP="000E1C1D">
      <w:r w:rsidRPr="001D46F9">
        <w:t>Dokument Strategii</w:t>
      </w:r>
      <w:r>
        <w:t xml:space="preserve"> </w:t>
      </w:r>
      <w:r w:rsidRPr="000E1C1D">
        <w:t>rozwoju ponadlokalnego Hrubieszowskiego Obszaru Funkcjonalnego na lata 2021 – 2030</w:t>
      </w:r>
      <w:r w:rsidRPr="001D46F9">
        <w:t xml:space="preserve"> obejmuje szereg działań i przedsięwzięć przyczyniających się do osiągniecia celów szczegółowych Planu przeciwdziałania skutkom suszy tj. </w:t>
      </w:r>
    </w:p>
    <w:p w:rsidR="000E1C1D" w:rsidRPr="001D46F9" w:rsidRDefault="000E1C1D" w:rsidP="000E1C1D">
      <w:pPr>
        <w:pStyle w:val="Akapitzlist"/>
        <w:numPr>
          <w:ilvl w:val="0"/>
          <w:numId w:val="98"/>
        </w:numPr>
        <w:spacing w:after="120"/>
      </w:pPr>
      <w:proofErr w:type="gramStart"/>
      <w:r w:rsidRPr="001D46F9">
        <w:t>skuteczne</w:t>
      </w:r>
      <w:proofErr w:type="gramEnd"/>
      <w:r w:rsidRPr="001D46F9">
        <w:t xml:space="preserve"> zarządzanie zasobami wodnymi dla zwiększenia dyspozycyjnych zasobów wodnych na obszarach dorzeczy;</w:t>
      </w:r>
    </w:p>
    <w:p w:rsidR="000E1C1D" w:rsidRPr="001D46F9" w:rsidRDefault="000E1C1D" w:rsidP="000E1C1D">
      <w:pPr>
        <w:pStyle w:val="Akapitzlist"/>
        <w:numPr>
          <w:ilvl w:val="0"/>
          <w:numId w:val="98"/>
        </w:numPr>
        <w:spacing w:after="120"/>
      </w:pPr>
      <w:proofErr w:type="gramStart"/>
      <w:r w:rsidRPr="001D46F9">
        <w:t>zwiększanie</w:t>
      </w:r>
      <w:proofErr w:type="gramEnd"/>
      <w:r w:rsidRPr="001D46F9">
        <w:t xml:space="preserve"> retencji na obszarach dorzeczy; </w:t>
      </w:r>
    </w:p>
    <w:p w:rsidR="000E1C1D" w:rsidRPr="001D46F9" w:rsidRDefault="000E1C1D" w:rsidP="000E1C1D">
      <w:pPr>
        <w:pStyle w:val="Akapitzlist"/>
        <w:numPr>
          <w:ilvl w:val="0"/>
          <w:numId w:val="98"/>
        </w:numPr>
        <w:spacing w:after="120"/>
      </w:pPr>
      <w:proofErr w:type="gramStart"/>
      <w:r w:rsidRPr="001D46F9">
        <w:t>edukacja</w:t>
      </w:r>
      <w:proofErr w:type="gramEnd"/>
      <w:r w:rsidRPr="001D46F9">
        <w:t xml:space="preserve"> i zarządzanie ryzykiem suszy; </w:t>
      </w:r>
    </w:p>
    <w:p w:rsidR="000E1C1D" w:rsidRPr="001D46F9" w:rsidRDefault="000E1C1D" w:rsidP="000E1C1D">
      <w:pPr>
        <w:pStyle w:val="Akapitzlist"/>
        <w:numPr>
          <w:ilvl w:val="0"/>
          <w:numId w:val="98"/>
        </w:numPr>
        <w:spacing w:after="120"/>
      </w:pPr>
      <w:proofErr w:type="gramStart"/>
      <w:r w:rsidRPr="001D46F9">
        <w:t>formalizacja</w:t>
      </w:r>
      <w:proofErr w:type="gramEnd"/>
      <w:r w:rsidRPr="001D46F9">
        <w:t xml:space="preserve"> i zaplanowanie finansowania działań służących przeciwdziałaniu skutkom suszy.</w:t>
      </w:r>
    </w:p>
    <w:p w:rsidR="000E1C1D" w:rsidRPr="001D46F9" w:rsidRDefault="000E1C1D" w:rsidP="000E1C1D">
      <w:r>
        <w:t>Obszar HOF został przypisany</w:t>
      </w:r>
      <w:r w:rsidRPr="001D46F9">
        <w:t xml:space="preserve"> do klasy </w:t>
      </w:r>
      <w:r>
        <w:t>silnego</w:t>
      </w:r>
      <w:r w:rsidRPr="001D46F9">
        <w:t xml:space="preserve"> zagrożenia suszą</w:t>
      </w:r>
      <w:r>
        <w:t xml:space="preserve"> hydrologiczną</w:t>
      </w:r>
      <w:r w:rsidRPr="001D46F9">
        <w:t xml:space="preserve">. Najbardziej zauważalna na tym obszarze jest susza hydrologiczna charakteryzująca się obniżonym zasobem wód powierzchniowych. Susza ta jest z reguły kolejnym etapem pogłębiającej się suszy atmosferycznej i rolniczej, ale może również ujawnić się i przebiegać po zakończeniu okresu bezopadowego. </w:t>
      </w:r>
    </w:p>
    <w:p w:rsidR="000E1C1D" w:rsidRPr="001D46F9" w:rsidRDefault="000E1C1D" w:rsidP="000E1C1D">
      <w:r w:rsidRPr="001D46F9">
        <w:t xml:space="preserve">Wśród działań Strategii przyczyniających się do przeciwdziałania skutkom suszy należy wymienić m.in. budowę zbiornika retencyjnego.  </w:t>
      </w:r>
    </w:p>
    <w:p w:rsidR="00ED6132" w:rsidRPr="00ED6132" w:rsidRDefault="00ED6132" w:rsidP="00A13FA7">
      <w:pPr>
        <w:keepNext/>
        <w:keepLines/>
        <w:numPr>
          <w:ilvl w:val="1"/>
          <w:numId w:val="8"/>
        </w:numPr>
        <w:spacing w:before="200" w:after="0"/>
        <w:jc w:val="left"/>
        <w:outlineLvl w:val="1"/>
        <w:rPr>
          <w:rFonts w:ascii="Candara" w:eastAsia="Times New Roman" w:hAnsi="Candara" w:cs="Times New Roman"/>
          <w:b/>
          <w:bCs/>
          <w:color w:val="31B6FD"/>
          <w:sz w:val="26"/>
          <w:szCs w:val="26"/>
        </w:rPr>
      </w:pPr>
      <w:r w:rsidRPr="00ED6132">
        <w:rPr>
          <w:rFonts w:ascii="Candara" w:eastAsia="Times New Roman" w:hAnsi="Candara" w:cs="Times New Roman"/>
          <w:b/>
          <w:bCs/>
          <w:color w:val="31B6FD"/>
          <w:sz w:val="26"/>
          <w:szCs w:val="26"/>
        </w:rPr>
        <w:t>Zgodność ze Strategią Rozwoju Województwa Lubelskiego do 2030 roku i wyznaczonymi obszarami strategicznej interwencji</w:t>
      </w:r>
      <w:bookmarkEnd w:id="95"/>
    </w:p>
    <w:p w:rsidR="00ED6132" w:rsidRPr="00ED6132" w:rsidRDefault="00ED6132" w:rsidP="00ED6132">
      <w:pPr>
        <w:rPr>
          <w:rFonts w:ascii="Calibri" w:eastAsia="Calibri" w:hAnsi="Calibri" w:cs="Times New Roman"/>
        </w:rPr>
      </w:pPr>
      <w:r w:rsidRPr="00ED6132">
        <w:rPr>
          <w:rFonts w:ascii="Calibri" w:eastAsia="Calibri" w:hAnsi="Calibri" w:cs="Times New Roman"/>
        </w:rPr>
        <w:t>Hrubieszowski Obszar Funkcjonalny zgodnie z założeniami dokumentu Strategii Rozwoju Województwa Lubelskiego do 2030 roku zlokalizowany jest w granicach Żywicielskiego Obszaru Strategicznej Interwencji. Żywicielski Obszar funkcjonalny obejmuje tereny Wyżyny Lubelskiej i Wyżyny Wołyńskiej charakteryzujące się dużą koncentracją gleb o najwyższej przydatności dla produkcji żywności oraz szczególnie przydatnych dla rozwoju rolnictwa towarowego.</w:t>
      </w:r>
    </w:p>
    <w:p w:rsidR="00ED6132" w:rsidRPr="00ED6132" w:rsidRDefault="00ED6132" w:rsidP="00ED6132">
      <w:pPr>
        <w:rPr>
          <w:rFonts w:ascii="Calibri" w:eastAsia="Calibri" w:hAnsi="Calibri" w:cs="Times New Roman"/>
        </w:rPr>
      </w:pPr>
      <w:r w:rsidRPr="00ED6132">
        <w:rPr>
          <w:rFonts w:ascii="Calibri" w:eastAsia="Calibri" w:hAnsi="Calibri" w:cs="Times New Roman"/>
        </w:rPr>
        <w:t>Przedmiotem zainteresowania polityki regionalnej w odniesieniu do ŻYWICIELSKIEGO obszaru funkcjonalnego będą działania:</w:t>
      </w:r>
    </w:p>
    <w:p w:rsidR="00ED6132" w:rsidRPr="00ED6132" w:rsidRDefault="00ED6132" w:rsidP="00ED6132">
      <w:pPr>
        <w:rPr>
          <w:rFonts w:ascii="Calibri" w:eastAsia="Calibri" w:hAnsi="Calibri" w:cs="Times New Roman"/>
          <w:bCs/>
        </w:rPr>
      </w:pPr>
      <w:r w:rsidRPr="00ED6132">
        <w:rPr>
          <w:rFonts w:ascii="Calibri" w:eastAsia="Calibri" w:hAnsi="Calibri" w:cs="Times New Roman"/>
          <w:bCs/>
        </w:rPr>
        <w:t>1.1 Poprawa konkurencyjności gospodarstw rolnych:</w:t>
      </w:r>
    </w:p>
    <w:p w:rsidR="00ED6132" w:rsidRPr="00ED6132" w:rsidRDefault="00ED6132" w:rsidP="00A13FA7">
      <w:pPr>
        <w:numPr>
          <w:ilvl w:val="0"/>
          <w:numId w:val="65"/>
        </w:numPr>
        <w:spacing w:before="0"/>
        <w:contextualSpacing/>
        <w:jc w:val="left"/>
        <w:rPr>
          <w:rFonts w:ascii="Calibri" w:eastAsia="Calibri" w:hAnsi="Calibri" w:cs="Times New Roman"/>
          <w:bCs/>
        </w:rPr>
      </w:pPr>
      <w:r w:rsidRPr="00ED6132">
        <w:rPr>
          <w:rFonts w:ascii="Calibri" w:eastAsia="Calibri" w:hAnsi="Calibri" w:cs="Times New Roman"/>
          <w:bCs/>
        </w:rPr>
        <w:t>Poprawa warunków wodnych, w tym retencjonowanie, melioracje i nawodnienia, ochrona i lepsze wykorzystanie wód;</w:t>
      </w:r>
    </w:p>
    <w:p w:rsidR="00ED6132" w:rsidRPr="00ED6132" w:rsidRDefault="00ED6132" w:rsidP="00A13FA7">
      <w:pPr>
        <w:numPr>
          <w:ilvl w:val="0"/>
          <w:numId w:val="65"/>
        </w:numPr>
        <w:spacing w:before="0"/>
        <w:contextualSpacing/>
        <w:jc w:val="left"/>
        <w:rPr>
          <w:rFonts w:ascii="Calibri" w:eastAsia="Calibri" w:hAnsi="Calibri" w:cs="Times New Roman"/>
          <w:bCs/>
        </w:rPr>
      </w:pPr>
      <w:r w:rsidRPr="00ED6132">
        <w:rPr>
          <w:rFonts w:ascii="Calibri" w:eastAsia="Calibri" w:hAnsi="Calibri" w:cs="Times New Roman"/>
          <w:bCs/>
        </w:rPr>
        <w:t>Ochrona gleb, w tym racjonalizacja stosowania chemicznych nawozów oraz środków ochrony roślin oraz stosowanie agrotechniki przeciwerozyjnej i </w:t>
      </w:r>
      <w:proofErr w:type="spellStart"/>
      <w:r w:rsidRPr="00ED6132">
        <w:rPr>
          <w:rFonts w:ascii="Calibri" w:eastAsia="Calibri" w:hAnsi="Calibri" w:cs="Times New Roman"/>
          <w:bCs/>
        </w:rPr>
        <w:t>zadrzewień</w:t>
      </w:r>
      <w:proofErr w:type="spellEnd"/>
      <w:r w:rsidRPr="00ED6132">
        <w:rPr>
          <w:rFonts w:ascii="Calibri" w:eastAsia="Calibri" w:hAnsi="Calibri" w:cs="Times New Roman"/>
          <w:bCs/>
        </w:rPr>
        <w:t xml:space="preserve"> śródpolnych;</w:t>
      </w:r>
    </w:p>
    <w:p w:rsidR="00ED6132" w:rsidRPr="00ED6132" w:rsidRDefault="00ED6132" w:rsidP="00A13FA7">
      <w:pPr>
        <w:numPr>
          <w:ilvl w:val="0"/>
          <w:numId w:val="65"/>
        </w:numPr>
        <w:spacing w:before="0"/>
        <w:contextualSpacing/>
        <w:jc w:val="left"/>
        <w:rPr>
          <w:rFonts w:ascii="Calibri" w:eastAsia="Calibri" w:hAnsi="Calibri" w:cs="Times New Roman"/>
          <w:bCs/>
        </w:rPr>
      </w:pPr>
      <w:r w:rsidRPr="00ED6132">
        <w:rPr>
          <w:rFonts w:ascii="Calibri" w:eastAsia="Calibri" w:hAnsi="Calibri" w:cs="Times New Roman"/>
          <w:bCs/>
        </w:rPr>
        <w:t>Rozwój lokalnych specjalizacji rolnych m.in. w oparciu o odtworzenie historycznie ukształtowanych lub wykorzystanie nowych, niszowych kierunków produkcji;</w:t>
      </w:r>
    </w:p>
    <w:p w:rsidR="00ED6132" w:rsidRPr="00ED6132" w:rsidRDefault="00ED6132" w:rsidP="00A13FA7">
      <w:pPr>
        <w:numPr>
          <w:ilvl w:val="0"/>
          <w:numId w:val="65"/>
        </w:numPr>
        <w:spacing w:before="0"/>
        <w:contextualSpacing/>
        <w:jc w:val="left"/>
        <w:rPr>
          <w:rFonts w:ascii="Calibri" w:eastAsia="Calibri" w:hAnsi="Calibri" w:cs="Times New Roman"/>
          <w:bCs/>
        </w:rPr>
      </w:pPr>
      <w:r w:rsidRPr="00ED6132">
        <w:rPr>
          <w:rFonts w:ascii="Calibri" w:eastAsia="Calibri" w:hAnsi="Calibri" w:cs="Times New Roman"/>
          <w:bCs/>
        </w:rPr>
        <w:lastRenderedPageBreak/>
        <w:t>Poprawa struktury wielkościowej i organizacyjnej gospodarstw rolnych;</w:t>
      </w:r>
    </w:p>
    <w:p w:rsidR="00ED6132" w:rsidRPr="00ED6132" w:rsidRDefault="00ED6132" w:rsidP="00A13FA7">
      <w:pPr>
        <w:numPr>
          <w:ilvl w:val="0"/>
          <w:numId w:val="65"/>
        </w:numPr>
        <w:spacing w:before="0"/>
        <w:contextualSpacing/>
        <w:jc w:val="left"/>
        <w:rPr>
          <w:rFonts w:ascii="Calibri" w:eastAsia="Calibri" w:hAnsi="Calibri" w:cs="Times New Roman"/>
          <w:bCs/>
        </w:rPr>
      </w:pPr>
      <w:r w:rsidRPr="00ED6132">
        <w:rPr>
          <w:rFonts w:ascii="Calibri" w:eastAsia="Calibri" w:hAnsi="Calibri" w:cs="Times New Roman"/>
          <w:bCs/>
        </w:rPr>
        <w:t xml:space="preserve">Rozwój agroturystyki i turystyki </w:t>
      </w:r>
      <w:proofErr w:type="gramStart"/>
      <w:r w:rsidRPr="00ED6132">
        <w:rPr>
          <w:rFonts w:ascii="Calibri" w:eastAsia="Calibri" w:hAnsi="Calibri" w:cs="Times New Roman"/>
          <w:bCs/>
        </w:rPr>
        <w:t>wiejskiej jako</w:t>
      </w:r>
      <w:proofErr w:type="gramEnd"/>
      <w:r w:rsidRPr="00ED6132">
        <w:rPr>
          <w:rFonts w:ascii="Calibri" w:eastAsia="Calibri" w:hAnsi="Calibri" w:cs="Times New Roman"/>
          <w:bCs/>
        </w:rPr>
        <w:t xml:space="preserve"> istotnego elementu regionalnej oferty turystycznej oraz ważnego czynnika poprawy ekonomicznej gospodarstw rolnych;</w:t>
      </w:r>
    </w:p>
    <w:p w:rsidR="00ED6132" w:rsidRPr="00ED6132" w:rsidRDefault="00ED6132" w:rsidP="00ED6132">
      <w:pPr>
        <w:rPr>
          <w:rFonts w:ascii="Calibri" w:eastAsia="Calibri" w:hAnsi="Calibri" w:cs="Times New Roman"/>
          <w:bCs/>
        </w:rPr>
      </w:pPr>
      <w:r w:rsidRPr="00ED6132">
        <w:rPr>
          <w:rFonts w:ascii="Calibri" w:eastAsia="Calibri" w:hAnsi="Calibri" w:cs="Times New Roman"/>
          <w:bCs/>
        </w:rPr>
        <w:t>1.2 Rozwój przedsiębiorczości wykorzystującej surowce rolne:</w:t>
      </w:r>
    </w:p>
    <w:p w:rsidR="00ED6132" w:rsidRPr="00ED6132" w:rsidRDefault="00ED6132" w:rsidP="00A13FA7">
      <w:pPr>
        <w:numPr>
          <w:ilvl w:val="0"/>
          <w:numId w:val="66"/>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Rozwój podmiotów przetwórstwa rolno-spożywczego;</w:t>
      </w:r>
    </w:p>
    <w:p w:rsidR="00ED6132" w:rsidRPr="00ED6132" w:rsidRDefault="00ED6132" w:rsidP="00A13FA7">
      <w:pPr>
        <w:numPr>
          <w:ilvl w:val="0"/>
          <w:numId w:val="66"/>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Rozwój infrastruktury i obiektów przechowalniczych;</w:t>
      </w:r>
    </w:p>
    <w:p w:rsidR="00ED6132" w:rsidRPr="00ED6132" w:rsidRDefault="00ED6132" w:rsidP="00A13FA7">
      <w:pPr>
        <w:numPr>
          <w:ilvl w:val="0"/>
          <w:numId w:val="66"/>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Tworzenie warunków oraz działania na rzecz lokalizacji na terenie województwa lubelskiego siedziby oraz podmiotów Krajowej Grupy Spożywczej;</w:t>
      </w:r>
    </w:p>
    <w:p w:rsidR="00ED6132" w:rsidRPr="00ED6132" w:rsidRDefault="00ED6132" w:rsidP="00ED6132">
      <w:pPr>
        <w:rPr>
          <w:rFonts w:ascii="Calibri" w:eastAsia="Calibri" w:hAnsi="Calibri" w:cs="Times New Roman"/>
          <w:bCs/>
        </w:rPr>
      </w:pPr>
      <w:r w:rsidRPr="00ED6132">
        <w:rPr>
          <w:rFonts w:ascii="Calibri" w:eastAsia="Calibri" w:hAnsi="Calibri" w:cs="Times New Roman"/>
          <w:bCs/>
        </w:rPr>
        <w:t>2.1 Zrównoważony rozwój systemów infrastruktury technicznej:</w:t>
      </w:r>
    </w:p>
    <w:p w:rsidR="00ED6132" w:rsidRPr="00ED6132" w:rsidRDefault="00ED6132" w:rsidP="00A13FA7">
      <w:pPr>
        <w:numPr>
          <w:ilvl w:val="0"/>
          <w:numId w:val="67"/>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Poprawa regionalnych i międzyregionalnych powiązań komunikacyjnych z uwzględnieniem szkieletowego układu dróg ekspresowych (S19, S17 i S12) oraz planowanej autostrady A2, w tym budowa obwodnic miast;</w:t>
      </w:r>
    </w:p>
    <w:p w:rsidR="00ED6132" w:rsidRPr="00ED6132" w:rsidRDefault="00ED6132" w:rsidP="00A13FA7">
      <w:pPr>
        <w:numPr>
          <w:ilvl w:val="0"/>
          <w:numId w:val="67"/>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Poprawa regionalnych i międzyregionalnych połączeń kolejowych z uwzględnieniem Programu Kolejowego CPK Centralny Port Komunikacyjny;</w:t>
      </w:r>
    </w:p>
    <w:p w:rsidR="00ED6132" w:rsidRPr="00ED6132" w:rsidRDefault="00ED6132" w:rsidP="00ED6132">
      <w:pPr>
        <w:rPr>
          <w:rFonts w:ascii="Calibri" w:eastAsia="Calibri" w:hAnsi="Calibri" w:cs="Times New Roman"/>
          <w:bCs/>
        </w:rPr>
      </w:pPr>
      <w:r w:rsidRPr="00ED6132">
        <w:rPr>
          <w:rFonts w:ascii="Calibri" w:eastAsia="Calibri" w:hAnsi="Calibri" w:cs="Times New Roman"/>
          <w:bCs/>
        </w:rPr>
        <w:t>2.4 Ochrona walorów środowiska:</w:t>
      </w:r>
    </w:p>
    <w:p w:rsidR="00ED6132" w:rsidRPr="00ED6132" w:rsidRDefault="00ED6132" w:rsidP="00A13FA7">
      <w:pPr>
        <w:numPr>
          <w:ilvl w:val="0"/>
          <w:numId w:val="68"/>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Ochrona wartości przyrodniczych, w tym krajobrazu, siedlisk i bioróżnorodności;</w:t>
      </w:r>
    </w:p>
    <w:p w:rsidR="00ED6132" w:rsidRPr="00ED6132" w:rsidRDefault="00ED6132" w:rsidP="00A13FA7">
      <w:pPr>
        <w:numPr>
          <w:ilvl w:val="0"/>
          <w:numId w:val="68"/>
        </w:numPr>
        <w:spacing w:before="0" w:after="0"/>
        <w:ind w:left="709"/>
        <w:contextualSpacing/>
        <w:jc w:val="left"/>
        <w:rPr>
          <w:rFonts w:ascii="Calibri" w:eastAsia="Calibri" w:hAnsi="Calibri" w:cs="Times New Roman"/>
          <w:bCs/>
        </w:rPr>
      </w:pPr>
      <w:r w:rsidRPr="00ED6132">
        <w:rPr>
          <w:rFonts w:ascii="Calibri" w:eastAsia="Calibri" w:hAnsi="Calibri" w:cs="Times New Roman"/>
        </w:rPr>
        <w:t xml:space="preserve">Wspieranie działań na rzecz ochrony i kształtowania zasobów wodnych, w tym racjonalizacji wielkości poboru wody, rozwój i modernizacja oczyszczalni ścieków, zwiększanie małej retencji i </w:t>
      </w:r>
      <w:proofErr w:type="spellStart"/>
      <w:r w:rsidRPr="00ED6132">
        <w:rPr>
          <w:rFonts w:ascii="Calibri" w:eastAsia="Calibri" w:hAnsi="Calibri" w:cs="Times New Roman"/>
        </w:rPr>
        <w:t>renaturyzacji</w:t>
      </w:r>
      <w:proofErr w:type="spellEnd"/>
      <w:r w:rsidRPr="00ED6132">
        <w:rPr>
          <w:rFonts w:ascii="Calibri" w:eastAsia="Calibri" w:hAnsi="Calibri" w:cs="Times New Roman"/>
        </w:rPr>
        <w:t xml:space="preserve"> rzek.</w:t>
      </w:r>
    </w:p>
    <w:p w:rsidR="00ED6132" w:rsidRPr="00ED6132" w:rsidRDefault="00ED6132" w:rsidP="00ED6132">
      <w:pPr>
        <w:rPr>
          <w:rFonts w:ascii="Calibri" w:eastAsia="Calibri" w:hAnsi="Calibri" w:cs="Times New Roman"/>
          <w:bCs/>
        </w:rPr>
      </w:pPr>
      <w:r w:rsidRPr="00ED6132">
        <w:rPr>
          <w:rFonts w:ascii="Calibri" w:eastAsia="Calibri" w:hAnsi="Calibri" w:cs="Times New Roman"/>
          <w:bCs/>
        </w:rPr>
        <w:t>3.4 Innowacyjne wykorzystanie walorów przyrodniczo-kulturowych, rozwój sportu i usług wolnego czasu:</w:t>
      </w:r>
    </w:p>
    <w:p w:rsidR="00ED6132" w:rsidRPr="00ED6132" w:rsidRDefault="00ED6132" w:rsidP="00A13FA7">
      <w:pPr>
        <w:numPr>
          <w:ilvl w:val="0"/>
          <w:numId w:val="68"/>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Kreowanie, rozwijanie oferty i infrastruktury ośrodków łączących funkcje edukacyjne, kulturalne i rekreacyjne, wykorzystujących nowe trendy w turystyce;</w:t>
      </w:r>
    </w:p>
    <w:p w:rsidR="00ED6132" w:rsidRPr="00ED6132" w:rsidRDefault="00ED6132" w:rsidP="00A13FA7">
      <w:pPr>
        <w:numPr>
          <w:ilvl w:val="0"/>
          <w:numId w:val="68"/>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Rozwijanie produktów i oferty wydarzeń wykorzystujących unikalne zasoby lokalne (np. kuchnię, wydarzenia historyczne, tradycje, materialne i niematerialne dziedzictwo kulturowe, walory środowiskowe, wydarzenia związane z przejawami współczesnej twórczości artystycznej, wydarzenia sportowe);</w:t>
      </w:r>
    </w:p>
    <w:p w:rsidR="00ED6132" w:rsidRPr="00ED6132" w:rsidRDefault="00ED6132" w:rsidP="00A13FA7">
      <w:pPr>
        <w:numPr>
          <w:ilvl w:val="0"/>
          <w:numId w:val="68"/>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Organizacja punktów usług i obsługi turystycznej dla turystyki zmotoryzowanej (np. </w:t>
      </w:r>
      <w:proofErr w:type="spellStart"/>
      <w:r w:rsidRPr="00ED6132">
        <w:rPr>
          <w:rFonts w:ascii="Calibri" w:eastAsia="Calibri" w:hAnsi="Calibri" w:cs="Times New Roman"/>
          <w:bCs/>
        </w:rPr>
        <w:t>caravanning</w:t>
      </w:r>
      <w:proofErr w:type="spellEnd"/>
      <w:r w:rsidRPr="00ED6132">
        <w:rPr>
          <w:rFonts w:ascii="Calibri" w:eastAsia="Calibri" w:hAnsi="Calibri" w:cs="Times New Roman"/>
          <w:bCs/>
        </w:rPr>
        <w:t>, turystyka motocyklowa);</w:t>
      </w:r>
    </w:p>
    <w:p w:rsidR="00ED6132" w:rsidRPr="00ED6132" w:rsidRDefault="00ED6132" w:rsidP="00A13FA7">
      <w:pPr>
        <w:numPr>
          <w:ilvl w:val="0"/>
          <w:numId w:val="68"/>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 xml:space="preserve">Rozwój infrastruktury sprzyjającej tworzeniu zróżnicowanej oferty opartej o różne formy turystyki (np. kajakową, rowerową, </w:t>
      </w:r>
      <w:proofErr w:type="spellStart"/>
      <w:r w:rsidRPr="00ED6132">
        <w:rPr>
          <w:rFonts w:ascii="Calibri" w:eastAsia="Calibri" w:hAnsi="Calibri" w:cs="Times New Roman"/>
          <w:bCs/>
        </w:rPr>
        <w:t>nordic</w:t>
      </w:r>
      <w:proofErr w:type="spellEnd"/>
      <w:r w:rsidRPr="00ED6132">
        <w:rPr>
          <w:rFonts w:ascii="Calibri" w:eastAsia="Calibri" w:hAnsi="Calibri" w:cs="Times New Roman"/>
          <w:bCs/>
        </w:rPr>
        <w:t xml:space="preserve"> </w:t>
      </w:r>
      <w:proofErr w:type="spellStart"/>
      <w:r w:rsidRPr="00ED6132">
        <w:rPr>
          <w:rFonts w:ascii="Calibri" w:eastAsia="Calibri" w:hAnsi="Calibri" w:cs="Times New Roman"/>
          <w:bCs/>
        </w:rPr>
        <w:t>walking</w:t>
      </w:r>
      <w:proofErr w:type="spellEnd"/>
      <w:r w:rsidRPr="00ED6132">
        <w:rPr>
          <w:rFonts w:ascii="Calibri" w:eastAsia="Calibri" w:hAnsi="Calibri" w:cs="Times New Roman"/>
          <w:bCs/>
        </w:rPr>
        <w:t>, konną, kulturową, historyczną, przyrodniczą, kulinarną itp.);</w:t>
      </w:r>
    </w:p>
    <w:p w:rsidR="00ED6132" w:rsidRPr="00ED6132" w:rsidRDefault="00ED6132" w:rsidP="00A13FA7">
      <w:pPr>
        <w:numPr>
          <w:ilvl w:val="0"/>
          <w:numId w:val="68"/>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Wspieranie rozwoju przemysłów kreatywnych oraz przemysłów kultury, przedsiębiorczości bazującej na lokalnych zasobach, dziedzictwie kulturowym i usługach edukacyjnych;</w:t>
      </w:r>
    </w:p>
    <w:p w:rsidR="00ED6132" w:rsidRPr="00ED6132" w:rsidRDefault="00ED6132" w:rsidP="00A13FA7">
      <w:pPr>
        <w:numPr>
          <w:ilvl w:val="0"/>
          <w:numId w:val="68"/>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Ochrona zasobów dziedzictwa kulturowego, w tym poprzez rozwijanie funkcji użytkowej obiektów kulturowych;</w:t>
      </w:r>
    </w:p>
    <w:p w:rsidR="00ED6132" w:rsidRPr="00ED6132" w:rsidRDefault="00ED6132" w:rsidP="00ED6132">
      <w:pPr>
        <w:keepNext/>
        <w:spacing w:after="0" w:line="240" w:lineRule="auto"/>
        <w:rPr>
          <w:rFonts w:ascii="Calibri" w:eastAsia="Calibri" w:hAnsi="Calibri" w:cs="Times New Roman"/>
          <w:b/>
          <w:bCs/>
          <w:color w:val="00B0F0"/>
          <w:sz w:val="18"/>
          <w:szCs w:val="18"/>
        </w:rPr>
      </w:pPr>
      <w:bookmarkStart w:id="96" w:name="_Toc138068523"/>
      <w:r w:rsidRPr="00ED6132">
        <w:rPr>
          <w:rFonts w:ascii="Calibri" w:eastAsia="Calibri" w:hAnsi="Calibri" w:cs="Times New Roman"/>
          <w:b/>
          <w:bCs/>
          <w:color w:val="00B0F0"/>
          <w:sz w:val="18"/>
          <w:szCs w:val="18"/>
        </w:rPr>
        <w:lastRenderedPageBreak/>
        <w:t xml:space="preserve">Ryc. </w:t>
      </w:r>
      <w:r w:rsidRPr="00ED6132">
        <w:rPr>
          <w:rFonts w:ascii="Calibri" w:eastAsia="Calibri" w:hAnsi="Calibri" w:cs="Times New Roman"/>
          <w:b/>
          <w:bCs/>
          <w:color w:val="00B0F0"/>
          <w:sz w:val="18"/>
          <w:szCs w:val="18"/>
        </w:rPr>
        <w:fldChar w:fldCharType="begin"/>
      </w:r>
      <w:r w:rsidRPr="00ED6132">
        <w:rPr>
          <w:rFonts w:ascii="Calibri" w:eastAsia="Calibri" w:hAnsi="Calibri" w:cs="Times New Roman"/>
          <w:b/>
          <w:bCs/>
          <w:color w:val="00B0F0"/>
          <w:sz w:val="18"/>
          <w:szCs w:val="18"/>
        </w:rPr>
        <w:instrText xml:space="preserve"> SEQ Ryc. \* ARABIC </w:instrText>
      </w:r>
      <w:r w:rsidRPr="00ED6132">
        <w:rPr>
          <w:rFonts w:ascii="Calibri" w:eastAsia="Calibri" w:hAnsi="Calibri" w:cs="Times New Roman"/>
          <w:b/>
          <w:bCs/>
          <w:color w:val="00B0F0"/>
          <w:sz w:val="18"/>
          <w:szCs w:val="18"/>
        </w:rPr>
        <w:fldChar w:fldCharType="separate"/>
      </w:r>
      <w:r w:rsidR="0022657A">
        <w:rPr>
          <w:rFonts w:ascii="Calibri" w:eastAsia="Calibri" w:hAnsi="Calibri" w:cs="Times New Roman"/>
          <w:b/>
          <w:bCs/>
          <w:noProof/>
          <w:color w:val="00B0F0"/>
          <w:sz w:val="18"/>
          <w:szCs w:val="18"/>
        </w:rPr>
        <w:t>27</w:t>
      </w:r>
      <w:r w:rsidRPr="00ED6132">
        <w:rPr>
          <w:rFonts w:ascii="Calibri" w:eastAsia="Calibri" w:hAnsi="Calibri" w:cs="Times New Roman"/>
          <w:b/>
          <w:bCs/>
          <w:noProof/>
          <w:color w:val="00B0F0"/>
          <w:sz w:val="18"/>
          <w:szCs w:val="18"/>
        </w:rPr>
        <w:fldChar w:fldCharType="end"/>
      </w:r>
      <w:r w:rsidRPr="00ED6132">
        <w:rPr>
          <w:rFonts w:ascii="Calibri" w:eastAsia="Calibri" w:hAnsi="Calibri" w:cs="Times New Roman"/>
          <w:b/>
          <w:bCs/>
          <w:color w:val="00B0F0"/>
          <w:sz w:val="18"/>
          <w:szCs w:val="18"/>
        </w:rPr>
        <w:t xml:space="preserve">. </w:t>
      </w:r>
      <w:proofErr w:type="spellStart"/>
      <w:r w:rsidRPr="00ED6132">
        <w:rPr>
          <w:rFonts w:ascii="Calibri" w:eastAsia="Calibri" w:hAnsi="Calibri" w:cs="Times New Roman"/>
          <w:b/>
          <w:bCs/>
          <w:color w:val="00B0F0"/>
          <w:sz w:val="18"/>
          <w:szCs w:val="18"/>
        </w:rPr>
        <w:t>Subregionalne</w:t>
      </w:r>
      <w:proofErr w:type="spellEnd"/>
      <w:r w:rsidRPr="00ED6132">
        <w:rPr>
          <w:rFonts w:ascii="Calibri" w:eastAsia="Calibri" w:hAnsi="Calibri" w:cs="Times New Roman"/>
          <w:b/>
          <w:bCs/>
          <w:color w:val="00B0F0"/>
          <w:sz w:val="18"/>
          <w:szCs w:val="18"/>
        </w:rPr>
        <w:t xml:space="preserve"> Obszary Strategicznej Interwencji</w:t>
      </w:r>
      <w:bookmarkEnd w:id="96"/>
    </w:p>
    <w:p w:rsidR="00ED6132" w:rsidRPr="00ED6132" w:rsidRDefault="00ED6132" w:rsidP="00ED6132">
      <w:pPr>
        <w:spacing w:after="0"/>
        <w:rPr>
          <w:rFonts w:ascii="Calibri" w:eastAsia="Calibri" w:hAnsi="Calibri" w:cs="Times New Roman"/>
          <w:b/>
        </w:rPr>
      </w:pPr>
      <w:r w:rsidRPr="00ED6132">
        <w:rPr>
          <w:rFonts w:ascii="Calibri" w:eastAsia="Calibri" w:hAnsi="Calibri" w:cs="Times New Roman"/>
          <w:noProof/>
          <w:lang w:eastAsia="pl-PL"/>
        </w:rPr>
        <w:drawing>
          <wp:inline distT="0" distB="0" distL="0" distR="0" wp14:anchorId="26597CE9" wp14:editId="5219C492">
            <wp:extent cx="5187636" cy="8003263"/>
            <wp:effectExtent l="0" t="0" r="0"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zem osi.jpg"/>
                    <pic:cNvPicPr/>
                  </pic:nvPicPr>
                  <pic:blipFill rotWithShape="1">
                    <a:blip r:embed="rId119" cstate="print">
                      <a:extLst>
                        <a:ext uri="{28A0092B-C50C-407E-A947-70E740481C1C}">
                          <a14:useLocalDpi xmlns:a14="http://schemas.microsoft.com/office/drawing/2010/main" val="0"/>
                        </a:ext>
                      </a:extLst>
                    </a:blip>
                    <a:srcRect r="9882"/>
                    <a:stretch/>
                  </pic:blipFill>
                  <pic:spPr bwMode="auto">
                    <a:xfrm>
                      <a:off x="0" y="0"/>
                      <a:ext cx="5190285" cy="8007350"/>
                    </a:xfrm>
                    <a:prstGeom prst="rect">
                      <a:avLst/>
                    </a:prstGeom>
                    <a:ln>
                      <a:noFill/>
                    </a:ln>
                    <a:extLst>
                      <a:ext uri="{53640926-AAD7-44D8-BBD7-CCE9431645EC}">
                        <a14:shadowObscured xmlns:a14="http://schemas.microsoft.com/office/drawing/2010/main"/>
                      </a:ext>
                    </a:extLst>
                  </pic:spPr>
                </pic:pic>
              </a:graphicData>
            </a:graphic>
          </wp:inline>
        </w:drawing>
      </w:r>
    </w:p>
    <w:p w:rsidR="00ED6132" w:rsidRPr="00ED6132" w:rsidRDefault="00ED6132" w:rsidP="00ED6132">
      <w:pPr>
        <w:spacing w:before="0" w:after="120"/>
        <w:jc w:val="left"/>
        <w:rPr>
          <w:rFonts w:ascii="Calibri" w:eastAsia="Calibri" w:hAnsi="Calibri" w:cs="Times New Roman"/>
          <w:i/>
          <w:sz w:val="18"/>
        </w:rPr>
      </w:pPr>
      <w:r w:rsidRPr="00ED6132">
        <w:rPr>
          <w:rFonts w:ascii="Calibri" w:eastAsia="Calibri" w:hAnsi="Calibri" w:cs="Times New Roman"/>
          <w:i/>
          <w:sz w:val="18"/>
        </w:rPr>
        <w:t>Źródło: Opracowanie własne na podstawie Strategii Rozwoju Województwa Lubelskiego do 2030 roku</w:t>
      </w:r>
    </w:p>
    <w:p w:rsidR="00ED6132" w:rsidRPr="00ED6132" w:rsidRDefault="00ED6132" w:rsidP="00ED6132">
      <w:pPr>
        <w:rPr>
          <w:rFonts w:ascii="Calibri" w:eastAsia="Calibri" w:hAnsi="Calibri" w:cs="Times New Roman"/>
          <w:bCs/>
        </w:rPr>
      </w:pPr>
    </w:p>
    <w:p w:rsidR="00ED6132" w:rsidRPr="00ED6132" w:rsidRDefault="00ED6132" w:rsidP="00ED6132">
      <w:pPr>
        <w:rPr>
          <w:rFonts w:ascii="Calibri" w:eastAsia="Calibri" w:hAnsi="Calibri" w:cs="Times New Roman"/>
          <w:bCs/>
        </w:rPr>
      </w:pPr>
      <w:r w:rsidRPr="00ED6132">
        <w:rPr>
          <w:rFonts w:ascii="Calibri" w:eastAsia="Calibri" w:hAnsi="Calibri" w:cs="Times New Roman"/>
          <w:bCs/>
        </w:rPr>
        <w:lastRenderedPageBreak/>
        <w:t>4.4 Wzmocnienie współpracy transgranicznej i międzyregionalnej:</w:t>
      </w:r>
    </w:p>
    <w:p w:rsidR="00ED6132" w:rsidRPr="00ED6132" w:rsidRDefault="00ED6132" w:rsidP="00A13FA7">
      <w:pPr>
        <w:numPr>
          <w:ilvl w:val="0"/>
          <w:numId w:val="69"/>
        </w:numPr>
        <w:spacing w:before="0" w:after="0"/>
        <w:ind w:left="709"/>
        <w:contextualSpacing/>
        <w:jc w:val="left"/>
        <w:rPr>
          <w:rFonts w:ascii="Calibri" w:eastAsia="Calibri" w:hAnsi="Calibri" w:cs="Times New Roman"/>
          <w:bCs/>
        </w:rPr>
      </w:pPr>
      <w:r w:rsidRPr="00ED6132">
        <w:rPr>
          <w:rFonts w:ascii="Calibri" w:eastAsia="Calibri" w:hAnsi="Calibri" w:cs="Times New Roman"/>
          <w:bCs/>
        </w:rPr>
        <w:t>Wspieranie działań i współpraca z właściwymi podmiotami na rzecz realizacji inwestycji sprzyjających pogłębianiu kontaktów międzyregionalnych, w tym w zakresie infrastruktury granicznej (budowa i rozbudowa przejść granicznych oraz dostosowanie ich do obsługi ruchu turystycznego) oraz poprawiającej dostępność do przejść granicznych (drogi, linie kolejowe, parkingi buforowe, infrastruktura turystyczna).</w:t>
      </w:r>
    </w:p>
    <w:p w:rsidR="00ED6132" w:rsidRPr="00ED6132" w:rsidRDefault="00ED6132" w:rsidP="00A13FA7">
      <w:pPr>
        <w:numPr>
          <w:ilvl w:val="0"/>
          <w:numId w:val="69"/>
        </w:numPr>
        <w:spacing w:before="0" w:after="120"/>
        <w:ind w:left="709"/>
        <w:contextualSpacing/>
        <w:jc w:val="left"/>
        <w:rPr>
          <w:rFonts w:ascii="Calibri" w:eastAsia="Calibri" w:hAnsi="Calibri" w:cs="Times New Roman"/>
        </w:rPr>
      </w:pPr>
      <w:r w:rsidRPr="00ED6132">
        <w:rPr>
          <w:rFonts w:ascii="Calibri" w:eastAsia="Calibri" w:hAnsi="Calibri" w:cs="Times New Roman"/>
        </w:rPr>
        <w:t>Wspieranie działań na rzecz ochrony zasobów przyrodniczych na obszarach przygranicznych oraz rozwój zintegrowanej turystyki transgranicznej.</w:t>
      </w:r>
    </w:p>
    <w:p w:rsidR="00ED6132" w:rsidRPr="00ED6132" w:rsidRDefault="00ED6132" w:rsidP="00ED6132">
      <w:pPr>
        <w:rPr>
          <w:rFonts w:ascii="Calibri" w:eastAsia="Calibri" w:hAnsi="Calibri" w:cs="Times New Roman"/>
          <w:b/>
        </w:rPr>
      </w:pPr>
    </w:p>
    <w:p w:rsidR="00ED6132" w:rsidRPr="00ED6132" w:rsidRDefault="00ED6132" w:rsidP="00ED6132">
      <w:pPr>
        <w:rPr>
          <w:rFonts w:ascii="Calibri" w:eastAsia="Calibri" w:hAnsi="Calibri" w:cs="Times New Roman"/>
          <w:b/>
        </w:rPr>
      </w:pPr>
      <w:r w:rsidRPr="00ED6132">
        <w:rPr>
          <w:rFonts w:ascii="Calibri" w:eastAsia="Calibri" w:hAnsi="Calibri" w:cs="Times New Roman"/>
          <w:b/>
        </w:rPr>
        <w:t>Wskazane powyżej kierunki inwestycji znalazły odzwierciedlenie w celach i kierunkach rozwoju Strategii rozwoju ponadlokalnego Hrubieszowskiego Obszaru Funkcjonalnego na lata 2021 – 2030.</w:t>
      </w:r>
    </w:p>
    <w:p w:rsidR="00ED6132" w:rsidRPr="00ED6132" w:rsidRDefault="00ED6132" w:rsidP="00ED6132">
      <w:pPr>
        <w:rPr>
          <w:rFonts w:ascii="Calibri" w:eastAsia="Calibri" w:hAnsi="Calibri" w:cs="Times New Roman"/>
        </w:rPr>
      </w:pPr>
      <w:r w:rsidRPr="00ED6132">
        <w:rPr>
          <w:rFonts w:ascii="Calibri" w:eastAsia="Calibri" w:hAnsi="Calibri" w:cs="Times New Roman"/>
        </w:rPr>
        <w:t>Poniższa tabela przedstawia zależności między celami Strategii rozwoju ponadlokalnego Hrubieszowskiego Obszaru Funkcjonalnego na lata 2021 – 2030, a celami Strategii Rozwoju Województwa Lubelskiego do 2030 r.</w:t>
      </w:r>
    </w:p>
    <w:tbl>
      <w:tblPr>
        <w:tblStyle w:val="Jasnasiatkaakcent22"/>
        <w:tblW w:w="9322" w:type="dxa"/>
        <w:tblLayout w:type="fixed"/>
        <w:tblLook w:val="04A0" w:firstRow="1" w:lastRow="0" w:firstColumn="1" w:lastColumn="0" w:noHBand="0" w:noVBand="1"/>
      </w:tblPr>
      <w:tblGrid>
        <w:gridCol w:w="3652"/>
        <w:gridCol w:w="1418"/>
        <w:gridCol w:w="1417"/>
        <w:gridCol w:w="1418"/>
        <w:gridCol w:w="1417"/>
      </w:tblGrid>
      <w:tr w:rsidR="00ED6132" w:rsidRPr="00ED6132" w:rsidTr="00ED61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22" w:type="dxa"/>
            <w:gridSpan w:val="5"/>
            <w:shd w:val="clear" w:color="auto" w:fill="72ABF7" w:themeFill="text2" w:themeFillTint="66"/>
            <w:vAlign w:val="center"/>
          </w:tcPr>
          <w:p w:rsidR="00ED6132" w:rsidRPr="00ED6132" w:rsidRDefault="00ED6132" w:rsidP="00ED6132">
            <w:pPr>
              <w:spacing w:after="240"/>
              <w:ind w:left="34" w:firstLine="0"/>
              <w:contextualSpacing/>
              <w:jc w:val="center"/>
              <w:rPr>
                <w:rFonts w:ascii="Calibri" w:hAnsi="Calibri" w:cs="Calibri"/>
              </w:rPr>
            </w:pPr>
            <w:r w:rsidRPr="00ED6132">
              <w:rPr>
                <w:rFonts w:ascii="Calibri" w:hAnsi="Calibri" w:cs="Calibri"/>
              </w:rPr>
              <w:t>Strategia Rozwoju Województwa Lubelskiego do 2030 r.</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ED6132">
            <w:pPr>
              <w:spacing w:before="60" w:after="60"/>
              <w:ind w:firstLine="0"/>
              <w:jc w:val="left"/>
              <w:rPr>
                <w:sz w:val="18"/>
                <w:szCs w:val="18"/>
              </w:rPr>
            </w:pPr>
            <w:r w:rsidRPr="00ED6132">
              <w:rPr>
                <w:sz w:val="18"/>
                <w:szCs w:val="18"/>
              </w:rPr>
              <w:t>Cele strategiczne SRWL 2030</w:t>
            </w:r>
          </w:p>
        </w:tc>
        <w:tc>
          <w:tcPr>
            <w:tcW w:w="1418" w:type="dxa"/>
          </w:tcPr>
          <w:p w:rsidR="00ED6132" w:rsidRPr="00ED6132" w:rsidRDefault="00ED6132" w:rsidP="00ED6132">
            <w:pPr>
              <w:spacing w:before="0"/>
              <w:ind w:left="34"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sz w:val="18"/>
                <w:szCs w:val="18"/>
              </w:rPr>
            </w:pPr>
            <w:r w:rsidRPr="00ED6132">
              <w:rPr>
                <w:rFonts w:ascii="Calibri" w:eastAsia="Calibri" w:hAnsi="Calibri" w:cs="Times New Roman"/>
                <w:b/>
                <w:sz w:val="18"/>
                <w:szCs w:val="18"/>
              </w:rPr>
              <w:t xml:space="preserve">1. </w:t>
            </w:r>
            <w:proofErr w:type="gramStart"/>
            <w:r w:rsidRPr="00ED6132">
              <w:rPr>
                <w:rFonts w:ascii="Calibri" w:eastAsia="Calibri" w:hAnsi="Calibri" w:cs="Times New Roman"/>
                <w:b/>
                <w:sz w:val="18"/>
                <w:szCs w:val="18"/>
              </w:rPr>
              <w:t>Lepsza jakość</w:t>
            </w:r>
            <w:proofErr w:type="gramEnd"/>
            <w:r w:rsidRPr="00ED6132">
              <w:rPr>
                <w:rFonts w:ascii="Calibri" w:eastAsia="Calibri" w:hAnsi="Calibri" w:cs="Times New Roman"/>
                <w:b/>
                <w:sz w:val="18"/>
                <w:szCs w:val="18"/>
              </w:rPr>
              <w:t xml:space="preserve"> życia i zintegrowana społeczność lokalna</w:t>
            </w:r>
          </w:p>
        </w:tc>
        <w:tc>
          <w:tcPr>
            <w:tcW w:w="1417" w:type="dxa"/>
          </w:tcPr>
          <w:p w:rsidR="00ED6132" w:rsidRPr="00ED6132" w:rsidRDefault="00ED6132" w:rsidP="00A13FA7">
            <w:pPr>
              <w:numPr>
                <w:ilvl w:val="0"/>
                <w:numId w:val="62"/>
              </w:numPr>
              <w:spacing w:before="0"/>
              <w:ind w:left="87" w:firstLine="9"/>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 xml:space="preserve">Czyste środowisko i adaptacja do zmian klimatu </w:t>
            </w:r>
          </w:p>
        </w:tc>
        <w:tc>
          <w:tcPr>
            <w:tcW w:w="1418" w:type="dxa"/>
          </w:tcPr>
          <w:p w:rsidR="00ED6132" w:rsidRPr="00ED6132" w:rsidRDefault="00ED6132" w:rsidP="00A13FA7">
            <w:pPr>
              <w:numPr>
                <w:ilvl w:val="0"/>
                <w:numId w:val="62"/>
              </w:numPr>
              <w:spacing w:before="0"/>
              <w:ind w:left="34" w:hanging="125"/>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Rozwijająca się gospodarka i lokalny rynek pracy</w:t>
            </w:r>
          </w:p>
        </w:tc>
        <w:tc>
          <w:tcPr>
            <w:tcW w:w="1417" w:type="dxa"/>
          </w:tcPr>
          <w:p w:rsidR="00ED6132" w:rsidRPr="00ED6132" w:rsidRDefault="00ED6132" w:rsidP="00A13FA7">
            <w:pPr>
              <w:numPr>
                <w:ilvl w:val="0"/>
                <w:numId w:val="62"/>
              </w:numPr>
              <w:spacing w:before="0"/>
              <w:ind w:left="34"/>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Sprawna administracja i aktywne społeczeństwo obywatelskie</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60"/>
              <w:ind w:firstLine="0"/>
              <w:jc w:val="left"/>
              <w:rPr>
                <w:sz w:val="18"/>
                <w:szCs w:val="18"/>
              </w:rPr>
            </w:pPr>
            <w:r w:rsidRPr="00ED6132">
              <w:rPr>
                <w:sz w:val="18"/>
                <w:szCs w:val="18"/>
              </w:rPr>
              <w:t>SEKTOR ROLNO-SPOŻYWCZY</w:t>
            </w:r>
          </w:p>
          <w:p w:rsidR="00ED6132" w:rsidRPr="00ED6132" w:rsidRDefault="00ED6132" w:rsidP="00ED6132">
            <w:pPr>
              <w:spacing w:before="60" w:after="60"/>
              <w:ind w:firstLine="0"/>
              <w:jc w:val="left"/>
              <w:rPr>
                <w:sz w:val="18"/>
                <w:szCs w:val="18"/>
              </w:rPr>
            </w:pPr>
            <w:r w:rsidRPr="00ED6132">
              <w:rPr>
                <w:sz w:val="18"/>
                <w:szCs w:val="18"/>
              </w:rPr>
              <w:t>Kształtowanie strategicznych zasobów rolnych</w:t>
            </w:r>
          </w:p>
        </w:tc>
        <w:tc>
          <w:tcPr>
            <w:tcW w:w="1418"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b/>
                <w:noProof/>
                <w:sz w:val="32"/>
                <w:lang w:eastAsia="pl-PL"/>
              </w:rPr>
            </w:pPr>
          </w:p>
        </w:tc>
        <w:tc>
          <w:tcPr>
            <w:tcW w:w="1417"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b/>
                <w:noProof/>
                <w:sz w:val="32"/>
                <w:lang w:eastAsia="pl-PL"/>
              </w:rPr>
            </w:pPr>
          </w:p>
        </w:tc>
        <w:tc>
          <w:tcPr>
            <w:tcW w:w="1418"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b/>
                <w:noProof/>
                <w:sz w:val="32"/>
                <w:lang w:eastAsia="pl-PL"/>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b/>
                <w:noProof/>
                <w:sz w:val="32"/>
                <w:lang w:eastAsia="pl-PL"/>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60"/>
              <w:ind w:firstLine="0"/>
              <w:jc w:val="left"/>
              <w:rPr>
                <w:sz w:val="18"/>
                <w:szCs w:val="18"/>
              </w:rPr>
            </w:pPr>
            <w:r w:rsidRPr="00ED6132">
              <w:rPr>
                <w:sz w:val="18"/>
                <w:szCs w:val="18"/>
              </w:rPr>
              <w:t>PRZESTRZEŃ</w:t>
            </w:r>
          </w:p>
          <w:p w:rsidR="00ED6132" w:rsidRPr="00ED6132" w:rsidRDefault="00ED6132" w:rsidP="00ED6132">
            <w:pPr>
              <w:spacing w:before="60" w:after="60"/>
              <w:ind w:firstLine="0"/>
              <w:jc w:val="left"/>
              <w:rPr>
                <w:sz w:val="18"/>
                <w:szCs w:val="18"/>
              </w:rPr>
            </w:pPr>
            <w:r w:rsidRPr="00ED6132">
              <w:rPr>
                <w:sz w:val="18"/>
                <w:szCs w:val="18"/>
              </w:rPr>
              <w:t>Wzmocnienie powiązań i układów funkcjonalnych</w:t>
            </w:r>
          </w:p>
        </w:tc>
        <w:tc>
          <w:tcPr>
            <w:tcW w:w="1418"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noProof/>
                <w:sz w:val="32"/>
                <w:lang w:eastAsia="pl-PL"/>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noProof/>
                <w:sz w:val="32"/>
                <w:lang w:eastAsia="pl-PL"/>
              </w:rPr>
            </w:pPr>
            <w:r w:rsidRPr="00ED6132">
              <w:rPr>
                <w:rFonts w:ascii="Calibri" w:eastAsia="Calibri" w:hAnsi="Calibri" w:cs="Times New Roman"/>
                <w:sz w:val="24"/>
                <w:szCs w:val="24"/>
              </w:rPr>
              <w:t>X</w:t>
            </w:r>
          </w:p>
        </w:tc>
        <w:tc>
          <w:tcPr>
            <w:tcW w:w="1418"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noProof/>
                <w:sz w:val="32"/>
                <w:lang w:eastAsia="pl-PL"/>
              </w:rPr>
            </w:pPr>
          </w:p>
        </w:tc>
        <w:tc>
          <w:tcPr>
            <w:tcW w:w="1417"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noProof/>
                <w:sz w:val="32"/>
                <w:lang w:eastAsia="pl-PL"/>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60"/>
              <w:ind w:firstLine="0"/>
              <w:jc w:val="left"/>
              <w:rPr>
                <w:sz w:val="18"/>
                <w:szCs w:val="18"/>
              </w:rPr>
            </w:pPr>
            <w:r w:rsidRPr="00ED6132">
              <w:rPr>
                <w:sz w:val="18"/>
                <w:szCs w:val="18"/>
              </w:rPr>
              <w:t>GOSPODARKA</w:t>
            </w:r>
          </w:p>
          <w:p w:rsidR="00ED6132" w:rsidRPr="00ED6132" w:rsidRDefault="00ED6132" w:rsidP="00ED6132">
            <w:pPr>
              <w:spacing w:before="60" w:after="60"/>
              <w:ind w:firstLine="0"/>
              <w:jc w:val="left"/>
              <w:rPr>
                <w:sz w:val="18"/>
                <w:szCs w:val="18"/>
              </w:rPr>
            </w:pPr>
            <w:r w:rsidRPr="00ED6132">
              <w:rPr>
                <w:sz w:val="18"/>
                <w:szCs w:val="18"/>
              </w:rPr>
              <w:t>Innowacyjny rozwój gospodarki oparty o zasoby i potencjały regionu</w:t>
            </w:r>
          </w:p>
        </w:tc>
        <w:tc>
          <w:tcPr>
            <w:tcW w:w="1418"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b/>
                <w:noProof/>
                <w:sz w:val="32"/>
                <w:lang w:eastAsia="pl-PL"/>
              </w:rPr>
            </w:pPr>
          </w:p>
        </w:tc>
        <w:tc>
          <w:tcPr>
            <w:tcW w:w="1417"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b/>
                <w:noProof/>
                <w:sz w:val="32"/>
                <w:lang w:eastAsia="pl-PL"/>
              </w:rPr>
            </w:pPr>
          </w:p>
        </w:tc>
        <w:tc>
          <w:tcPr>
            <w:tcW w:w="1418"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b/>
                <w:noProof/>
                <w:sz w:val="32"/>
                <w:lang w:eastAsia="pl-PL"/>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b/>
                <w:noProof/>
                <w:sz w:val="32"/>
                <w:lang w:eastAsia="pl-PL"/>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60"/>
              <w:ind w:firstLine="0"/>
              <w:jc w:val="left"/>
              <w:rPr>
                <w:sz w:val="18"/>
                <w:szCs w:val="18"/>
              </w:rPr>
            </w:pPr>
            <w:r w:rsidRPr="00ED6132">
              <w:rPr>
                <w:sz w:val="18"/>
                <w:szCs w:val="18"/>
              </w:rPr>
              <w:t>SPOŁECZEŃSTWO</w:t>
            </w:r>
          </w:p>
          <w:p w:rsidR="00ED6132" w:rsidRPr="00ED6132" w:rsidRDefault="00ED6132" w:rsidP="00ED6132">
            <w:pPr>
              <w:spacing w:before="60" w:after="60"/>
              <w:ind w:firstLine="0"/>
              <w:jc w:val="left"/>
              <w:rPr>
                <w:sz w:val="18"/>
                <w:szCs w:val="18"/>
              </w:rPr>
            </w:pPr>
            <w:r w:rsidRPr="00ED6132">
              <w:rPr>
                <w:sz w:val="18"/>
                <w:szCs w:val="18"/>
              </w:rPr>
              <w:t>Wzmacnianie kapitału społecznego</w:t>
            </w:r>
          </w:p>
        </w:tc>
        <w:tc>
          <w:tcPr>
            <w:tcW w:w="1418"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noProof/>
                <w:sz w:val="32"/>
                <w:lang w:eastAsia="pl-PL"/>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noProof/>
                <w:sz w:val="32"/>
                <w:lang w:eastAsia="pl-PL"/>
              </w:rPr>
            </w:pPr>
          </w:p>
        </w:tc>
        <w:tc>
          <w:tcPr>
            <w:tcW w:w="1418"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noProof/>
                <w:sz w:val="32"/>
                <w:lang w:eastAsia="pl-PL"/>
              </w:rPr>
            </w:pPr>
          </w:p>
        </w:tc>
        <w:tc>
          <w:tcPr>
            <w:tcW w:w="1417"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noProof/>
                <w:sz w:val="32"/>
                <w:lang w:eastAsia="pl-PL"/>
              </w:rPr>
            </w:pPr>
            <w:r w:rsidRPr="00ED6132">
              <w:rPr>
                <w:rFonts w:ascii="Calibri" w:eastAsia="Calibri" w:hAnsi="Calibri" w:cs="Times New Roman"/>
                <w:sz w:val="24"/>
                <w:szCs w:val="24"/>
              </w:rPr>
              <w:t>X</w:t>
            </w:r>
          </w:p>
        </w:tc>
      </w:tr>
    </w:tbl>
    <w:p w:rsidR="00ED6132" w:rsidRPr="00ED6132" w:rsidRDefault="00ED6132" w:rsidP="00A13FA7">
      <w:pPr>
        <w:keepNext/>
        <w:keepLines/>
        <w:numPr>
          <w:ilvl w:val="1"/>
          <w:numId w:val="8"/>
        </w:numPr>
        <w:spacing w:before="200"/>
        <w:jc w:val="left"/>
        <w:outlineLvl w:val="1"/>
        <w:rPr>
          <w:rFonts w:ascii="Candara" w:eastAsia="Times New Roman" w:hAnsi="Candara" w:cs="Times New Roman"/>
          <w:b/>
          <w:bCs/>
          <w:color w:val="31B6FD"/>
          <w:sz w:val="26"/>
          <w:szCs w:val="26"/>
        </w:rPr>
      </w:pPr>
      <w:bookmarkStart w:id="97" w:name="_Toc138068793"/>
      <w:r w:rsidRPr="00ED6132">
        <w:rPr>
          <w:rFonts w:ascii="Candara" w:eastAsia="Times New Roman" w:hAnsi="Candara" w:cs="Times New Roman"/>
          <w:b/>
          <w:bCs/>
          <w:color w:val="31B6FD"/>
          <w:sz w:val="26"/>
          <w:szCs w:val="26"/>
        </w:rPr>
        <w:t>Zgodność z dokumentami Gminy i Miasta Hrubieszów</w:t>
      </w:r>
      <w:bookmarkEnd w:id="97"/>
    </w:p>
    <w:tbl>
      <w:tblPr>
        <w:tblStyle w:val="Jasnasiatkaakcent211"/>
        <w:tblW w:w="9212" w:type="dxa"/>
        <w:tblLook w:val="04A0" w:firstRow="1" w:lastRow="0" w:firstColumn="1" w:lastColumn="0" w:noHBand="0" w:noVBand="1"/>
      </w:tblPr>
      <w:tblGrid>
        <w:gridCol w:w="3652"/>
        <w:gridCol w:w="1418"/>
        <w:gridCol w:w="1417"/>
        <w:gridCol w:w="1372"/>
        <w:gridCol w:w="1353"/>
      </w:tblGrid>
      <w:tr w:rsidR="00ED6132" w:rsidRPr="00ED6132" w:rsidTr="00ED61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5"/>
            <w:shd w:val="clear" w:color="auto" w:fill="72ABF7" w:themeFill="text2" w:themeFillTint="66"/>
            <w:vAlign w:val="center"/>
          </w:tcPr>
          <w:p w:rsidR="00ED6132" w:rsidRPr="00ED6132" w:rsidRDefault="00ED6132" w:rsidP="00ED6132">
            <w:pPr>
              <w:jc w:val="center"/>
            </w:pPr>
            <w:r w:rsidRPr="00ED6132">
              <w:t>Plan Rozwoju Lokalnego Miasta Hrubieszów</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ED6132">
            <w:pPr>
              <w:spacing w:beforeLines="60" w:before="144" w:afterLines="60" w:after="144"/>
              <w:ind w:firstLine="0"/>
              <w:jc w:val="left"/>
              <w:rPr>
                <w:rFonts w:cs="Calibri"/>
                <w:sz w:val="18"/>
                <w:szCs w:val="18"/>
              </w:rPr>
            </w:pPr>
            <w:r w:rsidRPr="00ED6132">
              <w:rPr>
                <w:rFonts w:cs="Calibri"/>
                <w:sz w:val="18"/>
                <w:szCs w:val="18"/>
              </w:rPr>
              <w:t>Cele planu</w:t>
            </w:r>
          </w:p>
        </w:tc>
        <w:tc>
          <w:tcPr>
            <w:tcW w:w="1418" w:type="dxa"/>
          </w:tcPr>
          <w:p w:rsidR="00ED6132" w:rsidRPr="00ED6132" w:rsidRDefault="00ED6132" w:rsidP="00ED6132">
            <w:pPr>
              <w:spacing w:before="0"/>
              <w:ind w:left="34"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sz w:val="18"/>
                <w:szCs w:val="18"/>
              </w:rPr>
            </w:pPr>
            <w:r w:rsidRPr="00ED6132">
              <w:rPr>
                <w:rFonts w:ascii="Calibri" w:eastAsia="Calibri" w:hAnsi="Calibri" w:cs="Times New Roman"/>
                <w:b/>
                <w:sz w:val="18"/>
                <w:szCs w:val="18"/>
              </w:rPr>
              <w:t xml:space="preserve">1. </w:t>
            </w:r>
            <w:proofErr w:type="gramStart"/>
            <w:r w:rsidRPr="00ED6132">
              <w:rPr>
                <w:rFonts w:ascii="Calibri" w:eastAsia="Calibri" w:hAnsi="Calibri" w:cs="Times New Roman"/>
                <w:b/>
                <w:sz w:val="18"/>
                <w:szCs w:val="18"/>
              </w:rPr>
              <w:t>Lepsza jakość</w:t>
            </w:r>
            <w:proofErr w:type="gramEnd"/>
            <w:r w:rsidRPr="00ED6132">
              <w:rPr>
                <w:rFonts w:ascii="Calibri" w:eastAsia="Calibri" w:hAnsi="Calibri" w:cs="Times New Roman"/>
                <w:b/>
                <w:sz w:val="18"/>
                <w:szCs w:val="18"/>
              </w:rPr>
              <w:t xml:space="preserve"> życia i zintegrowana społeczność lokalna</w:t>
            </w:r>
          </w:p>
        </w:tc>
        <w:tc>
          <w:tcPr>
            <w:tcW w:w="1417" w:type="dxa"/>
          </w:tcPr>
          <w:p w:rsidR="00ED6132" w:rsidRPr="00ED6132" w:rsidRDefault="00ED6132" w:rsidP="00A13FA7">
            <w:pPr>
              <w:numPr>
                <w:ilvl w:val="0"/>
                <w:numId w:val="70"/>
              </w:numPr>
              <w:spacing w:before="0"/>
              <w:ind w:left="33" w:firstLine="17"/>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 xml:space="preserve">Czyste środowisko i adaptacja do zmian klimatu </w:t>
            </w:r>
          </w:p>
        </w:tc>
        <w:tc>
          <w:tcPr>
            <w:tcW w:w="1372" w:type="dxa"/>
          </w:tcPr>
          <w:p w:rsidR="00ED6132" w:rsidRPr="00ED6132" w:rsidRDefault="00ED6132" w:rsidP="00A13FA7">
            <w:pPr>
              <w:numPr>
                <w:ilvl w:val="0"/>
                <w:numId w:val="70"/>
              </w:numPr>
              <w:spacing w:before="0"/>
              <w:ind w:left="34" w:hanging="125"/>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Rozwijająca się gospodarka i lokalny rynek pracy</w:t>
            </w:r>
          </w:p>
        </w:tc>
        <w:tc>
          <w:tcPr>
            <w:tcW w:w="1353" w:type="dxa"/>
          </w:tcPr>
          <w:p w:rsidR="00ED6132" w:rsidRPr="00ED6132" w:rsidRDefault="00ED6132" w:rsidP="00A13FA7">
            <w:pPr>
              <w:numPr>
                <w:ilvl w:val="0"/>
                <w:numId w:val="70"/>
              </w:numPr>
              <w:spacing w:before="0"/>
              <w:ind w:left="34"/>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Sprawna administracja i aktywne społeczeństwo obywatelskie</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6"/>
              </w:numPr>
              <w:spacing w:before="0"/>
              <w:ind w:left="0" w:hanging="11"/>
              <w:contextualSpacing/>
              <w:jc w:val="left"/>
              <w:rPr>
                <w:sz w:val="20"/>
                <w:szCs w:val="20"/>
              </w:rPr>
            </w:pPr>
            <w:r w:rsidRPr="00ED6132">
              <w:rPr>
                <w:sz w:val="20"/>
                <w:szCs w:val="20"/>
              </w:rPr>
              <w:t>Ożywiona gospodarka miasta</w:t>
            </w:r>
          </w:p>
        </w:tc>
        <w:tc>
          <w:tcPr>
            <w:tcW w:w="1418"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17"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72"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53"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6"/>
              </w:numPr>
              <w:spacing w:before="0"/>
              <w:ind w:left="0" w:hanging="11"/>
              <w:contextualSpacing/>
              <w:jc w:val="left"/>
              <w:rPr>
                <w:sz w:val="20"/>
                <w:szCs w:val="20"/>
              </w:rPr>
            </w:pPr>
            <w:r w:rsidRPr="00ED6132">
              <w:rPr>
                <w:sz w:val="20"/>
                <w:szCs w:val="20"/>
              </w:rPr>
              <w:t>Silna i otwarta społeczność Hrubieszowa</w:t>
            </w:r>
          </w:p>
        </w:tc>
        <w:tc>
          <w:tcPr>
            <w:tcW w:w="1418"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372"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6"/>
              </w:numPr>
              <w:spacing w:before="0"/>
              <w:ind w:left="0" w:hanging="11"/>
              <w:contextualSpacing/>
              <w:jc w:val="left"/>
              <w:rPr>
                <w:sz w:val="20"/>
                <w:szCs w:val="20"/>
              </w:rPr>
            </w:pPr>
            <w:r w:rsidRPr="00ED6132">
              <w:rPr>
                <w:sz w:val="20"/>
                <w:szCs w:val="20"/>
              </w:rPr>
              <w:t>Proekologiczny i zielony Hrubieszów</w:t>
            </w:r>
          </w:p>
        </w:tc>
        <w:tc>
          <w:tcPr>
            <w:tcW w:w="1418"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17"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5"/>
            <w:shd w:val="clear" w:color="auto" w:fill="72ABF7" w:themeFill="text2" w:themeFillTint="66"/>
          </w:tcPr>
          <w:p w:rsidR="00ED6132" w:rsidRPr="00ED6132" w:rsidRDefault="00ED6132" w:rsidP="00ED6132">
            <w:pPr>
              <w:ind w:firstLine="0"/>
              <w:jc w:val="center"/>
            </w:pPr>
            <w:r w:rsidRPr="00ED6132">
              <w:lastRenderedPageBreak/>
              <w:t>Plan Rozwoju Instytucjonalnego Miasta Hrubieszów</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ED6132">
            <w:pPr>
              <w:spacing w:beforeLines="60" w:before="144" w:afterLines="60" w:after="144"/>
              <w:ind w:firstLine="0"/>
              <w:jc w:val="left"/>
              <w:rPr>
                <w:rFonts w:cs="Calibri"/>
                <w:sz w:val="18"/>
                <w:szCs w:val="18"/>
              </w:rPr>
            </w:pPr>
            <w:r w:rsidRPr="00ED6132">
              <w:rPr>
                <w:rFonts w:cs="Calibri"/>
                <w:sz w:val="18"/>
                <w:szCs w:val="18"/>
              </w:rPr>
              <w:t>Cele planu</w:t>
            </w:r>
          </w:p>
        </w:tc>
        <w:tc>
          <w:tcPr>
            <w:tcW w:w="1418" w:type="dxa"/>
          </w:tcPr>
          <w:p w:rsidR="00ED6132" w:rsidRPr="00ED6132" w:rsidRDefault="00ED6132" w:rsidP="00ED6132">
            <w:pPr>
              <w:spacing w:before="0"/>
              <w:ind w:left="34" w:firstLine="0"/>
              <w:contextualSpacing/>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b/>
                <w:sz w:val="18"/>
                <w:szCs w:val="18"/>
              </w:rPr>
            </w:pPr>
            <w:r w:rsidRPr="00ED6132">
              <w:rPr>
                <w:rFonts w:ascii="Calibri" w:eastAsia="Calibri" w:hAnsi="Calibri" w:cs="Times New Roman"/>
                <w:b/>
                <w:sz w:val="18"/>
                <w:szCs w:val="18"/>
              </w:rPr>
              <w:t xml:space="preserve">1. </w:t>
            </w:r>
            <w:proofErr w:type="gramStart"/>
            <w:r w:rsidRPr="00ED6132">
              <w:rPr>
                <w:rFonts w:ascii="Calibri" w:eastAsia="Calibri" w:hAnsi="Calibri" w:cs="Times New Roman"/>
                <w:b/>
                <w:sz w:val="18"/>
                <w:szCs w:val="18"/>
              </w:rPr>
              <w:t>Lepsza jakość</w:t>
            </w:r>
            <w:proofErr w:type="gramEnd"/>
            <w:r w:rsidRPr="00ED6132">
              <w:rPr>
                <w:rFonts w:ascii="Calibri" w:eastAsia="Calibri" w:hAnsi="Calibri" w:cs="Times New Roman"/>
                <w:b/>
                <w:sz w:val="18"/>
                <w:szCs w:val="18"/>
              </w:rPr>
              <w:t xml:space="preserve"> życia i zintegrowana społeczność lokalna</w:t>
            </w:r>
          </w:p>
        </w:tc>
        <w:tc>
          <w:tcPr>
            <w:tcW w:w="1417" w:type="dxa"/>
          </w:tcPr>
          <w:p w:rsidR="00ED6132" w:rsidRPr="00ED6132" w:rsidRDefault="00ED6132" w:rsidP="00A13FA7">
            <w:pPr>
              <w:numPr>
                <w:ilvl w:val="0"/>
                <w:numId w:val="77"/>
              </w:numPr>
              <w:spacing w:before="0"/>
              <w:ind w:left="175" w:hanging="175"/>
              <w:contextualSpacing/>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 xml:space="preserve">Czyste środowisko i adaptacja do zmian klimatu </w:t>
            </w:r>
          </w:p>
        </w:tc>
        <w:tc>
          <w:tcPr>
            <w:tcW w:w="1372" w:type="dxa"/>
          </w:tcPr>
          <w:p w:rsidR="00ED6132" w:rsidRPr="00ED6132" w:rsidRDefault="00ED6132" w:rsidP="00A13FA7">
            <w:pPr>
              <w:numPr>
                <w:ilvl w:val="0"/>
                <w:numId w:val="77"/>
              </w:numPr>
              <w:spacing w:before="0"/>
              <w:ind w:left="34" w:hanging="125"/>
              <w:contextualSpacing/>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Rozwijająca się gospodarka i lokalny rynek pracy</w:t>
            </w:r>
          </w:p>
        </w:tc>
        <w:tc>
          <w:tcPr>
            <w:tcW w:w="1353" w:type="dxa"/>
          </w:tcPr>
          <w:p w:rsidR="00ED6132" w:rsidRPr="00ED6132" w:rsidRDefault="00ED6132" w:rsidP="00A13FA7">
            <w:pPr>
              <w:numPr>
                <w:ilvl w:val="0"/>
                <w:numId w:val="77"/>
              </w:numPr>
              <w:spacing w:before="0"/>
              <w:ind w:left="34"/>
              <w:contextualSpacing/>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Sprawna administracja i aktywne społeczeństwo obywatelskie</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8"/>
              </w:numPr>
              <w:spacing w:before="0"/>
              <w:ind w:left="142" w:hanging="142"/>
              <w:contextualSpacing/>
              <w:jc w:val="left"/>
              <w:rPr>
                <w:sz w:val="20"/>
                <w:szCs w:val="20"/>
              </w:rPr>
            </w:pPr>
            <w:r w:rsidRPr="00ED6132">
              <w:rPr>
                <w:sz w:val="20"/>
                <w:szCs w:val="20"/>
              </w:rPr>
              <w:t>Silne centrum zarządzania strategicznego i operacyjnego</w:t>
            </w:r>
          </w:p>
        </w:tc>
        <w:tc>
          <w:tcPr>
            <w:tcW w:w="1418"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szCs w:val="24"/>
              </w:rPr>
            </w:pPr>
          </w:p>
        </w:tc>
        <w:tc>
          <w:tcPr>
            <w:tcW w:w="1372"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53"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8"/>
              </w:numPr>
              <w:spacing w:before="0"/>
              <w:ind w:left="142" w:hanging="142"/>
              <w:contextualSpacing/>
              <w:jc w:val="left"/>
              <w:rPr>
                <w:sz w:val="20"/>
                <w:szCs w:val="20"/>
              </w:rPr>
            </w:pPr>
            <w:proofErr w:type="gramStart"/>
            <w:r w:rsidRPr="00ED6132">
              <w:rPr>
                <w:sz w:val="20"/>
                <w:szCs w:val="20"/>
              </w:rPr>
              <w:t>Wysoka jakość</w:t>
            </w:r>
            <w:proofErr w:type="gramEnd"/>
            <w:r w:rsidRPr="00ED6132">
              <w:rPr>
                <w:sz w:val="20"/>
                <w:szCs w:val="20"/>
              </w:rPr>
              <w:t xml:space="preserve"> usług publicznych</w:t>
            </w:r>
          </w:p>
          <w:p w:rsidR="00ED6132" w:rsidRPr="00ED6132" w:rsidRDefault="00ED6132" w:rsidP="00ED6132">
            <w:pPr>
              <w:ind w:left="142" w:hanging="142"/>
              <w:contextualSpacing/>
              <w:jc w:val="left"/>
              <w:rPr>
                <w:sz w:val="20"/>
                <w:szCs w:val="20"/>
              </w:rPr>
            </w:pPr>
          </w:p>
        </w:tc>
        <w:tc>
          <w:tcPr>
            <w:tcW w:w="1418"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sz w:val="24"/>
                <w:szCs w:val="24"/>
              </w:rPr>
            </w:pPr>
          </w:p>
        </w:tc>
        <w:tc>
          <w:tcPr>
            <w:tcW w:w="1372"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8"/>
              </w:numPr>
              <w:spacing w:before="0"/>
              <w:ind w:left="142" w:hanging="142"/>
              <w:contextualSpacing/>
              <w:jc w:val="left"/>
              <w:rPr>
                <w:sz w:val="20"/>
                <w:szCs w:val="20"/>
              </w:rPr>
            </w:pPr>
            <w:proofErr w:type="gramStart"/>
            <w:r w:rsidRPr="00ED6132">
              <w:rPr>
                <w:sz w:val="20"/>
                <w:szCs w:val="20"/>
              </w:rPr>
              <w:t>Wysoka jakość</w:t>
            </w:r>
            <w:proofErr w:type="gramEnd"/>
            <w:r w:rsidRPr="00ED6132">
              <w:rPr>
                <w:sz w:val="20"/>
                <w:szCs w:val="20"/>
              </w:rPr>
              <w:t xml:space="preserve"> usług publicznych</w:t>
            </w:r>
          </w:p>
        </w:tc>
        <w:tc>
          <w:tcPr>
            <w:tcW w:w="1418"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sz w:val="24"/>
                <w:szCs w:val="24"/>
              </w:rPr>
            </w:pPr>
          </w:p>
        </w:tc>
        <w:tc>
          <w:tcPr>
            <w:tcW w:w="1372"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5"/>
            <w:shd w:val="clear" w:color="auto" w:fill="72ABF7" w:themeFill="text2" w:themeFillTint="66"/>
            <w:vAlign w:val="center"/>
          </w:tcPr>
          <w:p w:rsidR="00ED6132" w:rsidRPr="00ED6132" w:rsidRDefault="00ED6132" w:rsidP="00ED6132">
            <w:pPr>
              <w:ind w:firstLine="0"/>
              <w:jc w:val="center"/>
            </w:pPr>
            <w:r w:rsidRPr="00ED6132">
              <w:t>Program Ochrony Środowiska dla Gminy Miejskiej Hrubieszów</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ED6132">
            <w:pPr>
              <w:spacing w:beforeLines="60" w:before="144" w:afterLines="60" w:after="144"/>
              <w:ind w:firstLine="0"/>
              <w:jc w:val="left"/>
              <w:rPr>
                <w:rFonts w:cs="Calibri"/>
                <w:sz w:val="18"/>
                <w:szCs w:val="18"/>
              </w:rPr>
            </w:pPr>
            <w:r w:rsidRPr="00ED6132">
              <w:rPr>
                <w:rFonts w:cs="Calibri"/>
                <w:sz w:val="18"/>
                <w:szCs w:val="18"/>
              </w:rPr>
              <w:t>Cele programu</w:t>
            </w:r>
          </w:p>
        </w:tc>
        <w:tc>
          <w:tcPr>
            <w:tcW w:w="1418" w:type="dxa"/>
          </w:tcPr>
          <w:p w:rsidR="00ED6132" w:rsidRPr="00ED6132" w:rsidRDefault="00ED6132" w:rsidP="00ED6132">
            <w:pPr>
              <w:spacing w:before="0"/>
              <w:ind w:left="34"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sz w:val="18"/>
                <w:szCs w:val="18"/>
              </w:rPr>
            </w:pPr>
            <w:r w:rsidRPr="00ED6132">
              <w:rPr>
                <w:rFonts w:ascii="Calibri" w:eastAsia="Calibri" w:hAnsi="Calibri" w:cs="Times New Roman"/>
                <w:b/>
                <w:sz w:val="18"/>
                <w:szCs w:val="18"/>
              </w:rPr>
              <w:t xml:space="preserve">1. </w:t>
            </w:r>
            <w:proofErr w:type="gramStart"/>
            <w:r w:rsidRPr="00ED6132">
              <w:rPr>
                <w:rFonts w:ascii="Calibri" w:eastAsia="Calibri" w:hAnsi="Calibri" w:cs="Times New Roman"/>
                <w:b/>
                <w:sz w:val="18"/>
                <w:szCs w:val="18"/>
              </w:rPr>
              <w:t>Lepsza jakość</w:t>
            </w:r>
            <w:proofErr w:type="gramEnd"/>
            <w:r w:rsidRPr="00ED6132">
              <w:rPr>
                <w:rFonts w:ascii="Calibri" w:eastAsia="Calibri" w:hAnsi="Calibri" w:cs="Times New Roman"/>
                <w:b/>
                <w:sz w:val="18"/>
                <w:szCs w:val="18"/>
              </w:rPr>
              <w:t xml:space="preserve"> życia i zintegrowana społeczność lokalna</w:t>
            </w:r>
          </w:p>
        </w:tc>
        <w:tc>
          <w:tcPr>
            <w:tcW w:w="1417" w:type="dxa"/>
          </w:tcPr>
          <w:p w:rsidR="00ED6132" w:rsidRPr="00ED6132" w:rsidRDefault="00ED6132" w:rsidP="00A13FA7">
            <w:pPr>
              <w:numPr>
                <w:ilvl w:val="0"/>
                <w:numId w:val="72"/>
              </w:numPr>
              <w:spacing w:before="0"/>
              <w:ind w:left="33" w:firstLine="1"/>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 xml:space="preserve">Czyste środowisko i adaptacja do zmian klimatu </w:t>
            </w:r>
          </w:p>
        </w:tc>
        <w:tc>
          <w:tcPr>
            <w:tcW w:w="1372" w:type="dxa"/>
          </w:tcPr>
          <w:p w:rsidR="00ED6132" w:rsidRPr="00ED6132" w:rsidRDefault="00ED6132" w:rsidP="00A13FA7">
            <w:pPr>
              <w:numPr>
                <w:ilvl w:val="0"/>
                <w:numId w:val="72"/>
              </w:numPr>
              <w:spacing w:before="0"/>
              <w:ind w:left="34" w:hanging="125"/>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Rozwijająca się gospodarka i lokalny rynek pracy</w:t>
            </w:r>
          </w:p>
        </w:tc>
        <w:tc>
          <w:tcPr>
            <w:tcW w:w="1353" w:type="dxa"/>
          </w:tcPr>
          <w:p w:rsidR="00ED6132" w:rsidRPr="00ED6132" w:rsidRDefault="00ED6132" w:rsidP="00A13FA7">
            <w:pPr>
              <w:numPr>
                <w:ilvl w:val="0"/>
                <w:numId w:val="72"/>
              </w:numPr>
              <w:spacing w:before="0"/>
              <w:ind w:left="34"/>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Sprawna administracja i aktywne społeczeństwo obywatelskie</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proofErr w:type="gramStart"/>
            <w:r w:rsidRPr="00ED6132">
              <w:rPr>
                <w:sz w:val="18"/>
                <w:szCs w:val="18"/>
              </w:rPr>
              <w:t>Poprawa jakości</w:t>
            </w:r>
            <w:proofErr w:type="gramEnd"/>
            <w:r w:rsidRPr="00ED6132">
              <w:rPr>
                <w:sz w:val="18"/>
                <w:szCs w:val="18"/>
              </w:rPr>
              <w:t xml:space="preserve"> powietrza do osiągnięcia poziomów wymaganych przepisami prawa, spełnianie standardów emisyjnych z instalacji oraz promocja wykorzystania odnawialnych źródeł energii.</w:t>
            </w:r>
          </w:p>
        </w:tc>
        <w:tc>
          <w:tcPr>
            <w:tcW w:w="1418"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17"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r w:rsidRPr="00ED6132">
              <w:rPr>
                <w:sz w:val="18"/>
                <w:szCs w:val="18"/>
              </w:rPr>
              <w:t>Zmniejszenie zagrożenia mieszkańców miasta ponadnormatywnym hałasem, zwłaszcza emitowanym przez środki transportu drogowego.</w:t>
            </w:r>
          </w:p>
        </w:tc>
        <w:tc>
          <w:tcPr>
            <w:tcW w:w="1418"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r w:rsidRPr="00ED6132">
              <w:rPr>
                <w:sz w:val="18"/>
                <w:szCs w:val="18"/>
              </w:rPr>
              <w:t>Stała kontrola potencjalnych źródeł pól elektromagnetycznych.</w:t>
            </w:r>
          </w:p>
        </w:tc>
        <w:tc>
          <w:tcPr>
            <w:tcW w:w="1418"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72"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r w:rsidRPr="00ED6132">
              <w:rPr>
                <w:sz w:val="18"/>
                <w:szCs w:val="18"/>
              </w:rPr>
              <w:t xml:space="preserve">System zrównoważonego gospodarowania wodami powierzchniowymi i podziemnymi, umożliwiający zaspokojenie uzasadnionych potrzeb wodnych regionu przy osiągnięciu i </w:t>
            </w:r>
            <w:proofErr w:type="gramStart"/>
            <w:r w:rsidRPr="00ED6132">
              <w:rPr>
                <w:sz w:val="18"/>
                <w:szCs w:val="18"/>
              </w:rPr>
              <w:t>utrzymaniu co</w:t>
            </w:r>
            <w:proofErr w:type="gramEnd"/>
            <w:r w:rsidRPr="00ED6132">
              <w:rPr>
                <w:sz w:val="18"/>
                <w:szCs w:val="18"/>
              </w:rPr>
              <w:t xml:space="preserve"> najmniej dobrego stanu wód.</w:t>
            </w:r>
          </w:p>
        </w:tc>
        <w:tc>
          <w:tcPr>
            <w:tcW w:w="1418"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17"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r w:rsidRPr="00ED6132">
              <w:rPr>
                <w:sz w:val="18"/>
                <w:szCs w:val="18"/>
              </w:rPr>
              <w:t xml:space="preserve">Bieżąca modernizacja infrastruktury związanej z gospodarką </w:t>
            </w:r>
            <w:proofErr w:type="spellStart"/>
            <w:r w:rsidRPr="00ED6132">
              <w:rPr>
                <w:sz w:val="18"/>
                <w:szCs w:val="18"/>
              </w:rPr>
              <w:t>wodno</w:t>
            </w:r>
            <w:proofErr w:type="spellEnd"/>
            <w:r w:rsidRPr="00ED6132">
              <w:rPr>
                <w:sz w:val="18"/>
                <w:szCs w:val="18"/>
              </w:rPr>
              <w:t xml:space="preserve"> – ściekową.</w:t>
            </w:r>
          </w:p>
        </w:tc>
        <w:tc>
          <w:tcPr>
            <w:tcW w:w="1418"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17"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r w:rsidRPr="00ED6132">
              <w:rPr>
                <w:sz w:val="18"/>
                <w:szCs w:val="18"/>
              </w:rPr>
              <w:t>Zrównoważona gospodarka zasobami surowców naturalnych.</w:t>
            </w:r>
          </w:p>
        </w:tc>
        <w:tc>
          <w:tcPr>
            <w:tcW w:w="1418"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17"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r w:rsidRPr="00ED6132">
              <w:rPr>
                <w:sz w:val="18"/>
                <w:szCs w:val="18"/>
              </w:rPr>
              <w:t>Racjonalna gospodarka zasobami glebowymi.</w:t>
            </w:r>
          </w:p>
        </w:tc>
        <w:tc>
          <w:tcPr>
            <w:tcW w:w="1418"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17"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53"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r w:rsidRPr="00ED6132">
              <w:rPr>
                <w:sz w:val="18"/>
                <w:szCs w:val="18"/>
              </w:rPr>
              <w:t>Gospodarowanie odpadami zgodnie z hierarchią sposobów postępowania z odpadami, uwzględniając zrównoważony rozwój województwa lubelskiego.</w:t>
            </w:r>
          </w:p>
        </w:tc>
        <w:tc>
          <w:tcPr>
            <w:tcW w:w="1418"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417"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r w:rsidRPr="00ED6132">
              <w:rPr>
                <w:sz w:val="18"/>
                <w:szCs w:val="18"/>
              </w:rPr>
              <w:t xml:space="preserve">Zachowanie, odtworzenie i zrównoważone użytkowanie bioróżnorodności i </w:t>
            </w:r>
            <w:proofErr w:type="spellStart"/>
            <w:r w:rsidRPr="00ED6132">
              <w:rPr>
                <w:sz w:val="18"/>
                <w:szCs w:val="18"/>
              </w:rPr>
              <w:t>georóżnorodności</w:t>
            </w:r>
            <w:proofErr w:type="spellEnd"/>
            <w:r w:rsidRPr="00ED6132">
              <w:rPr>
                <w:sz w:val="18"/>
                <w:szCs w:val="18"/>
              </w:rPr>
              <w:t xml:space="preserve"> oraz ochrona krajobrazu.</w:t>
            </w:r>
          </w:p>
        </w:tc>
        <w:tc>
          <w:tcPr>
            <w:tcW w:w="1418"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417"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spacing w:before="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4"/>
              </w:numPr>
              <w:spacing w:before="0"/>
              <w:ind w:left="0" w:hanging="11"/>
              <w:contextualSpacing/>
              <w:jc w:val="left"/>
              <w:rPr>
                <w:sz w:val="18"/>
                <w:szCs w:val="18"/>
              </w:rPr>
            </w:pPr>
            <w:r w:rsidRPr="00ED6132">
              <w:rPr>
                <w:sz w:val="18"/>
                <w:szCs w:val="18"/>
              </w:rPr>
              <w:t>Ograniczenie ryzyka wystąpienia poważnych awarii przemysłowych oraz minimalizacja ich skutków.</w:t>
            </w:r>
          </w:p>
        </w:tc>
        <w:tc>
          <w:tcPr>
            <w:tcW w:w="1418"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spacing w:before="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5"/>
            <w:shd w:val="clear" w:color="auto" w:fill="72ABF7" w:themeFill="text2" w:themeFillTint="66"/>
            <w:vAlign w:val="center"/>
          </w:tcPr>
          <w:p w:rsidR="00ED6132" w:rsidRPr="00ED6132" w:rsidRDefault="00ED6132" w:rsidP="00ED6132">
            <w:pPr>
              <w:ind w:firstLine="0"/>
              <w:jc w:val="center"/>
            </w:pPr>
            <w:r w:rsidRPr="00ED6132">
              <w:t>Zintegrowany Lokalny Program Rewitalizacji Miasta Hrubieszów na lata 2017-2023</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ED6132">
            <w:pPr>
              <w:spacing w:beforeLines="60" w:before="144" w:afterLines="60" w:after="144"/>
              <w:ind w:firstLine="0"/>
              <w:jc w:val="left"/>
              <w:rPr>
                <w:rFonts w:cs="Calibri"/>
                <w:sz w:val="18"/>
                <w:szCs w:val="18"/>
              </w:rPr>
            </w:pPr>
            <w:r w:rsidRPr="00ED6132">
              <w:rPr>
                <w:rFonts w:cs="Calibri"/>
                <w:sz w:val="18"/>
                <w:szCs w:val="18"/>
              </w:rPr>
              <w:t>Cele programu</w:t>
            </w:r>
          </w:p>
        </w:tc>
        <w:tc>
          <w:tcPr>
            <w:tcW w:w="1418" w:type="dxa"/>
          </w:tcPr>
          <w:p w:rsidR="00ED6132" w:rsidRPr="00ED6132" w:rsidRDefault="00ED6132" w:rsidP="00ED6132">
            <w:pPr>
              <w:spacing w:before="0"/>
              <w:ind w:left="34"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sz w:val="18"/>
                <w:szCs w:val="18"/>
              </w:rPr>
            </w:pPr>
            <w:r w:rsidRPr="00ED6132">
              <w:rPr>
                <w:rFonts w:ascii="Calibri" w:eastAsia="Calibri" w:hAnsi="Calibri" w:cs="Times New Roman"/>
                <w:b/>
                <w:sz w:val="18"/>
                <w:szCs w:val="18"/>
              </w:rPr>
              <w:t xml:space="preserve">1. </w:t>
            </w:r>
            <w:proofErr w:type="gramStart"/>
            <w:r w:rsidRPr="00ED6132">
              <w:rPr>
                <w:rFonts w:ascii="Calibri" w:eastAsia="Calibri" w:hAnsi="Calibri" w:cs="Times New Roman"/>
                <w:b/>
                <w:sz w:val="18"/>
                <w:szCs w:val="18"/>
              </w:rPr>
              <w:t>Lepsza jakość</w:t>
            </w:r>
            <w:proofErr w:type="gramEnd"/>
            <w:r w:rsidRPr="00ED6132">
              <w:rPr>
                <w:rFonts w:ascii="Calibri" w:eastAsia="Calibri" w:hAnsi="Calibri" w:cs="Times New Roman"/>
                <w:b/>
                <w:sz w:val="18"/>
                <w:szCs w:val="18"/>
              </w:rPr>
              <w:t xml:space="preserve"> życia i zintegrowana społeczność lokalna</w:t>
            </w:r>
          </w:p>
        </w:tc>
        <w:tc>
          <w:tcPr>
            <w:tcW w:w="1417" w:type="dxa"/>
          </w:tcPr>
          <w:p w:rsidR="00ED6132" w:rsidRPr="00ED6132" w:rsidRDefault="00ED6132" w:rsidP="00A13FA7">
            <w:pPr>
              <w:numPr>
                <w:ilvl w:val="0"/>
                <w:numId w:val="73"/>
              </w:numPr>
              <w:spacing w:before="0"/>
              <w:ind w:left="33" w:firstLine="1"/>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 xml:space="preserve">Czyste środowisko i adaptacja do zmian klimatu </w:t>
            </w:r>
          </w:p>
        </w:tc>
        <w:tc>
          <w:tcPr>
            <w:tcW w:w="1372" w:type="dxa"/>
          </w:tcPr>
          <w:p w:rsidR="00ED6132" w:rsidRPr="00ED6132" w:rsidRDefault="00ED6132" w:rsidP="00A13FA7">
            <w:pPr>
              <w:numPr>
                <w:ilvl w:val="0"/>
                <w:numId w:val="73"/>
              </w:numPr>
              <w:spacing w:before="0"/>
              <w:ind w:left="34" w:hanging="125"/>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Rozwijająca się gospodarka i lokalny rynek pracy</w:t>
            </w:r>
          </w:p>
        </w:tc>
        <w:tc>
          <w:tcPr>
            <w:tcW w:w="1353" w:type="dxa"/>
          </w:tcPr>
          <w:p w:rsidR="00ED6132" w:rsidRPr="00ED6132" w:rsidRDefault="00ED6132" w:rsidP="00A13FA7">
            <w:pPr>
              <w:numPr>
                <w:ilvl w:val="0"/>
                <w:numId w:val="73"/>
              </w:numPr>
              <w:spacing w:before="0"/>
              <w:ind w:left="34"/>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Sprawna administracja i aktywne społeczeństwo obywatelskie</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5"/>
              </w:numPr>
              <w:spacing w:before="0"/>
              <w:ind w:left="0" w:hanging="11"/>
              <w:contextualSpacing/>
              <w:jc w:val="left"/>
              <w:rPr>
                <w:sz w:val="18"/>
                <w:szCs w:val="18"/>
              </w:rPr>
            </w:pPr>
            <w:r w:rsidRPr="00ED6132">
              <w:rPr>
                <w:sz w:val="18"/>
                <w:szCs w:val="18"/>
              </w:rPr>
              <w:lastRenderedPageBreak/>
              <w:t>Wzmocnienie kapitału społecznego obszaru rewitalizacji</w:t>
            </w:r>
          </w:p>
        </w:tc>
        <w:tc>
          <w:tcPr>
            <w:tcW w:w="1418"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72"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5"/>
              </w:numPr>
              <w:spacing w:before="0"/>
              <w:ind w:left="0" w:hanging="11"/>
              <w:contextualSpacing/>
              <w:jc w:val="left"/>
              <w:rPr>
                <w:sz w:val="18"/>
                <w:szCs w:val="18"/>
              </w:rPr>
            </w:pPr>
            <w:r w:rsidRPr="00ED6132">
              <w:rPr>
                <w:sz w:val="18"/>
                <w:szCs w:val="18"/>
              </w:rPr>
              <w:t>Tworzenie trwałych warunków do rozwoju gospodarczego obszaru rewitalizacji</w:t>
            </w:r>
          </w:p>
        </w:tc>
        <w:tc>
          <w:tcPr>
            <w:tcW w:w="1418"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c>
          <w:tcPr>
            <w:tcW w:w="1372"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53" w:type="dxa"/>
            <w:vAlign w:val="center"/>
          </w:tcPr>
          <w:p w:rsidR="00ED6132" w:rsidRPr="00ED6132" w:rsidRDefault="00ED6132" w:rsidP="00ED6132">
            <w:pPr>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A13FA7">
            <w:pPr>
              <w:numPr>
                <w:ilvl w:val="0"/>
                <w:numId w:val="75"/>
              </w:numPr>
              <w:spacing w:before="0"/>
              <w:ind w:left="0" w:hanging="11"/>
              <w:contextualSpacing/>
              <w:jc w:val="left"/>
              <w:rPr>
                <w:sz w:val="18"/>
                <w:szCs w:val="18"/>
              </w:rPr>
            </w:pPr>
            <w:r w:rsidRPr="00ED6132">
              <w:rPr>
                <w:sz w:val="18"/>
                <w:szCs w:val="18"/>
              </w:rPr>
              <w:t xml:space="preserve">Wzrost funkcjonalności infrastruktury i nadanie nowych funkcji przestrzeniom publicznym w obszarze rewitalizacji w celu </w:t>
            </w:r>
            <w:proofErr w:type="gramStart"/>
            <w:r w:rsidRPr="00ED6132">
              <w:rPr>
                <w:sz w:val="18"/>
                <w:szCs w:val="18"/>
              </w:rPr>
              <w:t>poprawy jakości</w:t>
            </w:r>
            <w:proofErr w:type="gramEnd"/>
            <w:r w:rsidRPr="00ED6132">
              <w:rPr>
                <w:sz w:val="18"/>
                <w:szCs w:val="18"/>
              </w:rPr>
              <w:t xml:space="preserve"> życia mieszkańców</w:t>
            </w:r>
          </w:p>
        </w:tc>
        <w:tc>
          <w:tcPr>
            <w:tcW w:w="1418"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r w:rsidRPr="00ED6132">
              <w:rPr>
                <w:rFonts w:ascii="Calibri" w:eastAsia="Calibri" w:hAnsi="Calibri" w:cs="Times New Roman"/>
                <w:sz w:val="24"/>
                <w:szCs w:val="24"/>
              </w:rPr>
              <w:t>X</w:t>
            </w:r>
          </w:p>
        </w:tc>
        <w:tc>
          <w:tcPr>
            <w:tcW w:w="1372"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c>
          <w:tcPr>
            <w:tcW w:w="1353" w:type="dxa"/>
            <w:vAlign w:val="center"/>
          </w:tcPr>
          <w:p w:rsidR="00ED6132" w:rsidRPr="00ED6132" w:rsidRDefault="00ED6132" w:rsidP="00ED6132">
            <w:pPr>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Times New Roman"/>
              </w:rPr>
            </w:pPr>
          </w:p>
        </w:tc>
      </w:tr>
    </w:tbl>
    <w:p w:rsidR="00ED6132" w:rsidRPr="00ED6132" w:rsidRDefault="00ED6132" w:rsidP="00ED6132">
      <w:pPr>
        <w:ind w:firstLine="0"/>
        <w:rPr>
          <w:rFonts w:ascii="Calibri" w:eastAsia="Calibri" w:hAnsi="Calibri" w:cs="Times New Roman"/>
        </w:rPr>
      </w:pPr>
    </w:p>
    <w:tbl>
      <w:tblPr>
        <w:tblStyle w:val="Jasnasiatkaakcent22"/>
        <w:tblW w:w="0" w:type="auto"/>
        <w:tblLook w:val="04A0" w:firstRow="1" w:lastRow="0" w:firstColumn="1" w:lastColumn="0" w:noHBand="0" w:noVBand="1"/>
      </w:tblPr>
      <w:tblGrid>
        <w:gridCol w:w="3652"/>
        <w:gridCol w:w="1418"/>
        <w:gridCol w:w="1417"/>
        <w:gridCol w:w="1418"/>
        <w:gridCol w:w="1383"/>
      </w:tblGrid>
      <w:tr w:rsidR="00ED6132" w:rsidRPr="00ED6132" w:rsidTr="00ED61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5"/>
            <w:shd w:val="clear" w:color="auto" w:fill="72ABF7" w:themeFill="text2" w:themeFillTint="66"/>
            <w:vAlign w:val="center"/>
          </w:tcPr>
          <w:p w:rsidR="00ED6132" w:rsidRPr="00ED6132" w:rsidRDefault="00ED6132" w:rsidP="00ED6132">
            <w:pPr>
              <w:spacing w:after="240"/>
              <w:ind w:left="34" w:firstLine="0"/>
              <w:contextualSpacing/>
              <w:jc w:val="center"/>
              <w:rPr>
                <w:rFonts w:ascii="Calibri" w:hAnsi="Calibri" w:cs="Calibri"/>
              </w:rPr>
            </w:pPr>
            <w:r w:rsidRPr="00ED6132">
              <w:rPr>
                <w:rFonts w:ascii="Calibri" w:hAnsi="Calibri" w:cs="Calibri"/>
              </w:rPr>
              <w:t>Program ochrony środowiska dla Gminy Hrubieszów na lata 2021-2024 z perspektywą do roku 2028:</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ED6132">
            <w:pPr>
              <w:spacing w:beforeLines="60" w:before="144" w:afterLines="60" w:after="144"/>
              <w:ind w:firstLine="0"/>
              <w:jc w:val="left"/>
              <w:rPr>
                <w:rFonts w:cs="Calibri"/>
                <w:sz w:val="18"/>
                <w:szCs w:val="18"/>
              </w:rPr>
            </w:pPr>
            <w:r w:rsidRPr="00ED6132">
              <w:rPr>
                <w:rFonts w:cs="Calibri"/>
                <w:sz w:val="18"/>
                <w:szCs w:val="18"/>
              </w:rPr>
              <w:t>Cele programu</w:t>
            </w:r>
          </w:p>
        </w:tc>
        <w:tc>
          <w:tcPr>
            <w:tcW w:w="1418" w:type="dxa"/>
          </w:tcPr>
          <w:p w:rsidR="00ED6132" w:rsidRPr="00ED6132" w:rsidRDefault="00ED6132" w:rsidP="00ED6132">
            <w:pPr>
              <w:spacing w:before="0"/>
              <w:ind w:left="34"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sz w:val="18"/>
                <w:szCs w:val="18"/>
              </w:rPr>
            </w:pPr>
            <w:r w:rsidRPr="00ED6132">
              <w:rPr>
                <w:rFonts w:ascii="Calibri" w:eastAsia="Calibri" w:hAnsi="Calibri" w:cs="Times New Roman"/>
                <w:b/>
                <w:sz w:val="18"/>
                <w:szCs w:val="18"/>
              </w:rPr>
              <w:t xml:space="preserve">1. </w:t>
            </w:r>
            <w:proofErr w:type="gramStart"/>
            <w:r w:rsidRPr="00ED6132">
              <w:rPr>
                <w:rFonts w:ascii="Calibri" w:eastAsia="Calibri" w:hAnsi="Calibri" w:cs="Times New Roman"/>
                <w:b/>
                <w:sz w:val="18"/>
                <w:szCs w:val="18"/>
              </w:rPr>
              <w:t>Lepsza jakość</w:t>
            </w:r>
            <w:proofErr w:type="gramEnd"/>
            <w:r w:rsidRPr="00ED6132">
              <w:rPr>
                <w:rFonts w:ascii="Calibri" w:eastAsia="Calibri" w:hAnsi="Calibri" w:cs="Times New Roman"/>
                <w:b/>
                <w:sz w:val="18"/>
                <w:szCs w:val="18"/>
              </w:rPr>
              <w:t xml:space="preserve"> życia i zintegrowana społeczność lokalna</w:t>
            </w:r>
          </w:p>
        </w:tc>
        <w:tc>
          <w:tcPr>
            <w:tcW w:w="1417" w:type="dxa"/>
          </w:tcPr>
          <w:p w:rsidR="00ED6132" w:rsidRPr="00ED6132" w:rsidRDefault="00ED6132" w:rsidP="00A13FA7">
            <w:pPr>
              <w:numPr>
                <w:ilvl w:val="0"/>
                <w:numId w:val="71"/>
              </w:numPr>
              <w:spacing w:before="0"/>
              <w:ind w:left="33" w:firstLine="17"/>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 xml:space="preserve">Czyste środowisko i adaptacja do zmian klimatu </w:t>
            </w:r>
          </w:p>
        </w:tc>
        <w:tc>
          <w:tcPr>
            <w:tcW w:w="1418" w:type="dxa"/>
          </w:tcPr>
          <w:p w:rsidR="00ED6132" w:rsidRPr="00ED6132" w:rsidRDefault="00ED6132" w:rsidP="00A13FA7">
            <w:pPr>
              <w:numPr>
                <w:ilvl w:val="0"/>
                <w:numId w:val="71"/>
              </w:numPr>
              <w:spacing w:before="0"/>
              <w:ind w:left="34" w:hanging="125"/>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Rozwijająca się gospodarka i lokalny rynek pracy</w:t>
            </w:r>
          </w:p>
        </w:tc>
        <w:tc>
          <w:tcPr>
            <w:tcW w:w="1383" w:type="dxa"/>
          </w:tcPr>
          <w:p w:rsidR="00ED6132" w:rsidRPr="00ED6132" w:rsidRDefault="00ED6132" w:rsidP="00A13FA7">
            <w:pPr>
              <w:numPr>
                <w:ilvl w:val="0"/>
                <w:numId w:val="71"/>
              </w:numPr>
              <w:spacing w:before="0"/>
              <w:ind w:left="34"/>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Sprawna administracja i aktywne społeczeństwo obywatelskie</w:t>
            </w:r>
          </w:p>
        </w:tc>
      </w:tr>
      <w:tr w:rsidR="00ED6132" w:rsidRPr="00ED6132" w:rsidTr="00E33674">
        <w:trPr>
          <w:cnfStyle w:val="000000010000" w:firstRow="0" w:lastRow="0" w:firstColumn="0" w:lastColumn="0" w:oddVBand="0" w:evenVBand="0" w:oddHBand="0" w:evenHBand="1"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proofErr w:type="gramStart"/>
            <w:r w:rsidRPr="00C24A47">
              <w:rPr>
                <w:rFonts w:cs="Calibri"/>
                <w:sz w:val="18"/>
                <w:szCs w:val="18"/>
              </w:rPr>
              <w:t>Poprawa jakości</w:t>
            </w:r>
            <w:proofErr w:type="gramEnd"/>
            <w:r w:rsidRPr="00C24A47">
              <w:rPr>
                <w:rFonts w:cs="Calibri"/>
                <w:sz w:val="18"/>
                <w:szCs w:val="18"/>
              </w:rPr>
              <w:t xml:space="preserve"> powietrza atmosferycznego</w:t>
            </w: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7"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r w:rsidRPr="00C24A47">
              <w:rPr>
                <w:rFonts w:cs="Calibri"/>
                <w:sz w:val="18"/>
                <w:szCs w:val="18"/>
              </w:rPr>
              <w:t>Poprawa klimatu akustycznego</w:t>
            </w: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r w:rsidRPr="00C24A47">
              <w:rPr>
                <w:rFonts w:cs="Calibri"/>
                <w:sz w:val="18"/>
                <w:szCs w:val="18"/>
              </w:rPr>
              <w:t>Zachowanie poziomów pól elektromagnetycznych poniżej dopuszczalnych norm</w:t>
            </w: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r w:rsidRPr="00C24A47">
              <w:rPr>
                <w:rFonts w:cs="Calibri"/>
                <w:sz w:val="18"/>
                <w:szCs w:val="18"/>
              </w:rPr>
              <w:t>Dobry stan wód powierzchniowych i podziemnych</w:t>
            </w: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7"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r w:rsidRPr="00C24A47">
              <w:rPr>
                <w:rFonts w:cs="Calibri"/>
                <w:sz w:val="18"/>
                <w:szCs w:val="18"/>
              </w:rPr>
              <w:t>Prowadzenie racjonalnej gospodarki wodno-ściekowej</w:t>
            </w: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7"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r w:rsidRPr="00C24A47">
              <w:rPr>
                <w:rFonts w:cs="Calibri"/>
                <w:sz w:val="18"/>
                <w:szCs w:val="18"/>
              </w:rPr>
              <w:t>Ochrona zasobów złóż kopalin</w:t>
            </w: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7"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r w:rsidRPr="00C24A47">
              <w:rPr>
                <w:rFonts w:cs="Calibri"/>
                <w:sz w:val="18"/>
                <w:szCs w:val="18"/>
              </w:rPr>
              <w:t>Ochrona przed degradacją gleb</w:t>
            </w: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7"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r w:rsidRPr="00C24A47">
              <w:rPr>
                <w:rFonts w:cs="Calibri"/>
                <w:sz w:val="18"/>
                <w:szCs w:val="18"/>
              </w:rPr>
              <w:t>Budowa systemu gospodarki odpadami zgodnego z wymaganiami KPGO 2022</w:t>
            </w: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7"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r w:rsidRPr="00C24A47">
              <w:rPr>
                <w:rFonts w:cs="Calibri"/>
                <w:sz w:val="18"/>
                <w:szCs w:val="18"/>
              </w:rPr>
              <w:t>Zachowanie walorów i zasobów przyrodniczych</w:t>
            </w: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7"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8"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C24A47" w:rsidRDefault="00ED6132" w:rsidP="00E33674">
            <w:pPr>
              <w:spacing w:beforeLines="60" w:before="144" w:afterLines="60" w:after="144"/>
              <w:ind w:firstLine="0"/>
              <w:jc w:val="left"/>
              <w:rPr>
                <w:rFonts w:cs="Calibri"/>
                <w:sz w:val="18"/>
                <w:szCs w:val="18"/>
              </w:rPr>
            </w:pPr>
            <w:r w:rsidRPr="00C24A47">
              <w:rPr>
                <w:rFonts w:cs="Calibri"/>
                <w:sz w:val="18"/>
                <w:szCs w:val="18"/>
              </w:rPr>
              <w:t>Ochrona przed poważnymi awariami i zagrożeniami naturalnymi</w:t>
            </w: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8"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33674">
            <w:pPr>
              <w:spacing w:beforeLines="60" w:before="144"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r>
    </w:tbl>
    <w:tbl>
      <w:tblPr>
        <w:tblStyle w:val="Jasnasiatkaakcent211"/>
        <w:tblW w:w="0" w:type="auto"/>
        <w:tblLook w:val="04A0" w:firstRow="1" w:lastRow="0" w:firstColumn="1" w:lastColumn="0" w:noHBand="0" w:noVBand="1"/>
      </w:tblPr>
      <w:tblGrid>
        <w:gridCol w:w="3652"/>
        <w:gridCol w:w="1418"/>
        <w:gridCol w:w="1417"/>
        <w:gridCol w:w="1418"/>
        <w:gridCol w:w="1383"/>
      </w:tblGrid>
      <w:tr w:rsidR="00ED6132" w:rsidRPr="00ED6132" w:rsidTr="00ED61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5"/>
            <w:shd w:val="clear" w:color="auto" w:fill="72ABF7" w:themeFill="text2" w:themeFillTint="66"/>
            <w:vAlign w:val="center"/>
          </w:tcPr>
          <w:p w:rsidR="00ED6132" w:rsidRPr="00ED6132" w:rsidRDefault="00ED6132" w:rsidP="00ED6132">
            <w:pPr>
              <w:spacing w:before="60" w:afterLines="60" w:after="144"/>
              <w:ind w:firstLine="0"/>
              <w:jc w:val="center"/>
            </w:pPr>
            <w:r w:rsidRPr="00ED6132">
              <w:t>Gminny Program Wspierania Rodziny na lata 2020-2023:</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ED6132">
            <w:pPr>
              <w:spacing w:before="60" w:afterLines="60" w:after="144"/>
              <w:ind w:firstLine="0"/>
              <w:jc w:val="left"/>
              <w:rPr>
                <w:sz w:val="18"/>
                <w:szCs w:val="18"/>
              </w:rPr>
            </w:pPr>
            <w:r w:rsidRPr="00ED6132">
              <w:rPr>
                <w:sz w:val="18"/>
                <w:szCs w:val="18"/>
              </w:rPr>
              <w:t xml:space="preserve">Cele Programu </w:t>
            </w:r>
          </w:p>
        </w:tc>
        <w:tc>
          <w:tcPr>
            <w:tcW w:w="1418" w:type="dxa"/>
          </w:tcPr>
          <w:p w:rsidR="00ED6132" w:rsidRPr="00ED6132" w:rsidRDefault="00ED6132" w:rsidP="00ED6132">
            <w:pPr>
              <w:spacing w:before="0"/>
              <w:ind w:left="34"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sz w:val="18"/>
                <w:szCs w:val="18"/>
              </w:rPr>
            </w:pPr>
            <w:r w:rsidRPr="00ED6132">
              <w:rPr>
                <w:rFonts w:ascii="Calibri" w:eastAsia="Calibri" w:hAnsi="Calibri" w:cs="Times New Roman"/>
                <w:b/>
                <w:sz w:val="18"/>
                <w:szCs w:val="18"/>
              </w:rPr>
              <w:t xml:space="preserve">1. </w:t>
            </w:r>
            <w:proofErr w:type="gramStart"/>
            <w:r w:rsidRPr="00ED6132">
              <w:rPr>
                <w:rFonts w:ascii="Calibri" w:eastAsia="Calibri" w:hAnsi="Calibri" w:cs="Times New Roman"/>
                <w:b/>
                <w:sz w:val="18"/>
                <w:szCs w:val="18"/>
              </w:rPr>
              <w:t>Lepsza jakość</w:t>
            </w:r>
            <w:proofErr w:type="gramEnd"/>
            <w:r w:rsidRPr="00ED6132">
              <w:rPr>
                <w:rFonts w:ascii="Calibri" w:eastAsia="Calibri" w:hAnsi="Calibri" w:cs="Times New Roman"/>
                <w:b/>
                <w:sz w:val="18"/>
                <w:szCs w:val="18"/>
              </w:rPr>
              <w:t xml:space="preserve"> życia i zintegrowana społeczność lokalna</w:t>
            </w:r>
          </w:p>
        </w:tc>
        <w:tc>
          <w:tcPr>
            <w:tcW w:w="1417" w:type="dxa"/>
          </w:tcPr>
          <w:p w:rsidR="00ED6132" w:rsidRPr="00ED6132" w:rsidRDefault="00ED6132" w:rsidP="00A13FA7">
            <w:pPr>
              <w:numPr>
                <w:ilvl w:val="0"/>
                <w:numId w:val="63"/>
              </w:numPr>
              <w:spacing w:before="0"/>
              <w:ind w:left="81" w:firstLine="17"/>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 xml:space="preserve">Czyste środowisko i adaptacja do zmian klimatu </w:t>
            </w:r>
          </w:p>
        </w:tc>
        <w:tc>
          <w:tcPr>
            <w:tcW w:w="1418" w:type="dxa"/>
          </w:tcPr>
          <w:p w:rsidR="00ED6132" w:rsidRPr="00ED6132" w:rsidRDefault="00ED6132" w:rsidP="00A13FA7">
            <w:pPr>
              <w:numPr>
                <w:ilvl w:val="0"/>
                <w:numId w:val="63"/>
              </w:numPr>
              <w:spacing w:before="0"/>
              <w:ind w:left="34" w:hanging="125"/>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Rozwijająca się gospodarka i lokalny rynek pracy</w:t>
            </w:r>
          </w:p>
        </w:tc>
        <w:tc>
          <w:tcPr>
            <w:tcW w:w="1383" w:type="dxa"/>
          </w:tcPr>
          <w:p w:rsidR="00ED6132" w:rsidRPr="00ED6132" w:rsidRDefault="00ED6132" w:rsidP="00A13FA7">
            <w:pPr>
              <w:numPr>
                <w:ilvl w:val="0"/>
                <w:numId w:val="63"/>
              </w:numPr>
              <w:spacing w:before="0"/>
              <w:ind w:left="34"/>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Sprawna administracja i aktywne społeczeństwo obywatelskie</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firstLine="0"/>
              <w:jc w:val="left"/>
              <w:rPr>
                <w:sz w:val="18"/>
                <w:szCs w:val="18"/>
              </w:rPr>
            </w:pPr>
            <w:r w:rsidRPr="00ED6132">
              <w:rPr>
                <w:sz w:val="18"/>
                <w:szCs w:val="18"/>
              </w:rPr>
              <w:lastRenderedPageBreak/>
              <w:t>I Spójna polityka społeczna</w:t>
            </w: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left="284" w:firstLine="0"/>
              <w:jc w:val="left"/>
              <w:rPr>
                <w:sz w:val="18"/>
                <w:szCs w:val="18"/>
              </w:rPr>
            </w:pPr>
            <w:r w:rsidRPr="00ED6132">
              <w:rPr>
                <w:sz w:val="18"/>
                <w:szCs w:val="18"/>
              </w:rPr>
              <w:t>1.Zwiększenie wykorzystania środków i zasobów na cele społeczne</w:t>
            </w: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left="284" w:firstLine="0"/>
              <w:jc w:val="left"/>
              <w:rPr>
                <w:sz w:val="18"/>
                <w:szCs w:val="18"/>
              </w:rPr>
            </w:pPr>
            <w:r w:rsidRPr="00ED6132">
              <w:rPr>
                <w:sz w:val="18"/>
                <w:szCs w:val="18"/>
              </w:rPr>
              <w:t>2.Budowanie szerokiego partnerstwa oraz kapitału społecznego.</w:t>
            </w: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firstLine="0"/>
              <w:jc w:val="left"/>
              <w:rPr>
                <w:sz w:val="18"/>
                <w:szCs w:val="18"/>
              </w:rPr>
            </w:pPr>
            <w:r w:rsidRPr="00ED6132">
              <w:rPr>
                <w:sz w:val="18"/>
                <w:szCs w:val="18"/>
              </w:rPr>
              <w:t>II Ukształtowanie skutecznego systemu opieki nad rodziną</w:t>
            </w: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left="284" w:firstLine="0"/>
              <w:jc w:val="left"/>
              <w:rPr>
                <w:sz w:val="18"/>
                <w:szCs w:val="18"/>
              </w:rPr>
            </w:pPr>
            <w:r w:rsidRPr="00ED6132">
              <w:rPr>
                <w:sz w:val="18"/>
                <w:szCs w:val="18"/>
              </w:rPr>
              <w:t>1.Skuteczny system opieki nad rodziną i dzieckiem</w:t>
            </w: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left="284" w:firstLine="0"/>
              <w:jc w:val="left"/>
              <w:rPr>
                <w:sz w:val="18"/>
                <w:szCs w:val="18"/>
              </w:rPr>
            </w:pPr>
            <w:r w:rsidRPr="00ED6132">
              <w:rPr>
                <w:sz w:val="18"/>
                <w:szCs w:val="18"/>
              </w:rPr>
              <w:t>2.Przeciwdziałanie przemocy w rodzinie</w:t>
            </w: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left="284" w:firstLine="0"/>
              <w:jc w:val="left"/>
              <w:rPr>
                <w:sz w:val="18"/>
                <w:szCs w:val="18"/>
              </w:rPr>
            </w:pPr>
            <w:r w:rsidRPr="00ED6132">
              <w:rPr>
                <w:sz w:val="18"/>
                <w:szCs w:val="18"/>
              </w:rPr>
              <w:t xml:space="preserve">3.Koordynacja, wspieranie i promowanie działań w obszarze profilaktyki i rozwiązywania problemów związanych z uzależnieniami. </w:t>
            </w: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firstLine="0"/>
              <w:jc w:val="left"/>
              <w:rPr>
                <w:sz w:val="18"/>
                <w:szCs w:val="18"/>
              </w:rPr>
            </w:pPr>
            <w:r w:rsidRPr="00ED6132">
              <w:rPr>
                <w:sz w:val="18"/>
                <w:szCs w:val="18"/>
              </w:rPr>
              <w:t>III Wzmacnianie instytucji rodziny</w:t>
            </w: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left="284" w:firstLine="0"/>
              <w:jc w:val="left"/>
              <w:rPr>
                <w:sz w:val="18"/>
                <w:szCs w:val="18"/>
              </w:rPr>
            </w:pPr>
            <w:r w:rsidRPr="00ED6132">
              <w:rPr>
                <w:sz w:val="18"/>
                <w:szCs w:val="18"/>
              </w:rPr>
              <w:t>1.Poprawa kompetencji i umiejętności wychowawczych rodziców.</w:t>
            </w: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Lines="60" w:after="144"/>
              <w:ind w:left="284" w:firstLine="0"/>
              <w:jc w:val="left"/>
              <w:rPr>
                <w:sz w:val="18"/>
                <w:szCs w:val="18"/>
              </w:rPr>
            </w:pPr>
            <w:r w:rsidRPr="00ED6132">
              <w:rPr>
                <w:sz w:val="18"/>
                <w:szCs w:val="18"/>
              </w:rPr>
              <w:t>2.Wzmacnianie systemu opieki nad dzieckiem przebywającym poza rodziną naturalną.</w:t>
            </w: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Lines="60" w:after="144"/>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8" w:type="dxa"/>
            <w:gridSpan w:val="5"/>
            <w:shd w:val="clear" w:color="auto" w:fill="72ABF7" w:themeFill="text2" w:themeFillTint="66"/>
            <w:vAlign w:val="center"/>
          </w:tcPr>
          <w:p w:rsidR="00ED6132" w:rsidRPr="00ED6132" w:rsidRDefault="00ED6132" w:rsidP="00ED6132">
            <w:pPr>
              <w:spacing w:after="240"/>
              <w:ind w:left="34" w:firstLine="0"/>
              <w:contextualSpacing/>
              <w:jc w:val="center"/>
              <w:rPr>
                <w:rFonts w:ascii="Calibri" w:hAnsi="Calibri" w:cs="Calibri"/>
              </w:rPr>
            </w:pPr>
            <w:r w:rsidRPr="00ED6132">
              <w:rPr>
                <w:rFonts w:ascii="Calibri" w:hAnsi="Calibri" w:cs="Calibri"/>
              </w:rPr>
              <w:t>Gminna Strategia Rozwiązywania Problemów Społecznych Gminy Hrubieszów na lata 2020-2025</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vAlign w:val="center"/>
          </w:tcPr>
          <w:p w:rsidR="00ED6132" w:rsidRPr="00ED6132" w:rsidRDefault="00ED6132" w:rsidP="00ED6132">
            <w:pPr>
              <w:spacing w:before="60" w:after="60"/>
              <w:ind w:firstLine="0"/>
              <w:jc w:val="left"/>
              <w:rPr>
                <w:sz w:val="18"/>
                <w:szCs w:val="18"/>
              </w:rPr>
            </w:pPr>
            <w:r w:rsidRPr="00ED6132">
              <w:rPr>
                <w:sz w:val="18"/>
                <w:szCs w:val="18"/>
              </w:rPr>
              <w:t>Cele Strategii</w:t>
            </w:r>
          </w:p>
        </w:tc>
        <w:tc>
          <w:tcPr>
            <w:tcW w:w="1418" w:type="dxa"/>
          </w:tcPr>
          <w:p w:rsidR="00ED6132" w:rsidRPr="00ED6132" w:rsidRDefault="00ED6132" w:rsidP="00ED6132">
            <w:pPr>
              <w:spacing w:before="0"/>
              <w:ind w:left="34" w:firstLine="0"/>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Times New Roman"/>
                <w:b/>
                <w:sz w:val="18"/>
                <w:szCs w:val="18"/>
              </w:rPr>
            </w:pPr>
            <w:r w:rsidRPr="00ED6132">
              <w:rPr>
                <w:rFonts w:ascii="Calibri" w:eastAsia="Calibri" w:hAnsi="Calibri" w:cs="Times New Roman"/>
                <w:b/>
                <w:sz w:val="18"/>
                <w:szCs w:val="18"/>
              </w:rPr>
              <w:t xml:space="preserve">1. </w:t>
            </w:r>
            <w:proofErr w:type="gramStart"/>
            <w:r w:rsidRPr="00ED6132">
              <w:rPr>
                <w:rFonts w:ascii="Calibri" w:eastAsia="Calibri" w:hAnsi="Calibri" w:cs="Times New Roman"/>
                <w:b/>
                <w:sz w:val="18"/>
                <w:szCs w:val="18"/>
              </w:rPr>
              <w:t>Lepsza jakość</w:t>
            </w:r>
            <w:proofErr w:type="gramEnd"/>
            <w:r w:rsidRPr="00ED6132">
              <w:rPr>
                <w:rFonts w:ascii="Calibri" w:eastAsia="Calibri" w:hAnsi="Calibri" w:cs="Times New Roman"/>
                <w:b/>
                <w:sz w:val="18"/>
                <w:szCs w:val="18"/>
              </w:rPr>
              <w:t xml:space="preserve"> życia i zintegrowana społeczność lokalna</w:t>
            </w:r>
          </w:p>
        </w:tc>
        <w:tc>
          <w:tcPr>
            <w:tcW w:w="1417" w:type="dxa"/>
          </w:tcPr>
          <w:p w:rsidR="00ED6132" w:rsidRPr="00ED6132" w:rsidRDefault="00ED6132" w:rsidP="00A13FA7">
            <w:pPr>
              <w:numPr>
                <w:ilvl w:val="0"/>
                <w:numId w:val="64"/>
              </w:numPr>
              <w:spacing w:before="0"/>
              <w:ind w:left="60" w:firstLine="9"/>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 xml:space="preserve">Czyste środowisko i adaptacja do zmian klimatu </w:t>
            </w:r>
          </w:p>
        </w:tc>
        <w:tc>
          <w:tcPr>
            <w:tcW w:w="1418" w:type="dxa"/>
          </w:tcPr>
          <w:p w:rsidR="00ED6132" w:rsidRPr="00ED6132" w:rsidRDefault="00ED6132" w:rsidP="00A13FA7">
            <w:pPr>
              <w:numPr>
                <w:ilvl w:val="0"/>
                <w:numId w:val="64"/>
              </w:numPr>
              <w:spacing w:before="0"/>
              <w:ind w:left="34" w:hanging="125"/>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Rozwijająca się gospodarka i lokalny rynek pracy</w:t>
            </w:r>
          </w:p>
        </w:tc>
        <w:tc>
          <w:tcPr>
            <w:tcW w:w="1383" w:type="dxa"/>
          </w:tcPr>
          <w:p w:rsidR="00ED6132" w:rsidRPr="00ED6132" w:rsidRDefault="00ED6132" w:rsidP="00A13FA7">
            <w:pPr>
              <w:numPr>
                <w:ilvl w:val="0"/>
                <w:numId w:val="64"/>
              </w:numPr>
              <w:spacing w:before="0"/>
              <w:ind w:left="34"/>
              <w:contextualSpacing/>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18"/>
                <w:szCs w:val="18"/>
              </w:rPr>
            </w:pPr>
            <w:r w:rsidRPr="00ED6132">
              <w:rPr>
                <w:rFonts w:ascii="Calibri" w:eastAsia="Calibri" w:hAnsi="Calibri" w:cs="Calibri"/>
                <w:b/>
                <w:sz w:val="18"/>
                <w:szCs w:val="18"/>
              </w:rPr>
              <w:t>Sprawna administracja i aktywne społeczeństwo obywatelskie</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60"/>
              <w:ind w:firstLine="0"/>
              <w:jc w:val="left"/>
              <w:rPr>
                <w:sz w:val="18"/>
                <w:szCs w:val="18"/>
              </w:rPr>
            </w:pPr>
            <w:r w:rsidRPr="00ED6132">
              <w:rPr>
                <w:sz w:val="18"/>
                <w:szCs w:val="18"/>
              </w:rPr>
              <w:t>1. Integracja z lokalną społecznością osób zagrożonych marginalizacją społeczną.</w:t>
            </w:r>
          </w:p>
        </w:tc>
        <w:tc>
          <w:tcPr>
            <w:tcW w:w="1418" w:type="dxa"/>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60"/>
              <w:ind w:firstLine="0"/>
              <w:jc w:val="left"/>
              <w:rPr>
                <w:sz w:val="18"/>
                <w:szCs w:val="18"/>
              </w:rPr>
            </w:pPr>
            <w:r w:rsidRPr="00ED6132">
              <w:rPr>
                <w:sz w:val="18"/>
                <w:szCs w:val="18"/>
              </w:rPr>
              <w:t>2. Redukowanie bezrobocia i wsparcie osób pozostających bez zatrudnienia</w:t>
            </w:r>
          </w:p>
        </w:tc>
        <w:tc>
          <w:tcPr>
            <w:tcW w:w="1418" w:type="dxa"/>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8" w:type="dxa"/>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383" w:type="dxa"/>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60"/>
              <w:ind w:firstLine="0"/>
              <w:jc w:val="left"/>
              <w:rPr>
                <w:sz w:val="18"/>
                <w:szCs w:val="18"/>
              </w:rPr>
            </w:pPr>
            <w:r w:rsidRPr="00ED6132">
              <w:rPr>
                <w:sz w:val="18"/>
                <w:szCs w:val="18"/>
              </w:rPr>
              <w:t>3. Partnerska współpraca międzysektorowa w celu zapobiegania i niwelowania problemów społecznych oraz rozwój świadomości mieszkańców</w:t>
            </w:r>
          </w:p>
        </w:tc>
        <w:tc>
          <w:tcPr>
            <w:tcW w:w="1418"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418"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p>
        </w:tc>
        <w:tc>
          <w:tcPr>
            <w:tcW w:w="1383" w:type="dxa"/>
            <w:vAlign w:val="center"/>
          </w:tcPr>
          <w:p w:rsidR="00ED6132" w:rsidRPr="00ED6132" w:rsidRDefault="00ED6132" w:rsidP="00ED6132">
            <w:pPr>
              <w:spacing w:before="60" w:after="60"/>
              <w:ind w:firstLine="0"/>
              <w:jc w:val="center"/>
              <w:cnfStyle w:val="000000010000" w:firstRow="0" w:lastRow="0" w:firstColumn="0" w:lastColumn="0" w:oddVBand="0" w:evenVBand="0" w:oddHBand="0" w:evenHBand="1"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r w:rsidR="00ED6132" w:rsidRPr="00ED6132" w:rsidTr="00ED6132">
        <w:trPr>
          <w:cnfStyle w:val="000000100000" w:firstRow="0" w:lastRow="0" w:firstColumn="0" w:lastColumn="0" w:oddVBand="0" w:evenVBand="0" w:oddHBand="1" w:evenHBand="0" w:firstRowFirstColumn="0" w:firstRowLastColumn="0" w:lastRowFirstColumn="0" w:lastRowLastColumn="0"/>
          <w:trHeight w:val="1528"/>
        </w:trPr>
        <w:tc>
          <w:tcPr>
            <w:cnfStyle w:val="001000000000" w:firstRow="0" w:lastRow="0" w:firstColumn="1" w:lastColumn="0" w:oddVBand="0" w:evenVBand="0" w:oddHBand="0" w:evenHBand="0" w:firstRowFirstColumn="0" w:firstRowLastColumn="0" w:lastRowFirstColumn="0" w:lastRowLastColumn="0"/>
            <w:tcW w:w="3652" w:type="dxa"/>
          </w:tcPr>
          <w:p w:rsidR="00ED6132" w:rsidRPr="00ED6132" w:rsidRDefault="00ED6132" w:rsidP="00ED6132">
            <w:pPr>
              <w:spacing w:before="60" w:after="60"/>
              <w:ind w:firstLine="0"/>
              <w:jc w:val="left"/>
              <w:rPr>
                <w:sz w:val="18"/>
                <w:szCs w:val="18"/>
              </w:rPr>
            </w:pPr>
            <w:r w:rsidRPr="00ED6132">
              <w:rPr>
                <w:sz w:val="18"/>
                <w:szCs w:val="18"/>
              </w:rPr>
              <w:t>4. Budowa zintegrowanego systemu profilaktyki i rozwiązywania problemów uzależnień dla młodzieży, rodzin i innych wymagających interwencji grup.</w:t>
            </w:r>
          </w:p>
        </w:tc>
        <w:tc>
          <w:tcPr>
            <w:tcW w:w="1418"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c>
          <w:tcPr>
            <w:tcW w:w="1417"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418"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p>
        </w:tc>
        <w:tc>
          <w:tcPr>
            <w:tcW w:w="1383" w:type="dxa"/>
            <w:vAlign w:val="center"/>
          </w:tcPr>
          <w:p w:rsidR="00ED6132" w:rsidRPr="00ED6132" w:rsidRDefault="00ED6132" w:rsidP="00ED6132">
            <w:pPr>
              <w:spacing w:before="60" w:after="6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
                <w:sz w:val="32"/>
                <w:szCs w:val="18"/>
              </w:rPr>
            </w:pPr>
            <w:r w:rsidRPr="00ED6132">
              <w:rPr>
                <w:rFonts w:ascii="Calibri" w:eastAsia="Calibri" w:hAnsi="Calibri" w:cs="Times New Roman"/>
                <w:sz w:val="24"/>
                <w:szCs w:val="24"/>
              </w:rPr>
              <w:t>X</w:t>
            </w:r>
          </w:p>
        </w:tc>
      </w:tr>
    </w:tbl>
    <w:p w:rsidR="00ED6132" w:rsidRPr="00ED6132" w:rsidRDefault="00ED6132" w:rsidP="00ED6132">
      <w:pPr>
        <w:spacing w:before="0"/>
        <w:ind w:firstLine="0"/>
        <w:jc w:val="left"/>
        <w:rPr>
          <w:rFonts w:ascii="Calibri" w:eastAsia="Calibri" w:hAnsi="Calibri" w:cs="Times New Roman"/>
        </w:rPr>
      </w:pPr>
    </w:p>
    <w:p w:rsidR="00A91823" w:rsidRDefault="00A91823" w:rsidP="00C652EF">
      <w:pPr>
        <w:pStyle w:val="Nagwek11"/>
      </w:pPr>
      <w:bookmarkStart w:id="98" w:name="_Toc138068794"/>
      <w:r>
        <w:lastRenderedPageBreak/>
        <w:t>Uspołecznienie dokumentu Strategii</w:t>
      </w:r>
      <w:bookmarkEnd w:id="98"/>
    </w:p>
    <w:p w:rsidR="000F50DC" w:rsidRPr="00CB0533" w:rsidRDefault="00324F25" w:rsidP="000F50DC">
      <w:pPr>
        <w:rPr>
          <w:rFonts w:cstheme="minorHAnsi"/>
        </w:rPr>
      </w:pPr>
      <w:r w:rsidRPr="00CB0533">
        <w:rPr>
          <w:rFonts w:cstheme="minorHAnsi"/>
        </w:rPr>
        <w:t>Proces Strategii został opracowany w oparciu o artykuł 8 Rozporządzenia Parlamentu Europejskiego i Rady z dnia 24 czerwca 2021 r. ustanawiającego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 (Rozporządzenie Ogólne).</w:t>
      </w:r>
    </w:p>
    <w:p w:rsidR="00324F25" w:rsidRPr="00CB0533" w:rsidRDefault="00324F25" w:rsidP="000F50DC">
      <w:pPr>
        <w:rPr>
          <w:rFonts w:cstheme="minorHAnsi"/>
        </w:rPr>
      </w:pPr>
      <w:r w:rsidRPr="00CB0533">
        <w:rPr>
          <w:rFonts w:cstheme="minorHAnsi"/>
        </w:rPr>
        <w:t xml:space="preserve">Zapewniono możliwość udziału w procesie konsultacji partnerów gospodarczych i społecznych oraz właściwych podmiotów reprezentujących społeczeństwo obywatelskie, takich jak partnerzy działający na rzecz środowiska, organizacje pozarządowe, oraz podmioty odpowiedzialne za promowanie włączenia społecznego, </w:t>
      </w:r>
      <w:proofErr w:type="gramStart"/>
      <w:r w:rsidRPr="00CB0533">
        <w:rPr>
          <w:rFonts w:cstheme="minorHAnsi"/>
        </w:rPr>
        <w:t>praw</w:t>
      </w:r>
      <w:proofErr w:type="gramEnd"/>
      <w:r w:rsidRPr="00CB0533">
        <w:rPr>
          <w:rFonts w:cstheme="minorHAnsi"/>
        </w:rPr>
        <w:t xml:space="preserve"> podstawowych, praw osób z niepełnosprawnościami, równouprawnienia płci i niedyskryminacji.</w:t>
      </w:r>
    </w:p>
    <w:p w:rsidR="00721237" w:rsidRPr="00CB0533" w:rsidRDefault="00721237" w:rsidP="000F50DC">
      <w:pPr>
        <w:rPr>
          <w:rFonts w:cstheme="minorHAnsi"/>
        </w:rPr>
      </w:pPr>
      <w:r w:rsidRPr="00CB0533">
        <w:rPr>
          <w:rFonts w:cstheme="minorHAnsi"/>
        </w:rPr>
        <w:t>Szczegóły dotyczące poszczególnych form partycypacji społecznej</w:t>
      </w:r>
      <w:r w:rsidR="00A55DB8" w:rsidRPr="00CB0533">
        <w:rPr>
          <w:rFonts w:cstheme="minorHAnsi"/>
        </w:rPr>
        <w:t xml:space="preserve"> </w:t>
      </w:r>
      <w:r w:rsidRPr="00CB0533">
        <w:rPr>
          <w:rFonts w:cstheme="minorHAnsi"/>
        </w:rPr>
        <w:t xml:space="preserve">oraz wyniki konsultacji społecznych omówiono w załączniku 3 do Strategii rozwoju ponadlokalnego HOF na lata 2021 – 2030: </w:t>
      </w:r>
      <w:r w:rsidRPr="00CB0533">
        <w:rPr>
          <w:rFonts w:cstheme="minorHAnsi"/>
          <w:i/>
        </w:rPr>
        <w:t>„Sprawozdanie z konsultacji społecznych projektu Strategii rozwoju ponadlokalnego Hrubieszowskiego Obszaru Funkcjonalnego na lata 2021 – 2030”.</w:t>
      </w:r>
    </w:p>
    <w:p w:rsidR="00721237" w:rsidRPr="00CB0533" w:rsidRDefault="00721237" w:rsidP="000F50DC">
      <w:pPr>
        <w:rPr>
          <w:rFonts w:ascii="Calibri" w:eastAsia="Candara" w:hAnsi="Calibri" w:cs="Times New Roman"/>
        </w:rPr>
      </w:pPr>
      <w:r w:rsidRPr="00CB0533">
        <w:rPr>
          <w:rFonts w:ascii="Calibri" w:eastAsia="Candara" w:hAnsi="Calibri" w:cs="Times New Roman"/>
        </w:rPr>
        <w:t xml:space="preserve">Konsultacje społeczne rozpoczęto od badania ankietowego dotyczącego oceny stanu i potencjału Hrubieszowskiego Obszaru Funkcjonalnego. Ankieta była skierowana do mieszkańców Gminy Miejskiej Hrubieszów oraz Gminy Hrubieszów, które tworzą Hrubieszowski Obszar Funkcjonalny. Głównym celem badania było zebranie opinii mieszkańców Hrubieszowskiego Obszaru Funkcjonalnego na </w:t>
      </w:r>
      <w:proofErr w:type="gramStart"/>
      <w:r w:rsidRPr="00CB0533">
        <w:rPr>
          <w:rFonts w:ascii="Calibri" w:eastAsia="Candara" w:hAnsi="Calibri" w:cs="Times New Roman"/>
        </w:rPr>
        <w:t>temat jakości</w:t>
      </w:r>
      <w:proofErr w:type="gramEnd"/>
      <w:r w:rsidRPr="00CB0533">
        <w:rPr>
          <w:rFonts w:ascii="Calibri" w:eastAsia="Candara" w:hAnsi="Calibri" w:cs="Times New Roman"/>
        </w:rPr>
        <w:t xml:space="preserve"> życia, potencjałów oraz kierunków rozwoju HOF. Ankieta stanowi odzwierciedlenie rzeczywistych potrzeb społeczno-gospodarczych Hrubieszowskiego Obszaru Funkcjonalnego w okresie realizacji strategii. W ankiecie zamieszczono 22 pytania, z czego 5 to pytania umieszczone w metryczce. W większości były to pytania wielokrotnego wyboru. W badaniu ankietowym udział wzięło 67 respondentów.</w:t>
      </w:r>
    </w:p>
    <w:p w:rsidR="009E7A78" w:rsidRPr="00CB0533" w:rsidRDefault="009E7A78" w:rsidP="000F50DC">
      <w:r w:rsidRPr="00CB0533">
        <w:rPr>
          <w:rFonts w:ascii="Calibri" w:eastAsia="Candara" w:hAnsi="Calibri" w:cs="Times New Roman"/>
        </w:rPr>
        <w:t xml:space="preserve">Dnia 14 września 2021 roku odbyło się spotkanie planistyczne w formie warsztatów dotyczących opracowania projektu Strategii rozwoju ponadlokalnego Hrubieszowskiego Obszaru Funkcjonalnego na lata 2021 – 2030. </w:t>
      </w:r>
      <w:r w:rsidRPr="00CB0533">
        <w:t xml:space="preserve">W spotkaniu udział wzięli członkowie Zespołu do spraw opracowania „Strategii rozwoju ponadlokalnego Hrubieszowskiego Obszaru Funkcjonalnego na lata 2021–2030” ze strony Gminy Miejskiej Hrubieszów oraz przedstawiciele Partnera Hrubieszowskiego Obszaru Funkcjonalnego - Gminy Hrubieszów. Na spotkaniu poruszono kilka kwestii: </w:t>
      </w:r>
    </w:p>
    <w:p w:rsidR="009E7A78" w:rsidRPr="00CB0533" w:rsidRDefault="009E7A78" w:rsidP="000C2F23">
      <w:pPr>
        <w:pStyle w:val="Akapitzlist"/>
        <w:numPr>
          <w:ilvl w:val="0"/>
          <w:numId w:val="95"/>
        </w:numPr>
        <w:spacing w:before="0" w:after="200"/>
        <w:ind w:left="567"/>
        <w:rPr>
          <w:rFonts w:eastAsia="Candara" w:cs="Times New Roman"/>
        </w:rPr>
      </w:pPr>
      <w:r w:rsidRPr="00CB0533">
        <w:rPr>
          <w:rFonts w:eastAsia="Candara" w:cs="Times New Roman"/>
        </w:rPr>
        <w:t>Ocenę uwarunkowań i stanu zagospodarowania przestrzennego Hrubieszowskiego Obszaru Funkcjonalnego w kontekście prac nad modelem funkcjonalno-przestrzennym w Strategii rozwoju ponadlokalnego Hrubieszowskiego Obszaru Funkcjonalnego na lata 2021 – 2030.</w:t>
      </w:r>
    </w:p>
    <w:p w:rsidR="009E7A78" w:rsidRPr="00CB0533" w:rsidRDefault="009E7A78" w:rsidP="000C2F23">
      <w:pPr>
        <w:pStyle w:val="Akapitzlist"/>
        <w:numPr>
          <w:ilvl w:val="0"/>
          <w:numId w:val="95"/>
        </w:numPr>
        <w:spacing w:before="0" w:after="200"/>
        <w:ind w:left="567"/>
        <w:rPr>
          <w:rFonts w:eastAsia="Candara" w:cs="Times New Roman"/>
        </w:rPr>
      </w:pPr>
      <w:r w:rsidRPr="00CB0533">
        <w:rPr>
          <w:rFonts w:eastAsia="Candara" w:cs="Times New Roman"/>
        </w:rPr>
        <w:t>Analizę możliwych obszarów i kierunków interwencji istotnych z punktu widzenia rozwoju Hrubieszowskiego Obszaru Funkcjonalnego.</w:t>
      </w:r>
    </w:p>
    <w:p w:rsidR="009E7A78" w:rsidRPr="00CB0533" w:rsidRDefault="009E7A78" w:rsidP="000C2F23">
      <w:pPr>
        <w:pStyle w:val="Akapitzlist"/>
        <w:numPr>
          <w:ilvl w:val="0"/>
          <w:numId w:val="95"/>
        </w:numPr>
        <w:spacing w:before="0" w:after="200"/>
        <w:ind w:left="567"/>
        <w:rPr>
          <w:rFonts w:eastAsia="Candara" w:cs="Times New Roman"/>
        </w:rPr>
      </w:pPr>
      <w:r w:rsidRPr="00CB0533">
        <w:rPr>
          <w:rFonts w:eastAsia="Candara" w:cs="Times New Roman"/>
        </w:rPr>
        <w:t>Sformułowanie kluczowych wniosków i rekomendacji dotyczących przyszłych kierunków planowania przestrzennego Hrubieszowskiego Obszaru Funkcjonalnego.</w:t>
      </w:r>
    </w:p>
    <w:p w:rsidR="009E7A78" w:rsidRPr="00CB0533" w:rsidRDefault="009E7A78" w:rsidP="009E7A78">
      <w:pPr>
        <w:rPr>
          <w:rFonts w:ascii="Calibri" w:eastAsia="Candara" w:hAnsi="Calibri" w:cs="Times New Roman"/>
        </w:rPr>
      </w:pPr>
      <w:r w:rsidRPr="00CB0533">
        <w:lastRenderedPageBreak/>
        <w:t xml:space="preserve">Odbyły się również spotkania informacyjno-konsultacyjne z kluczowymi interesariuszami opracowywanej Strategii. Podczas spotkań mieszkańcy </w:t>
      </w:r>
      <w:r w:rsidRPr="00CB0533">
        <w:rPr>
          <w:rFonts w:ascii="Calibri" w:eastAsia="Candara" w:hAnsi="Calibri" w:cs="Times New Roman"/>
        </w:rPr>
        <w:t>HOF mieli możliwość przekazania swoich uwag i propozycji do Strategii. Uczestnikami spotkań byli: przedstawiciele władz Miasta Hrubieszów oraz Gminy Hrubieszów, pracownicy Urzędu Miasta Hrubieszów i Urzędu Gminy Hrubieszów oraz ich jednostek organizacyjnych, radni Rady Miejskiej w Hrubieszowie i Rady Gminy w Hrubieszowie, przedstawiciele Służb Mundurowych, przedsiębiorcy oraz członkowie stowarzyszeń. Wszystkie uwagi zgłoszone przez uczestników na spotkaniu zostały uwzględnione w dokumencie Strategii.</w:t>
      </w:r>
    </w:p>
    <w:p w:rsidR="009E7A78" w:rsidRPr="00CB0533" w:rsidRDefault="009E7A78" w:rsidP="009E7A78">
      <w:pPr>
        <w:rPr>
          <w:rFonts w:cstheme="minorHAnsi"/>
          <w:i/>
        </w:rPr>
      </w:pPr>
      <w:r w:rsidRPr="000274E1">
        <w:rPr>
          <w:rFonts w:ascii="Calibri" w:eastAsia="Candara" w:hAnsi="Calibri" w:cs="Times New Roman"/>
          <w:highlight w:val="lightGray"/>
        </w:rPr>
        <w:t xml:space="preserve">Projekt dokumentu Strategii został podany do publicznej wiadomości. Wszyscy zainteresowani mieli możliwość zapoznania się z treścią dokumentu i zgłoszenia swoich uwag. Sprawozdanie z konsultacji projektu dokumentu Strategii rozwoju ponadlokalnego Hrubieszowskiego Obszaru Funkcjonalnego na lata 2021 – 2030 </w:t>
      </w:r>
      <w:r w:rsidRPr="000274E1">
        <w:rPr>
          <w:rFonts w:cstheme="minorHAnsi"/>
          <w:highlight w:val="lightGray"/>
        </w:rPr>
        <w:t xml:space="preserve">omówiono w załączniku 3 do Strategii rozwoju ponadlokalnego HOF na lata 2021 – 2030: </w:t>
      </w:r>
      <w:r w:rsidRPr="000274E1">
        <w:rPr>
          <w:rFonts w:cstheme="minorHAnsi"/>
          <w:i/>
          <w:highlight w:val="lightGray"/>
        </w:rPr>
        <w:t>„Sprawozdanie z konsultacji społecznych projektu Strategii rozwoju ponadlokalnego Hrubieszowskiego Obszaru Funkcjonalnego na lata 2021 – 2030”.</w:t>
      </w:r>
      <w:r w:rsidR="000274E1">
        <w:rPr>
          <w:rFonts w:cstheme="minorHAnsi"/>
          <w:i/>
        </w:rPr>
        <w:t xml:space="preserve"> Do uzupełnienia po zakończeniu procesu konsultacji społecznych.</w:t>
      </w:r>
    </w:p>
    <w:p w:rsidR="00E1156A" w:rsidRPr="00CB0533" w:rsidRDefault="00625C2F" w:rsidP="009E7A78">
      <w:r w:rsidRPr="00CB0533">
        <w:rPr>
          <w:rFonts w:cstheme="minorHAnsi"/>
        </w:rPr>
        <w:t xml:space="preserve">W wypadku </w:t>
      </w:r>
      <w:r w:rsidR="003031F4" w:rsidRPr="00CB0533">
        <w:rPr>
          <w:rFonts w:cstheme="minorHAnsi"/>
        </w:rPr>
        <w:t>identyfikacji projektów w zakresie adaptacji do zmian klimatu miast należy zapewnić szeroką partycypację społeczną. W</w:t>
      </w:r>
      <w:r w:rsidR="003031F4" w:rsidRPr="00CB0533">
        <w:t xml:space="preserve"> odróżnieniu od procesu partycypacji innych projektów szeroka partycypacja będzie polegała na: </w:t>
      </w:r>
    </w:p>
    <w:p w:rsidR="003031F4" w:rsidRPr="00CB0533" w:rsidRDefault="003031F4" w:rsidP="003031F4">
      <w:pPr>
        <w:pStyle w:val="Akapitzlist"/>
        <w:numPr>
          <w:ilvl w:val="0"/>
          <w:numId w:val="94"/>
        </w:numPr>
      </w:pPr>
      <w:r w:rsidRPr="00CB0533">
        <w:t>W proces opracowywania planu adaptacji do zmian klimatu lub wyłanianych projektów w zakresie adaptacji do zmian klimatu zaangażowane będzie szerokie grono interesariuszy obejmujące organizacje pozarządowe, przedstawicieli biznesu oraz mieszkańców.</w:t>
      </w:r>
    </w:p>
    <w:p w:rsidR="003031F4" w:rsidRPr="00CB0533" w:rsidRDefault="003031F4" w:rsidP="003031F4">
      <w:pPr>
        <w:pStyle w:val="Akapitzlist"/>
        <w:numPr>
          <w:ilvl w:val="0"/>
          <w:numId w:val="94"/>
        </w:numPr>
      </w:pPr>
      <w:r w:rsidRPr="00CB0533">
        <w:t>Konsultacje społeczne projektu planu adaptacji do zmian klimatu lub wyłanianych projektów w zakresie adaptacji do zmian klimatu prowadzone będą za pomocą spotkań publicznych.</w:t>
      </w:r>
    </w:p>
    <w:p w:rsidR="008851A8" w:rsidRPr="00CB0533" w:rsidRDefault="003031F4" w:rsidP="008851A8">
      <w:pPr>
        <w:pStyle w:val="Akapitzlist"/>
        <w:numPr>
          <w:ilvl w:val="0"/>
          <w:numId w:val="94"/>
        </w:numPr>
      </w:pPr>
      <w:r w:rsidRPr="00CB0533">
        <w:t>Konsultacje społeczne projektu planu adaptacji do zmian klimatu lub wyłanianych projektów w zakresie adaptacji do zmian klimatu prowadzone będą za pomocą wykorzystania grup przedstawicielskich.</w:t>
      </w:r>
      <w:r w:rsidR="008851A8" w:rsidRPr="00CB0533">
        <w:t xml:space="preserve"> </w:t>
      </w:r>
    </w:p>
    <w:p w:rsidR="003031F4" w:rsidRPr="00CB0533" w:rsidRDefault="008851A8" w:rsidP="008851A8">
      <w:pPr>
        <w:pStyle w:val="Akapitzlist"/>
        <w:numPr>
          <w:ilvl w:val="0"/>
          <w:numId w:val="94"/>
        </w:numPr>
      </w:pPr>
      <w:r w:rsidRPr="00CB0533">
        <w:t>Konsultacje społeczne należy przeprowadzić za pomocą przynajmniej 3 form konsultacji społecznych, m.in.: spotkania, debaty, warsztaty, spacery studyjne, ankiety, wywiady, zbieranie uwag ustnych.</w:t>
      </w:r>
    </w:p>
    <w:p w:rsidR="000C2F23" w:rsidRDefault="008851A8" w:rsidP="008851A8">
      <w:pPr>
        <w:pStyle w:val="Akapitzlist"/>
        <w:numPr>
          <w:ilvl w:val="0"/>
          <w:numId w:val="94"/>
        </w:numPr>
      </w:pPr>
      <w:r w:rsidRPr="00CB0533">
        <w:t>Podczas konsultacji społecznych należy zapewnić możliwość zgłaszania uwag zarówno w formie papierowej jak i elektronicznej.</w:t>
      </w:r>
    </w:p>
    <w:p w:rsidR="000C2F23" w:rsidRDefault="000C2F23" w:rsidP="008851A8">
      <w:pPr>
        <w:pStyle w:val="Akapitzlist"/>
        <w:numPr>
          <w:ilvl w:val="0"/>
          <w:numId w:val="94"/>
        </w:numPr>
        <w:sectPr w:rsidR="000C2F23" w:rsidSect="003E35BE">
          <w:pgSz w:w="11906" w:h="16838"/>
          <w:pgMar w:top="1417" w:right="1417" w:bottom="1417" w:left="1417" w:header="708" w:footer="708" w:gutter="0"/>
          <w:cols w:space="708"/>
          <w:docGrid w:linePitch="360"/>
        </w:sectPr>
      </w:pPr>
    </w:p>
    <w:p w:rsidR="00E320BC" w:rsidRDefault="00E320BC" w:rsidP="00C652EF">
      <w:pPr>
        <w:pStyle w:val="Nagwek11"/>
      </w:pPr>
      <w:bookmarkStart w:id="99" w:name="_Toc138068795"/>
      <w:r w:rsidRPr="00E320BC">
        <w:lastRenderedPageBreak/>
        <w:t>Spis rycin, tabel</w:t>
      </w:r>
      <w:r w:rsidR="00577C1C">
        <w:t xml:space="preserve"> i</w:t>
      </w:r>
      <w:r w:rsidRPr="00E320BC">
        <w:t xml:space="preserve"> wykresów</w:t>
      </w:r>
      <w:bookmarkEnd w:id="99"/>
    </w:p>
    <w:p w:rsidR="00577C1C" w:rsidRPr="00577C1C" w:rsidRDefault="00577C1C" w:rsidP="00577C1C">
      <w:pPr>
        <w:pStyle w:val="Spisilustracji"/>
        <w:tabs>
          <w:tab w:val="right" w:leader="dot" w:pos="9072"/>
        </w:tabs>
        <w:spacing w:before="0"/>
        <w:ind w:right="567" w:firstLine="0"/>
        <w:rPr>
          <w:noProof/>
        </w:rPr>
      </w:pPr>
      <w:r>
        <w:fldChar w:fldCharType="begin"/>
      </w:r>
      <w:r>
        <w:instrText xml:space="preserve"> TOC \h \z \c "Ryc." </w:instrText>
      </w:r>
      <w:r>
        <w:fldChar w:fldCharType="separate"/>
      </w:r>
      <w:hyperlink w:anchor="_Toc138068497" w:history="1">
        <w:r w:rsidRPr="00577C1C">
          <w:rPr>
            <w:rStyle w:val="Hipercze"/>
            <w:rFonts w:ascii="Calibri" w:eastAsia="Calibri" w:hAnsi="Calibri" w:cs="Times New Roman"/>
            <w:bCs/>
            <w:noProof/>
          </w:rPr>
          <w:t>Ryc. 1 Klasyfikacja Miejskich Obszarów Funkcjonalnych wg KPZK 2030</w:t>
        </w:r>
        <w:r w:rsidRPr="00577C1C">
          <w:rPr>
            <w:noProof/>
            <w:webHidden/>
          </w:rPr>
          <w:tab/>
        </w:r>
        <w:r w:rsidRPr="00577C1C">
          <w:rPr>
            <w:noProof/>
            <w:webHidden/>
          </w:rPr>
          <w:fldChar w:fldCharType="begin"/>
        </w:r>
        <w:r w:rsidRPr="00577C1C">
          <w:rPr>
            <w:noProof/>
            <w:webHidden/>
          </w:rPr>
          <w:instrText xml:space="preserve"> PAGEREF _Toc138068497 \h </w:instrText>
        </w:r>
        <w:r w:rsidRPr="00577C1C">
          <w:rPr>
            <w:noProof/>
            <w:webHidden/>
          </w:rPr>
        </w:r>
        <w:r w:rsidRPr="00577C1C">
          <w:rPr>
            <w:noProof/>
            <w:webHidden/>
          </w:rPr>
          <w:fldChar w:fldCharType="separate"/>
        </w:r>
        <w:r w:rsidR="0022657A">
          <w:rPr>
            <w:noProof/>
            <w:webHidden/>
          </w:rPr>
          <w:t>6</w:t>
        </w:r>
        <w:r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r:id="rId120" w:anchor="_Toc138068498" w:history="1">
        <w:r w:rsidR="00577C1C" w:rsidRPr="00577C1C">
          <w:rPr>
            <w:rStyle w:val="Hipercze"/>
            <w:noProof/>
          </w:rPr>
          <w:t>Ryc. 2. Położenie HOF</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_Toc138068498 \h </w:instrText>
        </w:r>
        <w:r w:rsidR="00577C1C" w:rsidRPr="00577C1C">
          <w:rPr>
            <w:noProof/>
            <w:webHidden/>
          </w:rPr>
        </w:r>
        <w:r w:rsidR="00577C1C" w:rsidRPr="00577C1C">
          <w:rPr>
            <w:noProof/>
            <w:webHidden/>
          </w:rPr>
          <w:fldChar w:fldCharType="separate"/>
        </w:r>
        <w:r w:rsidR="0022657A">
          <w:rPr>
            <w:noProof/>
            <w:webHidden/>
          </w:rPr>
          <w:t>7</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r:id="rId121" w:anchor="_Toc138068499" w:history="1">
        <w:r w:rsidR="00577C1C" w:rsidRPr="00577C1C">
          <w:rPr>
            <w:rStyle w:val="Hipercze"/>
            <w:noProof/>
          </w:rPr>
          <w:t>Ryc. 3. Zróżnicowanie przestrzenne potencjalnej atrakcyjności inwestycyjnej gmin woj. lubelskiego z uwzględnieniem najbardziej atrakcyjnych sekcji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_Toc138068499 \h </w:instrText>
        </w:r>
        <w:r w:rsidR="00577C1C" w:rsidRPr="00577C1C">
          <w:rPr>
            <w:noProof/>
            <w:webHidden/>
          </w:rPr>
        </w:r>
        <w:r w:rsidR="00577C1C" w:rsidRPr="00577C1C">
          <w:rPr>
            <w:noProof/>
            <w:webHidden/>
          </w:rPr>
          <w:fldChar w:fldCharType="separate"/>
        </w:r>
        <w:r w:rsidR="0022657A">
          <w:rPr>
            <w:noProof/>
            <w:webHidden/>
          </w:rPr>
          <w:t>28</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0" w:history="1">
        <w:r w:rsidR="00577C1C" w:rsidRPr="00577C1C">
          <w:rPr>
            <w:rStyle w:val="Hipercze"/>
            <w:noProof/>
          </w:rPr>
          <w:t>Ryc. 4. Elementy mające wpływ na proces formułowania celów i kierunków działań</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_Toc138068500 \h </w:instrText>
        </w:r>
        <w:r w:rsidR="00577C1C" w:rsidRPr="00577C1C">
          <w:rPr>
            <w:noProof/>
            <w:webHidden/>
          </w:rPr>
        </w:r>
        <w:r w:rsidR="00577C1C" w:rsidRPr="00577C1C">
          <w:rPr>
            <w:noProof/>
            <w:webHidden/>
          </w:rPr>
          <w:fldChar w:fldCharType="separate"/>
        </w:r>
        <w:r w:rsidR="0022657A">
          <w:rPr>
            <w:noProof/>
            <w:webHidden/>
          </w:rPr>
          <w:t>65</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1" w:history="1">
        <w:r w:rsidR="00577C1C" w:rsidRPr="00577C1C">
          <w:rPr>
            <w:rStyle w:val="Hipercze"/>
            <w:noProof/>
          </w:rPr>
          <w:t>Ryc. 5. Uwarunkowania rozwoju wpływające na model funkcjonalno-przestrzenny HOF</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_Toc138068501 \h </w:instrText>
        </w:r>
        <w:r w:rsidR="00577C1C" w:rsidRPr="00577C1C">
          <w:rPr>
            <w:noProof/>
            <w:webHidden/>
          </w:rPr>
        </w:r>
        <w:r w:rsidR="00577C1C" w:rsidRPr="00577C1C">
          <w:rPr>
            <w:noProof/>
            <w:webHidden/>
          </w:rPr>
          <w:fldChar w:fldCharType="separate"/>
        </w:r>
        <w:r w:rsidR="0022657A">
          <w:rPr>
            <w:noProof/>
            <w:webHidden/>
          </w:rPr>
          <w:t>137</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2" w:history="1">
        <w:r w:rsidR="00577C1C" w:rsidRPr="00577C1C">
          <w:rPr>
            <w:rStyle w:val="Hipercze"/>
            <w:noProof/>
          </w:rPr>
          <w:t>Ryc. 6. Uwarunkowania środowiska przyrodniczego w modelu funkcjonalno-przestrzennym Hrubieszowskiego Obszaru Funkcjonalnego</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_Toc138068502 \h </w:instrText>
        </w:r>
        <w:r w:rsidR="00577C1C" w:rsidRPr="00577C1C">
          <w:rPr>
            <w:noProof/>
            <w:webHidden/>
          </w:rPr>
        </w:r>
        <w:r w:rsidR="00577C1C" w:rsidRPr="00577C1C">
          <w:rPr>
            <w:noProof/>
            <w:webHidden/>
          </w:rPr>
          <w:fldChar w:fldCharType="separate"/>
        </w:r>
        <w:r w:rsidR="0022657A">
          <w:rPr>
            <w:noProof/>
            <w:webHidden/>
          </w:rPr>
          <w:t>139</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3" w:history="1">
        <w:r w:rsidR="00577C1C" w:rsidRPr="00577C1C">
          <w:rPr>
            <w:rStyle w:val="Hipercze"/>
            <w:noProof/>
          </w:rPr>
          <w:t>Ryc. 7. Uwarunkowania środowiska kulturowego oraz turystyki w modelu funkcjonalno-przestrzennym Hrubieszowskiego Obszaru Funkcjonalnego</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_Toc138068503 \h </w:instrText>
        </w:r>
        <w:r w:rsidR="00577C1C" w:rsidRPr="00577C1C">
          <w:rPr>
            <w:noProof/>
            <w:webHidden/>
          </w:rPr>
        </w:r>
        <w:r w:rsidR="00577C1C" w:rsidRPr="00577C1C">
          <w:rPr>
            <w:noProof/>
            <w:webHidden/>
          </w:rPr>
          <w:fldChar w:fldCharType="separate"/>
        </w:r>
        <w:r w:rsidR="0022657A">
          <w:rPr>
            <w:noProof/>
            <w:webHidden/>
          </w:rPr>
          <w:t>141</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4" w:history="1">
        <w:r w:rsidR="00577C1C" w:rsidRPr="00577C1C">
          <w:rPr>
            <w:rStyle w:val="Hipercze"/>
            <w:noProof/>
          </w:rPr>
          <w:t>Ryc. 8 Podział administracyjny Hrubieszowskiego Obszaru Funkcjonalnego</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_Toc138068504 \h </w:instrText>
        </w:r>
        <w:r w:rsidR="00577C1C" w:rsidRPr="00577C1C">
          <w:rPr>
            <w:noProof/>
            <w:webHidden/>
          </w:rPr>
        </w:r>
        <w:r w:rsidR="00577C1C" w:rsidRPr="00577C1C">
          <w:rPr>
            <w:noProof/>
            <w:webHidden/>
          </w:rPr>
          <w:fldChar w:fldCharType="separate"/>
        </w:r>
        <w:r w:rsidR="0022657A">
          <w:rPr>
            <w:noProof/>
            <w:webHidden/>
          </w:rPr>
          <w:t>143</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5" w:history="1">
        <w:r w:rsidR="00577C1C" w:rsidRPr="00577C1C">
          <w:rPr>
            <w:rStyle w:val="Hipercze"/>
            <w:noProof/>
          </w:rPr>
          <w:t>Ryc. 9. Układ osadniczy wraz z trendami demograficznymi na poziomie sołectw i osiedli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_Toc138068505 \h </w:instrText>
        </w:r>
        <w:r w:rsidR="00577C1C" w:rsidRPr="00577C1C">
          <w:rPr>
            <w:noProof/>
            <w:webHidden/>
          </w:rPr>
        </w:r>
        <w:r w:rsidR="00577C1C" w:rsidRPr="00577C1C">
          <w:rPr>
            <w:noProof/>
            <w:webHidden/>
          </w:rPr>
          <w:fldChar w:fldCharType="separate"/>
        </w:r>
        <w:r w:rsidR="0022657A">
          <w:rPr>
            <w:noProof/>
            <w:webHidden/>
          </w:rPr>
          <w:t>145</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6" w:history="1">
        <w:r w:rsidR="00577C1C" w:rsidRPr="00577C1C">
          <w:rPr>
            <w:rStyle w:val="Hipercze"/>
            <w:noProof/>
          </w:rPr>
          <w:t>Ryc. 10. Układ jednostek osadniczych wraz z otaczającymi je gruntami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_Toc138068506 \h </w:instrText>
        </w:r>
        <w:r w:rsidR="00577C1C" w:rsidRPr="00577C1C">
          <w:rPr>
            <w:noProof/>
            <w:webHidden/>
          </w:rPr>
        </w:r>
        <w:r w:rsidR="00577C1C" w:rsidRPr="00577C1C">
          <w:rPr>
            <w:noProof/>
            <w:webHidden/>
          </w:rPr>
          <w:fldChar w:fldCharType="separate"/>
        </w:r>
        <w:r w:rsidR="0022657A">
          <w:rPr>
            <w:noProof/>
            <w:webHidden/>
          </w:rPr>
          <w:t>146</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7" w:history="1">
        <w:r w:rsidR="00577C1C" w:rsidRPr="00577C1C">
          <w:rPr>
            <w:rStyle w:val="Hipercze"/>
            <w:noProof/>
          </w:rPr>
          <w:t>Ryc. 11. Transport i komunikacja na terenie HOF</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_Toc138068507 \h </w:instrText>
        </w:r>
        <w:r w:rsidR="00577C1C" w:rsidRPr="00577C1C">
          <w:rPr>
            <w:noProof/>
            <w:webHidden/>
          </w:rPr>
        </w:r>
        <w:r w:rsidR="00577C1C" w:rsidRPr="00577C1C">
          <w:rPr>
            <w:noProof/>
            <w:webHidden/>
          </w:rPr>
          <w:fldChar w:fldCharType="separate"/>
        </w:r>
        <w:r w:rsidR="0022657A">
          <w:rPr>
            <w:noProof/>
            <w:webHidden/>
          </w:rPr>
          <w:t>148</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8" w:history="1">
        <w:r w:rsidR="00577C1C" w:rsidRPr="00577C1C">
          <w:rPr>
            <w:rStyle w:val="Hipercze"/>
            <w:noProof/>
          </w:rPr>
          <w:t>Ryc. 12. Infrastruktura teleinformatyczna na terenie HOF</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_Toc138068508 \h </w:instrText>
        </w:r>
        <w:r w:rsidR="00577C1C" w:rsidRPr="00577C1C">
          <w:rPr>
            <w:noProof/>
            <w:webHidden/>
          </w:rPr>
        </w:r>
        <w:r w:rsidR="00577C1C" w:rsidRPr="00577C1C">
          <w:rPr>
            <w:noProof/>
            <w:webHidden/>
          </w:rPr>
          <w:fldChar w:fldCharType="separate"/>
        </w:r>
        <w:r w:rsidR="0022657A">
          <w:rPr>
            <w:noProof/>
            <w:webHidden/>
          </w:rPr>
          <w:t>148</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09" w:history="1">
        <w:r w:rsidR="00577C1C" w:rsidRPr="00577C1C">
          <w:rPr>
            <w:rStyle w:val="Hipercze"/>
            <w:noProof/>
          </w:rPr>
          <w:t>Ryc. 13. Infrastruktura elektroenergetyczna HOF</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_Toc138068509 \h </w:instrText>
        </w:r>
        <w:r w:rsidR="00577C1C" w:rsidRPr="00577C1C">
          <w:rPr>
            <w:noProof/>
            <w:webHidden/>
          </w:rPr>
        </w:r>
        <w:r w:rsidR="00577C1C" w:rsidRPr="00577C1C">
          <w:rPr>
            <w:noProof/>
            <w:webHidden/>
          </w:rPr>
          <w:fldChar w:fldCharType="separate"/>
        </w:r>
        <w:r w:rsidR="0022657A">
          <w:rPr>
            <w:noProof/>
            <w:webHidden/>
          </w:rPr>
          <w:t>150</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0" w:history="1">
        <w:r w:rsidR="00577C1C" w:rsidRPr="00577C1C">
          <w:rPr>
            <w:rStyle w:val="Hipercze"/>
            <w:noProof/>
          </w:rPr>
          <w:t>Ryc. 14. Infrastruktura wodno-kanalizacyjna HOF</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_Toc138068510 \h </w:instrText>
        </w:r>
        <w:r w:rsidR="00577C1C" w:rsidRPr="00577C1C">
          <w:rPr>
            <w:noProof/>
            <w:webHidden/>
          </w:rPr>
        </w:r>
        <w:r w:rsidR="00577C1C" w:rsidRPr="00577C1C">
          <w:rPr>
            <w:noProof/>
            <w:webHidden/>
          </w:rPr>
          <w:fldChar w:fldCharType="separate"/>
        </w:r>
        <w:r w:rsidR="0022657A">
          <w:rPr>
            <w:noProof/>
            <w:webHidden/>
          </w:rPr>
          <w:t>150</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1" w:history="1">
        <w:r w:rsidR="00577C1C" w:rsidRPr="00577C1C">
          <w:rPr>
            <w:rStyle w:val="Hipercze"/>
            <w:noProof/>
          </w:rPr>
          <w:t>Ryc. 15. Model funkcjonalno-przestrzenny HOF wynikający z obowiązujących dokumentów planistycznych</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_Toc138068511 \h </w:instrText>
        </w:r>
        <w:r w:rsidR="00577C1C" w:rsidRPr="00577C1C">
          <w:rPr>
            <w:noProof/>
            <w:webHidden/>
          </w:rPr>
        </w:r>
        <w:r w:rsidR="00577C1C" w:rsidRPr="00577C1C">
          <w:rPr>
            <w:noProof/>
            <w:webHidden/>
          </w:rPr>
          <w:fldChar w:fldCharType="separate"/>
        </w:r>
        <w:r w:rsidR="0022657A">
          <w:rPr>
            <w:noProof/>
            <w:webHidden/>
          </w:rPr>
          <w:t>153</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2" w:history="1">
        <w:r w:rsidR="00577C1C" w:rsidRPr="00577C1C">
          <w:rPr>
            <w:rStyle w:val="Hipercze"/>
            <w:noProof/>
          </w:rPr>
          <w:t>Ryc. 16. Planowane zamierzenia rozwojowe w zakresie turystyki, kultury oraz dostępności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_Toc138068512 \h </w:instrText>
        </w:r>
        <w:r w:rsidR="00577C1C" w:rsidRPr="00577C1C">
          <w:rPr>
            <w:noProof/>
            <w:webHidden/>
          </w:rPr>
        </w:r>
        <w:r w:rsidR="00577C1C" w:rsidRPr="00577C1C">
          <w:rPr>
            <w:noProof/>
            <w:webHidden/>
          </w:rPr>
          <w:fldChar w:fldCharType="separate"/>
        </w:r>
        <w:r w:rsidR="0022657A">
          <w:rPr>
            <w:noProof/>
            <w:webHidden/>
          </w:rPr>
          <w:t>155</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3" w:history="1">
        <w:r w:rsidR="00577C1C" w:rsidRPr="00577C1C">
          <w:rPr>
            <w:rStyle w:val="Hipercze"/>
            <w:noProof/>
          </w:rPr>
          <w:t>Ryc. 17. Planowane zamierzenia rozwojowe w zakresie poprawy systemu komunikacji, rozwoju gospodarczego i sprawnej administracji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_Toc138068513 \h </w:instrText>
        </w:r>
        <w:r w:rsidR="00577C1C" w:rsidRPr="00577C1C">
          <w:rPr>
            <w:noProof/>
            <w:webHidden/>
          </w:rPr>
        </w:r>
        <w:r w:rsidR="00577C1C" w:rsidRPr="00577C1C">
          <w:rPr>
            <w:noProof/>
            <w:webHidden/>
          </w:rPr>
          <w:fldChar w:fldCharType="separate"/>
        </w:r>
        <w:r w:rsidR="0022657A">
          <w:rPr>
            <w:noProof/>
            <w:webHidden/>
          </w:rPr>
          <w:t>157</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4" w:history="1">
        <w:r w:rsidR="00577C1C" w:rsidRPr="00577C1C">
          <w:rPr>
            <w:rStyle w:val="Hipercze"/>
            <w:noProof/>
          </w:rPr>
          <w:t>Ryc. 18. Planowane zamierzenia rozwojowe w zakresie gospodarki komunalnej i efektywności energetycznej i odnawialne źródła energii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_Toc138068514 \h </w:instrText>
        </w:r>
        <w:r w:rsidR="00577C1C" w:rsidRPr="00577C1C">
          <w:rPr>
            <w:noProof/>
            <w:webHidden/>
          </w:rPr>
        </w:r>
        <w:r w:rsidR="00577C1C" w:rsidRPr="00577C1C">
          <w:rPr>
            <w:noProof/>
            <w:webHidden/>
          </w:rPr>
          <w:fldChar w:fldCharType="separate"/>
        </w:r>
        <w:r w:rsidR="0022657A">
          <w:rPr>
            <w:noProof/>
            <w:webHidden/>
          </w:rPr>
          <w:t>159</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5" w:history="1">
        <w:r w:rsidR="00577C1C" w:rsidRPr="00577C1C">
          <w:rPr>
            <w:rStyle w:val="Hipercze"/>
            <w:noProof/>
          </w:rPr>
          <w:t>Ryc. 19. OSI Miejskie Obszary Funkcjonalne</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_Toc138068515 \h </w:instrText>
        </w:r>
        <w:r w:rsidR="00577C1C" w:rsidRPr="00577C1C">
          <w:rPr>
            <w:noProof/>
            <w:webHidden/>
          </w:rPr>
        </w:r>
        <w:r w:rsidR="00577C1C" w:rsidRPr="00577C1C">
          <w:rPr>
            <w:noProof/>
            <w:webHidden/>
          </w:rPr>
          <w:fldChar w:fldCharType="separate"/>
        </w:r>
        <w:r w:rsidR="0022657A">
          <w:rPr>
            <w:noProof/>
            <w:webHidden/>
          </w:rPr>
          <w:t>174</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6" w:history="1">
        <w:r w:rsidR="00577C1C" w:rsidRPr="00577C1C">
          <w:rPr>
            <w:rStyle w:val="Hipercze"/>
            <w:rFonts w:ascii="Calibri" w:eastAsia="Candara" w:hAnsi="Calibri" w:cs="Times New Roman"/>
            <w:bCs/>
            <w:noProof/>
          </w:rPr>
          <w:t>Ryc. 20. Położenie HOF na tle Żywicielskiego OSI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_Toc138068516 \h </w:instrText>
        </w:r>
        <w:r w:rsidR="00577C1C" w:rsidRPr="00577C1C">
          <w:rPr>
            <w:noProof/>
            <w:webHidden/>
          </w:rPr>
        </w:r>
        <w:r w:rsidR="00577C1C" w:rsidRPr="00577C1C">
          <w:rPr>
            <w:noProof/>
            <w:webHidden/>
          </w:rPr>
          <w:fldChar w:fldCharType="separate"/>
        </w:r>
        <w:r w:rsidR="0022657A">
          <w:rPr>
            <w:noProof/>
            <w:webHidden/>
          </w:rPr>
          <w:t>175</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7" w:history="1">
        <w:r w:rsidR="00577C1C" w:rsidRPr="00577C1C">
          <w:rPr>
            <w:rStyle w:val="Hipercze"/>
            <w:rFonts w:ascii="Calibri" w:eastAsia="Calibri" w:hAnsi="Calibri" w:cs="Times New Roman"/>
            <w:bCs/>
            <w:noProof/>
          </w:rPr>
          <w:t>Ryc. 21 Zasady współpracy partnerów</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_Toc138068517 \h </w:instrText>
        </w:r>
        <w:r w:rsidR="00577C1C" w:rsidRPr="00577C1C">
          <w:rPr>
            <w:noProof/>
            <w:webHidden/>
          </w:rPr>
        </w:r>
        <w:r w:rsidR="00577C1C" w:rsidRPr="00577C1C">
          <w:rPr>
            <w:noProof/>
            <w:webHidden/>
          </w:rPr>
          <w:fldChar w:fldCharType="separate"/>
        </w:r>
        <w:r w:rsidR="0022657A">
          <w:rPr>
            <w:noProof/>
            <w:webHidden/>
          </w:rPr>
          <w:t>177</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8" w:history="1">
        <w:r w:rsidR="00577C1C" w:rsidRPr="00577C1C">
          <w:rPr>
            <w:rStyle w:val="Hipercze"/>
            <w:rFonts w:ascii="Calibri" w:eastAsia="Calibri" w:hAnsi="Calibri" w:cs="Times New Roman"/>
            <w:bCs/>
            <w:noProof/>
          </w:rPr>
          <w:t>Ryc. 22. Instytucjonalna struktura systemu realizacji strategii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_Toc138068518 \h </w:instrText>
        </w:r>
        <w:r w:rsidR="00577C1C" w:rsidRPr="00577C1C">
          <w:rPr>
            <w:noProof/>
            <w:webHidden/>
          </w:rPr>
        </w:r>
        <w:r w:rsidR="00577C1C" w:rsidRPr="00577C1C">
          <w:rPr>
            <w:noProof/>
            <w:webHidden/>
          </w:rPr>
          <w:fldChar w:fldCharType="separate"/>
        </w:r>
        <w:r w:rsidR="0022657A">
          <w:rPr>
            <w:noProof/>
            <w:webHidden/>
          </w:rPr>
          <w:t>179</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19" w:history="1">
        <w:r w:rsidR="00577C1C" w:rsidRPr="00577C1C">
          <w:rPr>
            <w:rStyle w:val="Hipercze"/>
            <w:rFonts w:ascii="Calibri" w:eastAsia="Calibri" w:hAnsi="Calibri" w:cs="Times New Roman"/>
            <w:bCs/>
            <w:noProof/>
          </w:rPr>
          <w:t>Ryc. 23. Mechanizmy i instrumenty wewnętrzne wdrażania Strategii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_Toc138068519 \h </w:instrText>
        </w:r>
        <w:r w:rsidR="00577C1C" w:rsidRPr="00577C1C">
          <w:rPr>
            <w:noProof/>
            <w:webHidden/>
          </w:rPr>
        </w:r>
        <w:r w:rsidR="00577C1C" w:rsidRPr="00577C1C">
          <w:rPr>
            <w:noProof/>
            <w:webHidden/>
          </w:rPr>
          <w:fldChar w:fldCharType="separate"/>
        </w:r>
        <w:r w:rsidR="0022657A">
          <w:rPr>
            <w:noProof/>
            <w:webHidden/>
          </w:rPr>
          <w:t>183</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20" w:history="1">
        <w:r w:rsidR="00577C1C" w:rsidRPr="00577C1C">
          <w:rPr>
            <w:rStyle w:val="Hipercze"/>
            <w:rFonts w:ascii="Calibri" w:eastAsia="Calibri" w:hAnsi="Calibri" w:cs="Times New Roman"/>
            <w:bCs/>
            <w:noProof/>
          </w:rPr>
          <w:t>Ryc. 24. Podmioty biorące udział w procesie monitorowania i ewaluacji realizacji Strategii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_Toc138068520 \h </w:instrText>
        </w:r>
        <w:r w:rsidR="00577C1C" w:rsidRPr="00577C1C">
          <w:rPr>
            <w:noProof/>
            <w:webHidden/>
          </w:rPr>
        </w:r>
        <w:r w:rsidR="00577C1C" w:rsidRPr="00577C1C">
          <w:rPr>
            <w:noProof/>
            <w:webHidden/>
          </w:rPr>
          <w:fldChar w:fldCharType="separate"/>
        </w:r>
        <w:r w:rsidR="0022657A">
          <w:rPr>
            <w:noProof/>
            <w:webHidden/>
          </w:rPr>
          <w:t>191</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21" w:history="1">
        <w:r w:rsidR="00577C1C" w:rsidRPr="00577C1C">
          <w:rPr>
            <w:rStyle w:val="Hipercze"/>
            <w:rFonts w:ascii="Calibri" w:eastAsia="Calibri" w:hAnsi="Calibri" w:cs="Times New Roman"/>
            <w:bCs/>
            <w:noProof/>
          </w:rPr>
          <w:t>Ryc. 25 Schemat funkcjonowania systemu wdrażania strategii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_Toc138068521 \h </w:instrText>
        </w:r>
        <w:r w:rsidR="00577C1C" w:rsidRPr="00577C1C">
          <w:rPr>
            <w:noProof/>
            <w:webHidden/>
          </w:rPr>
        </w:r>
        <w:r w:rsidR="00577C1C" w:rsidRPr="00577C1C">
          <w:rPr>
            <w:noProof/>
            <w:webHidden/>
          </w:rPr>
          <w:fldChar w:fldCharType="separate"/>
        </w:r>
        <w:r w:rsidR="0022657A">
          <w:rPr>
            <w:noProof/>
            <w:webHidden/>
          </w:rPr>
          <w:t>192</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r:id="rId122" w:anchor="_Toc138068522" w:history="1">
        <w:r w:rsidR="00577C1C" w:rsidRPr="00577C1C">
          <w:rPr>
            <w:rStyle w:val="Hipercze"/>
            <w:noProof/>
          </w:rPr>
          <w:t>Ryc. 26 Rodzaje kryteriów ewaluacyjnych w odniesieniu do rodzaju ewaluacji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_Toc138068522 \h </w:instrText>
        </w:r>
        <w:r w:rsidR="00577C1C" w:rsidRPr="00577C1C">
          <w:rPr>
            <w:noProof/>
            <w:webHidden/>
          </w:rPr>
        </w:r>
        <w:r w:rsidR="00577C1C" w:rsidRPr="00577C1C">
          <w:rPr>
            <w:noProof/>
            <w:webHidden/>
          </w:rPr>
          <w:fldChar w:fldCharType="separate"/>
        </w:r>
        <w:r w:rsidR="0022657A">
          <w:rPr>
            <w:noProof/>
            <w:webHidden/>
          </w:rPr>
          <w:t>205</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noProof/>
        </w:rPr>
      </w:pPr>
      <w:hyperlink w:anchor="_Toc138068523" w:history="1">
        <w:r w:rsidR="00577C1C" w:rsidRPr="00577C1C">
          <w:rPr>
            <w:rStyle w:val="Hipercze"/>
            <w:rFonts w:ascii="Calibri" w:eastAsia="Calibri" w:hAnsi="Calibri" w:cs="Times New Roman"/>
            <w:bCs/>
            <w:noProof/>
          </w:rPr>
          <w:t>Ryc. 27. Subregionalne Obszary Strategicznej Interwencji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_Toc138068523 \h </w:instrText>
        </w:r>
        <w:r w:rsidR="00577C1C" w:rsidRPr="00577C1C">
          <w:rPr>
            <w:noProof/>
            <w:webHidden/>
          </w:rPr>
        </w:r>
        <w:r w:rsidR="00577C1C" w:rsidRPr="00577C1C">
          <w:rPr>
            <w:noProof/>
            <w:webHidden/>
          </w:rPr>
          <w:fldChar w:fldCharType="separate"/>
        </w:r>
        <w:r w:rsidR="0022657A">
          <w:rPr>
            <w:noProof/>
            <w:webHidden/>
          </w:rPr>
          <w:t>216</w:t>
        </w:r>
        <w:r w:rsidR="00577C1C" w:rsidRPr="00577C1C">
          <w:rPr>
            <w:noProof/>
            <w:webHidden/>
          </w:rPr>
          <w:fldChar w:fldCharType="end"/>
        </w:r>
      </w:hyperlink>
    </w:p>
    <w:p w:rsidR="00577C1C" w:rsidRDefault="00577C1C" w:rsidP="00577C1C">
      <w:pPr>
        <w:spacing w:before="0" w:after="0"/>
      </w:pPr>
      <w:r>
        <w:fldChar w:fldCharType="end"/>
      </w:r>
    </w:p>
    <w:p w:rsidR="00577C1C" w:rsidRPr="00577C1C" w:rsidRDefault="00577C1C" w:rsidP="00577C1C">
      <w:pPr>
        <w:pStyle w:val="Spisilustracji"/>
        <w:tabs>
          <w:tab w:val="right" w:leader="dot" w:pos="9072"/>
        </w:tabs>
        <w:spacing w:before="0"/>
        <w:ind w:right="567" w:firstLine="0"/>
        <w:rPr>
          <w:rFonts w:eastAsiaTheme="minorEastAsia"/>
          <w:noProof/>
          <w:lang w:eastAsia="pl-PL"/>
        </w:rPr>
      </w:pPr>
      <w:r w:rsidRPr="00577C1C">
        <w:fldChar w:fldCharType="begin"/>
      </w:r>
      <w:r w:rsidRPr="00577C1C">
        <w:instrText xml:space="preserve"> TOC \h \z \c "Tabela" </w:instrText>
      </w:r>
      <w:r w:rsidRPr="00577C1C">
        <w:fldChar w:fldCharType="separate"/>
      </w:r>
      <w:hyperlink w:anchor="_Toc138068532" w:history="1">
        <w:r w:rsidRPr="00577C1C">
          <w:rPr>
            <w:rStyle w:val="Hipercze"/>
            <w:rFonts w:ascii="Calibri" w:eastAsia="Candara" w:hAnsi="Calibri" w:cs="Times New Roman"/>
            <w:bCs/>
            <w:noProof/>
          </w:rPr>
          <w:t>Tabela 1. Liczba ludności w Hrubieszowskim Obszarze Funkcjonalnym ogółem w 2019 roku</w:t>
        </w:r>
        <w:r w:rsidRPr="00577C1C">
          <w:rPr>
            <w:noProof/>
            <w:webHidden/>
          </w:rPr>
          <w:tab/>
        </w:r>
        <w:r w:rsidRPr="00577C1C">
          <w:rPr>
            <w:noProof/>
            <w:webHidden/>
          </w:rPr>
          <w:fldChar w:fldCharType="begin"/>
        </w:r>
        <w:r w:rsidRPr="00577C1C">
          <w:rPr>
            <w:noProof/>
            <w:webHidden/>
          </w:rPr>
          <w:instrText xml:space="preserve"> PAGEREF _Toc138068532 \h </w:instrText>
        </w:r>
        <w:r w:rsidRPr="00577C1C">
          <w:rPr>
            <w:noProof/>
            <w:webHidden/>
          </w:rPr>
        </w:r>
        <w:r w:rsidRPr="00577C1C">
          <w:rPr>
            <w:noProof/>
            <w:webHidden/>
          </w:rPr>
          <w:fldChar w:fldCharType="separate"/>
        </w:r>
        <w:r w:rsidR="0022657A">
          <w:rPr>
            <w:noProof/>
            <w:webHidden/>
          </w:rPr>
          <w:t>13</w:t>
        </w:r>
        <w:r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33" w:history="1">
        <w:r w:rsidR="00577C1C" w:rsidRPr="00577C1C">
          <w:rPr>
            <w:rStyle w:val="Hipercze"/>
            <w:rFonts w:ascii="Calibri" w:eastAsia="Candara" w:hAnsi="Calibri" w:cs="Times New Roman"/>
            <w:bCs/>
            <w:noProof/>
          </w:rPr>
          <w:t>Tabela 2. Liczba absolwentów szkół średnich</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_Toc138068533 \h </w:instrText>
        </w:r>
        <w:r w:rsidR="00577C1C" w:rsidRPr="00577C1C">
          <w:rPr>
            <w:noProof/>
            <w:webHidden/>
          </w:rPr>
        </w:r>
        <w:r w:rsidR="00577C1C" w:rsidRPr="00577C1C">
          <w:rPr>
            <w:noProof/>
            <w:webHidden/>
          </w:rPr>
          <w:fldChar w:fldCharType="separate"/>
        </w:r>
        <w:r w:rsidR="0022657A">
          <w:rPr>
            <w:noProof/>
            <w:webHidden/>
          </w:rPr>
          <w:t>33</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34" w:history="1">
        <w:r w:rsidR="00577C1C" w:rsidRPr="00577C1C">
          <w:rPr>
            <w:rStyle w:val="Hipercze"/>
            <w:rFonts w:ascii="Calibri" w:eastAsia="Candara" w:hAnsi="Calibri" w:cs="Times New Roman"/>
            <w:bCs/>
            <w:noProof/>
          </w:rPr>
          <w:t>Tabela 3. Zawody deficytowe oraz nadwyżkowe dla powiatu hrubieszowskiego na rok 2021</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_Toc138068534 \h </w:instrText>
        </w:r>
        <w:r w:rsidR="00577C1C" w:rsidRPr="00577C1C">
          <w:rPr>
            <w:noProof/>
            <w:webHidden/>
          </w:rPr>
        </w:r>
        <w:r w:rsidR="00577C1C" w:rsidRPr="00577C1C">
          <w:rPr>
            <w:noProof/>
            <w:webHidden/>
          </w:rPr>
          <w:fldChar w:fldCharType="separate"/>
        </w:r>
        <w:r w:rsidR="0022657A">
          <w:rPr>
            <w:noProof/>
            <w:webHidden/>
          </w:rPr>
          <w:t>34</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35" w:history="1">
        <w:r w:rsidR="00577C1C" w:rsidRPr="00577C1C">
          <w:rPr>
            <w:rStyle w:val="Hipercze"/>
            <w:rFonts w:ascii="Calibri" w:eastAsia="Candara" w:hAnsi="Calibri" w:cs="Times New Roman"/>
            <w:bCs/>
            <w:noProof/>
          </w:rPr>
          <w:t>Tabela 4. Użytkowanie gruntów w HOF w oparciu o spis rolny z 2010 roku</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_Toc138068535 \h </w:instrText>
        </w:r>
        <w:r w:rsidR="00577C1C" w:rsidRPr="00577C1C">
          <w:rPr>
            <w:noProof/>
            <w:webHidden/>
          </w:rPr>
        </w:r>
        <w:r w:rsidR="00577C1C" w:rsidRPr="00577C1C">
          <w:rPr>
            <w:noProof/>
            <w:webHidden/>
          </w:rPr>
          <w:fldChar w:fldCharType="separate"/>
        </w:r>
        <w:r w:rsidR="0022657A">
          <w:rPr>
            <w:noProof/>
            <w:webHidden/>
          </w:rPr>
          <w:t>37</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36" w:history="1">
        <w:r w:rsidR="00577C1C" w:rsidRPr="00577C1C">
          <w:rPr>
            <w:rStyle w:val="Hipercze"/>
            <w:noProof/>
          </w:rPr>
          <w:t>Tabela 5. Udział % klas bonitacyjnych gruntów rolnych</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_Toc138068536 \h </w:instrText>
        </w:r>
        <w:r w:rsidR="00577C1C" w:rsidRPr="00577C1C">
          <w:rPr>
            <w:noProof/>
            <w:webHidden/>
          </w:rPr>
        </w:r>
        <w:r w:rsidR="00577C1C" w:rsidRPr="00577C1C">
          <w:rPr>
            <w:noProof/>
            <w:webHidden/>
          </w:rPr>
          <w:fldChar w:fldCharType="separate"/>
        </w:r>
        <w:r w:rsidR="0022657A">
          <w:rPr>
            <w:noProof/>
            <w:webHidden/>
          </w:rPr>
          <w:t>39</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37" w:history="1">
        <w:r w:rsidR="00577C1C" w:rsidRPr="00577C1C">
          <w:rPr>
            <w:rStyle w:val="Hipercze"/>
            <w:noProof/>
          </w:rPr>
          <w:t>Tabela 6. Schemat celów Hrubieszowskiego Obszaru Funkcjonalnego do 2030 roku</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_Toc138068537 \h </w:instrText>
        </w:r>
        <w:r w:rsidR="00577C1C" w:rsidRPr="00577C1C">
          <w:rPr>
            <w:noProof/>
            <w:webHidden/>
          </w:rPr>
        </w:r>
        <w:r w:rsidR="00577C1C" w:rsidRPr="00577C1C">
          <w:rPr>
            <w:noProof/>
            <w:webHidden/>
          </w:rPr>
          <w:fldChar w:fldCharType="separate"/>
        </w:r>
        <w:r w:rsidR="0022657A">
          <w:rPr>
            <w:noProof/>
            <w:webHidden/>
          </w:rPr>
          <w:t>67</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38" w:history="1">
        <w:r w:rsidR="00577C1C" w:rsidRPr="00577C1C">
          <w:rPr>
            <w:rStyle w:val="Hipercze"/>
            <w:noProof/>
          </w:rPr>
          <w:t>Tabela 7. Struktura osadnicza Gminy Hrubieszów</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_Toc138068538 \h </w:instrText>
        </w:r>
        <w:r w:rsidR="00577C1C" w:rsidRPr="00577C1C">
          <w:rPr>
            <w:noProof/>
            <w:webHidden/>
          </w:rPr>
        </w:r>
        <w:r w:rsidR="00577C1C" w:rsidRPr="00577C1C">
          <w:rPr>
            <w:noProof/>
            <w:webHidden/>
          </w:rPr>
          <w:fldChar w:fldCharType="separate"/>
        </w:r>
        <w:r w:rsidR="0022657A">
          <w:rPr>
            <w:noProof/>
            <w:webHidden/>
          </w:rPr>
          <w:t>144</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39" w:history="1">
        <w:r w:rsidR="00577C1C" w:rsidRPr="00577C1C">
          <w:rPr>
            <w:rStyle w:val="Hipercze"/>
            <w:noProof/>
          </w:rPr>
          <w:t>Tabela 8. Ujęcia wody w HOF</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_Toc138068539 \h </w:instrText>
        </w:r>
        <w:r w:rsidR="00577C1C" w:rsidRPr="00577C1C">
          <w:rPr>
            <w:noProof/>
            <w:webHidden/>
          </w:rPr>
        </w:r>
        <w:r w:rsidR="00577C1C" w:rsidRPr="00577C1C">
          <w:rPr>
            <w:noProof/>
            <w:webHidden/>
          </w:rPr>
          <w:fldChar w:fldCharType="separate"/>
        </w:r>
        <w:r w:rsidR="0022657A">
          <w:rPr>
            <w:noProof/>
            <w:webHidden/>
          </w:rPr>
          <w:t>151</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40" w:history="1">
        <w:r w:rsidR="00577C1C" w:rsidRPr="00577C1C">
          <w:rPr>
            <w:rStyle w:val="Hipercze"/>
            <w:rFonts w:ascii="Calibri" w:eastAsia="Calibri" w:hAnsi="Calibri" w:cs="Times New Roman"/>
            <w:bCs/>
            <w:noProof/>
          </w:rPr>
          <w:t>Tabela 9. Wzór Karty projektu - identyfikacja osób wchodzących w skład struktury zarządzania projektem</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_Toc138068540 \h </w:instrText>
        </w:r>
        <w:r w:rsidR="00577C1C" w:rsidRPr="00577C1C">
          <w:rPr>
            <w:noProof/>
            <w:webHidden/>
          </w:rPr>
        </w:r>
        <w:r w:rsidR="00577C1C" w:rsidRPr="00577C1C">
          <w:rPr>
            <w:noProof/>
            <w:webHidden/>
          </w:rPr>
          <w:fldChar w:fldCharType="separate"/>
        </w:r>
        <w:r w:rsidR="0022657A">
          <w:rPr>
            <w:noProof/>
            <w:webHidden/>
          </w:rPr>
          <w:t>182</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41" w:history="1">
        <w:r w:rsidR="00577C1C" w:rsidRPr="00577C1C">
          <w:rPr>
            <w:rStyle w:val="Hipercze"/>
            <w:rFonts w:ascii="Calibri" w:eastAsia="Calibri" w:hAnsi="Calibri" w:cs="Times New Roman"/>
            <w:bCs/>
            <w:noProof/>
          </w:rPr>
          <w:t>Tabela 10. Dochody własne i wydatki majątkowe na 1 mieszkańca oraz udział subwencji z budżetu państwa w dochodzie Gminy Miejskiej Hrubieszów</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_Toc138068541 \h </w:instrText>
        </w:r>
        <w:r w:rsidR="00577C1C" w:rsidRPr="00577C1C">
          <w:rPr>
            <w:noProof/>
            <w:webHidden/>
          </w:rPr>
        </w:r>
        <w:r w:rsidR="00577C1C" w:rsidRPr="00577C1C">
          <w:rPr>
            <w:noProof/>
            <w:webHidden/>
          </w:rPr>
          <w:fldChar w:fldCharType="separate"/>
        </w:r>
        <w:r w:rsidR="0022657A">
          <w:rPr>
            <w:noProof/>
            <w:webHidden/>
          </w:rPr>
          <w:t>187</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42" w:history="1">
        <w:r w:rsidR="00577C1C" w:rsidRPr="00577C1C">
          <w:rPr>
            <w:rStyle w:val="Hipercze"/>
            <w:rFonts w:ascii="Calibri" w:eastAsia="Calibri" w:hAnsi="Calibri" w:cs="Times New Roman"/>
            <w:bCs/>
            <w:noProof/>
          </w:rPr>
          <w:t>Tabela 11. Dochody własne i wydatki majątkowe na 1 mieszkańca oraz udział subwencji z budżetu państwa w dochodzie i wydatki na obsługę długu publicznego Gminy Hrubieszów</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_Toc138068542 \h </w:instrText>
        </w:r>
        <w:r w:rsidR="00577C1C" w:rsidRPr="00577C1C">
          <w:rPr>
            <w:noProof/>
            <w:webHidden/>
          </w:rPr>
        </w:r>
        <w:r w:rsidR="00577C1C" w:rsidRPr="00577C1C">
          <w:rPr>
            <w:noProof/>
            <w:webHidden/>
          </w:rPr>
          <w:fldChar w:fldCharType="separate"/>
        </w:r>
        <w:r w:rsidR="0022657A">
          <w:rPr>
            <w:noProof/>
            <w:webHidden/>
          </w:rPr>
          <w:t>188</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43" w:history="1">
        <w:r w:rsidR="00577C1C" w:rsidRPr="00577C1C">
          <w:rPr>
            <w:rStyle w:val="Hipercze"/>
            <w:rFonts w:ascii="Calibri" w:eastAsia="Calibri" w:hAnsi="Calibri" w:cs="Times New Roman"/>
            <w:bCs/>
            <w:noProof/>
          </w:rPr>
          <w:t>Tabela 12. Wskaźniki monitoringowe Strategii rozwoju ponadlokalnego Hrubieszowskiego Obszaru Funkcjonalnego na lata 2021 – 2030</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_Toc138068543 \h </w:instrText>
        </w:r>
        <w:r w:rsidR="00577C1C" w:rsidRPr="00577C1C">
          <w:rPr>
            <w:noProof/>
            <w:webHidden/>
          </w:rPr>
        </w:r>
        <w:r w:rsidR="00577C1C" w:rsidRPr="00577C1C">
          <w:rPr>
            <w:noProof/>
            <w:webHidden/>
          </w:rPr>
          <w:fldChar w:fldCharType="separate"/>
        </w:r>
        <w:r w:rsidR="0022657A">
          <w:rPr>
            <w:noProof/>
            <w:webHidden/>
          </w:rPr>
          <w:t>194</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44" w:history="1">
        <w:r w:rsidR="00577C1C" w:rsidRPr="00577C1C">
          <w:rPr>
            <w:rStyle w:val="Hipercze"/>
            <w:rFonts w:ascii="Calibri" w:eastAsia="Calibri" w:hAnsi="Calibri" w:cs="Times New Roman"/>
            <w:bCs/>
            <w:noProof/>
          </w:rPr>
          <w:t>Tabela 13 Plan ewaluacji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_Toc138068544 \h </w:instrText>
        </w:r>
        <w:r w:rsidR="00577C1C" w:rsidRPr="00577C1C">
          <w:rPr>
            <w:noProof/>
            <w:webHidden/>
          </w:rPr>
        </w:r>
        <w:r w:rsidR="00577C1C" w:rsidRPr="00577C1C">
          <w:rPr>
            <w:noProof/>
            <w:webHidden/>
          </w:rPr>
          <w:fldChar w:fldCharType="separate"/>
        </w:r>
        <w:r w:rsidR="0022657A">
          <w:rPr>
            <w:noProof/>
            <w:webHidden/>
          </w:rPr>
          <w:t>205</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545" w:history="1">
        <w:r w:rsidR="00577C1C" w:rsidRPr="00577C1C">
          <w:rPr>
            <w:rStyle w:val="Hipercze"/>
            <w:rFonts w:ascii="Calibri" w:eastAsia="Calibri" w:hAnsi="Calibri" w:cs="Times New Roman"/>
            <w:bCs/>
            <w:noProof/>
          </w:rPr>
          <w:t>Tabela 14 Zestaw przykładowych pytań badawczych odpowiadających danemu kryterium</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_Toc138068545 \h </w:instrText>
        </w:r>
        <w:r w:rsidR="00577C1C" w:rsidRPr="00577C1C">
          <w:rPr>
            <w:noProof/>
            <w:webHidden/>
          </w:rPr>
        </w:r>
        <w:r w:rsidR="00577C1C" w:rsidRPr="00577C1C">
          <w:rPr>
            <w:noProof/>
            <w:webHidden/>
          </w:rPr>
          <w:fldChar w:fldCharType="separate"/>
        </w:r>
        <w:r w:rsidR="0022657A">
          <w:rPr>
            <w:noProof/>
            <w:webHidden/>
          </w:rPr>
          <w:t>206</w:t>
        </w:r>
        <w:r w:rsidR="00577C1C" w:rsidRPr="00577C1C">
          <w:rPr>
            <w:noProof/>
            <w:webHidden/>
          </w:rPr>
          <w:fldChar w:fldCharType="end"/>
        </w:r>
      </w:hyperlink>
    </w:p>
    <w:p w:rsidR="00577C1C" w:rsidRDefault="00577C1C" w:rsidP="00577C1C">
      <w:pPr>
        <w:spacing w:before="0" w:after="0"/>
      </w:pPr>
      <w:r w:rsidRPr="00577C1C">
        <w:fldChar w:fldCharType="end"/>
      </w:r>
    </w:p>
    <w:p w:rsidR="00577C1C" w:rsidRPr="00577C1C" w:rsidRDefault="00577C1C" w:rsidP="00577C1C">
      <w:pPr>
        <w:pStyle w:val="Spisilustracji"/>
        <w:tabs>
          <w:tab w:val="right" w:leader="dot" w:pos="9072"/>
        </w:tabs>
        <w:spacing w:before="0"/>
        <w:ind w:right="567" w:firstLine="0"/>
        <w:rPr>
          <w:rFonts w:eastAsiaTheme="minorEastAsia"/>
          <w:noProof/>
          <w:lang w:eastAsia="pl-PL"/>
        </w:rPr>
      </w:pPr>
      <w:r>
        <w:fldChar w:fldCharType="begin"/>
      </w:r>
      <w:r>
        <w:instrText xml:space="preserve"> TOC \h \z \c "Wykres" </w:instrText>
      </w:r>
      <w:r>
        <w:fldChar w:fldCharType="separate"/>
      </w:r>
      <w:hyperlink w:anchor="_Toc138068609" w:history="1">
        <w:r w:rsidRPr="00577C1C">
          <w:rPr>
            <w:rStyle w:val="Hipercze"/>
            <w:rFonts w:ascii="Calibri" w:eastAsia="Candara" w:hAnsi="Calibri" w:cs="Times New Roman"/>
            <w:bCs/>
            <w:noProof/>
          </w:rPr>
          <w:t>Wykres 1. Liczba ludności wg płci w HOF w latach 1999-2019</w:t>
        </w:r>
        <w:r w:rsidRPr="00577C1C">
          <w:rPr>
            <w:noProof/>
            <w:webHidden/>
          </w:rPr>
          <w:tab/>
        </w:r>
        <w:r w:rsidRPr="00577C1C">
          <w:rPr>
            <w:noProof/>
            <w:webHidden/>
          </w:rPr>
          <w:fldChar w:fldCharType="begin"/>
        </w:r>
        <w:r w:rsidRPr="00577C1C">
          <w:rPr>
            <w:noProof/>
            <w:webHidden/>
          </w:rPr>
          <w:instrText xml:space="preserve"> PAGEREF _Toc138068609 \h </w:instrText>
        </w:r>
        <w:r w:rsidRPr="00577C1C">
          <w:rPr>
            <w:noProof/>
            <w:webHidden/>
          </w:rPr>
        </w:r>
        <w:r w:rsidRPr="00577C1C">
          <w:rPr>
            <w:noProof/>
            <w:webHidden/>
          </w:rPr>
          <w:fldChar w:fldCharType="separate"/>
        </w:r>
        <w:r w:rsidR="0022657A">
          <w:rPr>
            <w:noProof/>
            <w:webHidden/>
          </w:rPr>
          <w:t>12</w:t>
        </w:r>
        <w:r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23" w:anchor="_Toc138068610" w:history="1">
        <w:r w:rsidR="00577C1C" w:rsidRPr="00577C1C">
          <w:rPr>
            <w:rStyle w:val="Hipercze"/>
            <w:noProof/>
          </w:rPr>
          <w:t>Wykres 2. Współczynnik przyrostu naturalnego (‰) w HOF w latach 2014 - 2019</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_Toc138068610 \h </w:instrText>
        </w:r>
        <w:r w:rsidR="00577C1C" w:rsidRPr="00577C1C">
          <w:rPr>
            <w:noProof/>
            <w:webHidden/>
          </w:rPr>
        </w:r>
        <w:r w:rsidR="00577C1C" w:rsidRPr="00577C1C">
          <w:rPr>
            <w:noProof/>
            <w:webHidden/>
          </w:rPr>
          <w:fldChar w:fldCharType="separate"/>
        </w:r>
        <w:r w:rsidR="0022657A">
          <w:rPr>
            <w:noProof/>
            <w:webHidden/>
          </w:rPr>
          <w:t>13</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611" w:history="1">
        <w:r w:rsidR="00577C1C" w:rsidRPr="00577C1C">
          <w:rPr>
            <w:rStyle w:val="Hipercze"/>
            <w:rFonts w:ascii="Calibri" w:eastAsia="Candara" w:hAnsi="Calibri" w:cs="Times New Roman"/>
            <w:bCs/>
            <w:noProof/>
          </w:rPr>
          <w:t>Wykres 3. Ludność według płci i wieku w HOF w 2019 roku</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_Toc138068611 \h </w:instrText>
        </w:r>
        <w:r w:rsidR="00577C1C" w:rsidRPr="00577C1C">
          <w:rPr>
            <w:noProof/>
            <w:webHidden/>
          </w:rPr>
        </w:r>
        <w:r w:rsidR="00577C1C" w:rsidRPr="00577C1C">
          <w:rPr>
            <w:noProof/>
            <w:webHidden/>
          </w:rPr>
          <w:fldChar w:fldCharType="separate"/>
        </w:r>
        <w:r w:rsidR="0022657A">
          <w:rPr>
            <w:noProof/>
            <w:webHidden/>
          </w:rPr>
          <w:t>14</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612" w:history="1">
        <w:r w:rsidR="00577C1C" w:rsidRPr="00577C1C">
          <w:rPr>
            <w:rStyle w:val="Hipercze"/>
            <w:rFonts w:ascii="Calibri" w:eastAsia="Candara" w:hAnsi="Calibri" w:cs="Times New Roman"/>
            <w:bCs/>
            <w:noProof/>
          </w:rPr>
          <w:t>Wykres 4. Prognoza liczby ludności Hrubieszowskiego Obszaru Funkcjonalnego do roku 2030</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_Toc138068612 \h </w:instrText>
        </w:r>
        <w:r w:rsidR="00577C1C" w:rsidRPr="00577C1C">
          <w:rPr>
            <w:noProof/>
            <w:webHidden/>
          </w:rPr>
        </w:r>
        <w:r w:rsidR="00577C1C" w:rsidRPr="00577C1C">
          <w:rPr>
            <w:noProof/>
            <w:webHidden/>
          </w:rPr>
          <w:fldChar w:fldCharType="separate"/>
        </w:r>
        <w:r w:rsidR="0022657A">
          <w:rPr>
            <w:noProof/>
            <w:webHidden/>
          </w:rPr>
          <w:t>15</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24" w:anchor="_Toc138068613" w:history="1">
        <w:r w:rsidR="00577C1C" w:rsidRPr="00577C1C">
          <w:rPr>
            <w:rStyle w:val="Hipercze"/>
            <w:noProof/>
          </w:rPr>
          <w:t>Wykres 5. Współczynnik skolaryzacji dla liceów ogólnokształcących w  OF w latach 2014-2019</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_Toc138068613 \h </w:instrText>
        </w:r>
        <w:r w:rsidR="00577C1C" w:rsidRPr="00577C1C">
          <w:rPr>
            <w:noProof/>
            <w:webHidden/>
          </w:rPr>
        </w:r>
        <w:r w:rsidR="00577C1C" w:rsidRPr="00577C1C">
          <w:rPr>
            <w:noProof/>
            <w:webHidden/>
          </w:rPr>
          <w:fldChar w:fldCharType="separate"/>
        </w:r>
        <w:r w:rsidR="0022657A">
          <w:rPr>
            <w:noProof/>
            <w:webHidden/>
          </w:rPr>
          <w:t>18</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25" w:anchor="_Toc138068614" w:history="1">
        <w:r w:rsidR="00577C1C" w:rsidRPr="00577C1C">
          <w:rPr>
            <w:rStyle w:val="Hipercze"/>
            <w:noProof/>
          </w:rPr>
          <w:t>Wykres 6. Wskaźnik liczby fundacji, stowarzyszeń i organizacji społecznych na 10 000 mieszkańców w latach 2014-2019 funkcjonujących w HOF i grupie porównawczej</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_Toc138068614 \h </w:instrText>
        </w:r>
        <w:r w:rsidR="00577C1C" w:rsidRPr="00577C1C">
          <w:rPr>
            <w:noProof/>
            <w:webHidden/>
          </w:rPr>
        </w:r>
        <w:r w:rsidR="00577C1C" w:rsidRPr="00577C1C">
          <w:rPr>
            <w:noProof/>
            <w:webHidden/>
          </w:rPr>
          <w:fldChar w:fldCharType="separate"/>
        </w:r>
        <w:r w:rsidR="0022657A">
          <w:rPr>
            <w:noProof/>
            <w:webHidden/>
          </w:rPr>
          <w:t>23</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615" w:history="1">
        <w:r w:rsidR="00577C1C" w:rsidRPr="00577C1C">
          <w:rPr>
            <w:rStyle w:val="Hipercze"/>
            <w:noProof/>
          </w:rPr>
          <w:t>Wykres 7. Liczba placówek ambulatoryjnej opieki zdrowotnej na 10 tys. mieszkańców w HOF oraz grupie porównawczej dla lat 2014-2019</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_Toc138068615 \h </w:instrText>
        </w:r>
        <w:r w:rsidR="00577C1C" w:rsidRPr="00577C1C">
          <w:rPr>
            <w:noProof/>
            <w:webHidden/>
          </w:rPr>
        </w:r>
        <w:r w:rsidR="00577C1C" w:rsidRPr="00577C1C">
          <w:rPr>
            <w:noProof/>
            <w:webHidden/>
          </w:rPr>
          <w:fldChar w:fldCharType="separate"/>
        </w:r>
        <w:r w:rsidR="0022657A">
          <w:rPr>
            <w:noProof/>
            <w:webHidden/>
          </w:rPr>
          <w:t>25</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26" w:anchor="_Toc138068616" w:history="1">
        <w:r w:rsidR="00577C1C" w:rsidRPr="00577C1C">
          <w:rPr>
            <w:rStyle w:val="Hipercze"/>
            <w:noProof/>
          </w:rPr>
          <w:t>Wykres 8. Osoby korzystające ze środowiskowej pomocy społecznej wg kryterium dochodowego</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_Toc138068616 \h </w:instrText>
        </w:r>
        <w:r w:rsidR="00577C1C" w:rsidRPr="00577C1C">
          <w:rPr>
            <w:noProof/>
            <w:webHidden/>
          </w:rPr>
        </w:r>
        <w:r w:rsidR="00577C1C" w:rsidRPr="00577C1C">
          <w:rPr>
            <w:noProof/>
            <w:webHidden/>
          </w:rPr>
          <w:fldChar w:fldCharType="separate"/>
        </w:r>
        <w:r w:rsidR="0022657A">
          <w:rPr>
            <w:noProof/>
            <w:webHidden/>
          </w:rPr>
          <w:t>26</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27" w:anchor="_Toc138068617" w:history="1">
        <w:r w:rsidR="00577C1C" w:rsidRPr="00577C1C">
          <w:rPr>
            <w:rStyle w:val="Hipercze"/>
            <w:noProof/>
          </w:rPr>
          <w:t>Wykres 9. Liczba podmiotów gospodarki narodowej w HOF wpisanej do rejestru REGON</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_Toc138068617 \h </w:instrText>
        </w:r>
        <w:r w:rsidR="00577C1C" w:rsidRPr="00577C1C">
          <w:rPr>
            <w:noProof/>
            <w:webHidden/>
          </w:rPr>
        </w:r>
        <w:r w:rsidR="00577C1C" w:rsidRPr="00577C1C">
          <w:rPr>
            <w:noProof/>
            <w:webHidden/>
          </w:rPr>
          <w:fldChar w:fldCharType="separate"/>
        </w:r>
        <w:r w:rsidR="0022657A">
          <w:rPr>
            <w:noProof/>
            <w:webHidden/>
          </w:rPr>
          <w:t>30</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28" w:anchor="_Toc138068618" w:history="1">
        <w:r w:rsidR="00577C1C" w:rsidRPr="00577C1C">
          <w:rPr>
            <w:rStyle w:val="Hipercze"/>
            <w:noProof/>
          </w:rPr>
          <w:t>Wykres 10. Podmioty wpisane do rejestru REGON na 10 tys. ludności</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_Toc138068618 \h </w:instrText>
        </w:r>
        <w:r w:rsidR="00577C1C" w:rsidRPr="00577C1C">
          <w:rPr>
            <w:noProof/>
            <w:webHidden/>
          </w:rPr>
        </w:r>
        <w:r w:rsidR="00577C1C" w:rsidRPr="00577C1C">
          <w:rPr>
            <w:noProof/>
            <w:webHidden/>
          </w:rPr>
          <w:fldChar w:fldCharType="separate"/>
        </w:r>
        <w:r w:rsidR="0022657A">
          <w:rPr>
            <w:noProof/>
            <w:webHidden/>
          </w:rPr>
          <w:t>30</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29" w:anchor="_Toc138068619" w:history="1">
        <w:r w:rsidR="00577C1C" w:rsidRPr="00577C1C">
          <w:rPr>
            <w:rStyle w:val="Hipercze"/>
            <w:noProof/>
          </w:rPr>
          <w:t>Wykres 11. Udział bezrobotnych zarejestrowanych w liczbie ludności w wieku produkcyjnym</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_Toc138068619 \h </w:instrText>
        </w:r>
        <w:r w:rsidR="00577C1C" w:rsidRPr="00577C1C">
          <w:rPr>
            <w:noProof/>
            <w:webHidden/>
          </w:rPr>
        </w:r>
        <w:r w:rsidR="00577C1C" w:rsidRPr="00577C1C">
          <w:rPr>
            <w:noProof/>
            <w:webHidden/>
          </w:rPr>
          <w:fldChar w:fldCharType="separate"/>
        </w:r>
        <w:r w:rsidR="0022657A">
          <w:rPr>
            <w:noProof/>
            <w:webHidden/>
          </w:rPr>
          <w:t>32</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30" w:anchor="_Toc138068620" w:history="1">
        <w:r w:rsidR="00577C1C" w:rsidRPr="00577C1C">
          <w:rPr>
            <w:rStyle w:val="Hipercze"/>
            <w:noProof/>
          </w:rPr>
          <w:t>Wykres 12. Różnica liczby mieszkańców w wieku 10-24 i 50-64 lat w HOF</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_Toc138068620 \h </w:instrText>
        </w:r>
        <w:r w:rsidR="00577C1C" w:rsidRPr="00577C1C">
          <w:rPr>
            <w:noProof/>
            <w:webHidden/>
          </w:rPr>
        </w:r>
        <w:r w:rsidR="00577C1C" w:rsidRPr="00577C1C">
          <w:rPr>
            <w:noProof/>
            <w:webHidden/>
          </w:rPr>
          <w:fldChar w:fldCharType="separate"/>
        </w:r>
        <w:r w:rsidR="0022657A">
          <w:rPr>
            <w:noProof/>
            <w:webHidden/>
          </w:rPr>
          <w:t>33</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31" w:anchor="_Toc138068621" w:history="1">
        <w:r w:rsidR="00577C1C" w:rsidRPr="00577C1C">
          <w:rPr>
            <w:rStyle w:val="Hipercze"/>
            <w:noProof/>
          </w:rPr>
          <w:t>Wykres 13. Liczba całorocznych miejsc noclegowych i turystów zagranicznych (nierezydentów) w HOF w latach 2014-2019</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_Toc138068621 \h </w:instrText>
        </w:r>
        <w:r w:rsidR="00577C1C" w:rsidRPr="00577C1C">
          <w:rPr>
            <w:noProof/>
            <w:webHidden/>
          </w:rPr>
        </w:r>
        <w:r w:rsidR="00577C1C" w:rsidRPr="00577C1C">
          <w:rPr>
            <w:noProof/>
            <w:webHidden/>
          </w:rPr>
          <w:fldChar w:fldCharType="separate"/>
        </w:r>
        <w:r w:rsidR="0022657A">
          <w:rPr>
            <w:noProof/>
            <w:webHidden/>
          </w:rPr>
          <w:t>35</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r:id="rId132" w:anchor="_Toc138068622" w:history="1">
        <w:r w:rsidR="00577C1C" w:rsidRPr="00577C1C">
          <w:rPr>
            <w:rStyle w:val="Hipercze"/>
            <w:noProof/>
          </w:rPr>
          <w:t>Wykres 14. Liczba i powierzchnia gospodarstw rolnych w HOF w 2010 roku w podziale na obszarowe użytki rolne</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_Toc138068622 \h </w:instrText>
        </w:r>
        <w:r w:rsidR="00577C1C" w:rsidRPr="00577C1C">
          <w:rPr>
            <w:noProof/>
            <w:webHidden/>
          </w:rPr>
        </w:r>
        <w:r w:rsidR="00577C1C" w:rsidRPr="00577C1C">
          <w:rPr>
            <w:noProof/>
            <w:webHidden/>
          </w:rPr>
          <w:fldChar w:fldCharType="separate"/>
        </w:r>
        <w:r w:rsidR="0022657A">
          <w:rPr>
            <w:noProof/>
            <w:webHidden/>
          </w:rPr>
          <w:t>38</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623" w:history="1">
        <w:r w:rsidR="00577C1C" w:rsidRPr="00577C1C">
          <w:rPr>
            <w:rStyle w:val="Hipercze"/>
            <w:rFonts w:ascii="Calibri" w:eastAsia="Candara" w:hAnsi="Calibri" w:cs="Times New Roman"/>
            <w:bCs/>
            <w:noProof/>
          </w:rPr>
          <w:t>Wykres 15. Odsetek mieszkańców korzystający z instalacji wodno-kanalizacyjnej w HOF oraz obszarach funkcjonalnych grupy porównawczej w latach 2014-2019</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_Toc138068623 \h </w:instrText>
        </w:r>
        <w:r w:rsidR="00577C1C" w:rsidRPr="00577C1C">
          <w:rPr>
            <w:noProof/>
            <w:webHidden/>
          </w:rPr>
        </w:r>
        <w:r w:rsidR="00577C1C" w:rsidRPr="00577C1C">
          <w:rPr>
            <w:noProof/>
            <w:webHidden/>
          </w:rPr>
          <w:fldChar w:fldCharType="separate"/>
        </w:r>
        <w:r w:rsidR="0022657A">
          <w:rPr>
            <w:noProof/>
            <w:webHidden/>
          </w:rPr>
          <w:t>46</w:t>
        </w:r>
        <w:r w:rsidR="00577C1C" w:rsidRPr="00577C1C">
          <w:rPr>
            <w:noProof/>
            <w:webHidden/>
          </w:rPr>
          <w:fldChar w:fldCharType="end"/>
        </w:r>
      </w:hyperlink>
    </w:p>
    <w:p w:rsidR="00577C1C" w:rsidRPr="00577C1C" w:rsidRDefault="00E20FF4" w:rsidP="00577C1C">
      <w:pPr>
        <w:pStyle w:val="Spisilustracji"/>
        <w:tabs>
          <w:tab w:val="right" w:leader="dot" w:pos="9072"/>
        </w:tabs>
        <w:spacing w:before="0"/>
        <w:ind w:right="567" w:firstLine="0"/>
        <w:rPr>
          <w:rFonts w:eastAsiaTheme="minorEastAsia"/>
          <w:noProof/>
          <w:lang w:eastAsia="pl-PL"/>
        </w:rPr>
      </w:pPr>
      <w:hyperlink w:anchor="_Toc138068624" w:history="1">
        <w:r w:rsidR="00577C1C" w:rsidRPr="00577C1C">
          <w:rPr>
            <w:rStyle w:val="Hipercze"/>
            <w:rFonts w:ascii="Calibri" w:eastAsia="Candara" w:hAnsi="Calibri" w:cs="Times New Roman"/>
            <w:bCs/>
            <w:noProof/>
          </w:rPr>
          <w:t>Wykres 16. Odpady - wskaźniki dla HOF oraz obszarach funkcjonalnych grupy porównawczej w latach 2017-2019</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_Toc138068624 \h </w:instrText>
        </w:r>
        <w:r w:rsidR="00577C1C" w:rsidRPr="00577C1C">
          <w:rPr>
            <w:noProof/>
            <w:webHidden/>
          </w:rPr>
        </w:r>
        <w:r w:rsidR="00577C1C" w:rsidRPr="00577C1C">
          <w:rPr>
            <w:noProof/>
            <w:webHidden/>
          </w:rPr>
          <w:fldChar w:fldCharType="separate"/>
        </w:r>
        <w:r w:rsidR="0022657A">
          <w:rPr>
            <w:noProof/>
            <w:webHidden/>
          </w:rPr>
          <w:t>48</w:t>
        </w:r>
        <w:r w:rsidR="00577C1C" w:rsidRPr="00577C1C">
          <w:rPr>
            <w:noProof/>
            <w:webHidden/>
          </w:rPr>
          <w:fldChar w:fldCharType="end"/>
        </w:r>
      </w:hyperlink>
    </w:p>
    <w:p w:rsidR="00577C1C" w:rsidRDefault="00E20FF4" w:rsidP="00577C1C">
      <w:pPr>
        <w:pStyle w:val="Spisilustracji"/>
        <w:tabs>
          <w:tab w:val="right" w:leader="dot" w:pos="9072"/>
        </w:tabs>
        <w:spacing w:before="0"/>
        <w:ind w:right="567" w:firstLine="0"/>
        <w:rPr>
          <w:rFonts w:eastAsiaTheme="minorEastAsia"/>
          <w:noProof/>
          <w:lang w:eastAsia="pl-PL"/>
        </w:rPr>
      </w:pPr>
      <w:hyperlink w:anchor="_Toc138068625" w:history="1">
        <w:r w:rsidR="00577C1C" w:rsidRPr="00577C1C">
          <w:rPr>
            <w:rStyle w:val="Hipercze"/>
            <w:rFonts w:ascii="Calibri" w:eastAsia="Candara" w:hAnsi="Calibri" w:cs="Times New Roman"/>
            <w:bCs/>
            <w:noProof/>
          </w:rPr>
          <w:t>Wykres 17. Liczba umów o dofinansowanie podpisanych wg programów operacyjnych w latach 2017-2020; koszty ogółem i kwalifikowane zgodnie z umowami o dofinansowanie wg programów operacyjnych w HOF w latach 2017-2020 (mln zł)</w:t>
        </w:r>
        <w:r w:rsidR="00577C1C" w:rsidRPr="00577C1C">
          <w:rPr>
            <w:noProof/>
            <w:webHidden/>
          </w:rPr>
          <w:tab/>
        </w:r>
        <w:r w:rsidR="00577C1C" w:rsidRPr="00577C1C">
          <w:rPr>
            <w:noProof/>
            <w:webHidden/>
          </w:rPr>
          <w:fldChar w:fldCharType="begin"/>
        </w:r>
        <w:r w:rsidR="00577C1C" w:rsidRPr="00577C1C">
          <w:rPr>
            <w:noProof/>
            <w:webHidden/>
          </w:rPr>
          <w:instrText xml:space="preserve"> PAGEREF _Toc138068625 \h </w:instrText>
        </w:r>
        <w:r w:rsidR="00577C1C" w:rsidRPr="00577C1C">
          <w:rPr>
            <w:noProof/>
            <w:webHidden/>
          </w:rPr>
        </w:r>
        <w:r w:rsidR="00577C1C" w:rsidRPr="00577C1C">
          <w:rPr>
            <w:noProof/>
            <w:webHidden/>
          </w:rPr>
          <w:fldChar w:fldCharType="separate"/>
        </w:r>
        <w:r w:rsidR="0022657A">
          <w:rPr>
            <w:noProof/>
            <w:webHidden/>
          </w:rPr>
          <w:t>52</w:t>
        </w:r>
        <w:r w:rsidR="00577C1C" w:rsidRPr="00577C1C">
          <w:rPr>
            <w:noProof/>
            <w:webHidden/>
          </w:rPr>
          <w:fldChar w:fldCharType="end"/>
        </w:r>
      </w:hyperlink>
    </w:p>
    <w:p w:rsidR="000C2F23" w:rsidRDefault="00577C1C" w:rsidP="00577C1C">
      <w:pPr>
        <w:spacing w:before="0" w:after="0"/>
        <w:sectPr w:rsidR="000C2F23" w:rsidSect="003E35BE">
          <w:pgSz w:w="11906" w:h="16838"/>
          <w:pgMar w:top="1417" w:right="1417" w:bottom="1417" w:left="1417" w:header="708" w:footer="708" w:gutter="0"/>
          <w:cols w:space="708"/>
          <w:docGrid w:linePitch="360"/>
        </w:sectPr>
      </w:pPr>
      <w:r>
        <w:fldChar w:fldCharType="end"/>
      </w:r>
    </w:p>
    <w:p w:rsidR="00E320BC" w:rsidRPr="00E320BC" w:rsidRDefault="00E320BC" w:rsidP="00270C6F">
      <w:pPr>
        <w:pStyle w:val="Nagwek2"/>
      </w:pPr>
      <w:bookmarkStart w:id="100" w:name="_Toc138068796"/>
      <w:r w:rsidRPr="00E320BC">
        <w:lastRenderedPageBreak/>
        <w:t>Załączniki:</w:t>
      </w:r>
      <w:bookmarkEnd w:id="100"/>
    </w:p>
    <w:p w:rsidR="00E320BC" w:rsidRPr="00E320BC" w:rsidRDefault="00E320BC" w:rsidP="000B0F82">
      <w:r w:rsidRPr="00E320BC">
        <w:t xml:space="preserve">Załącznik 1. </w:t>
      </w:r>
      <w:r w:rsidR="00771D22">
        <w:t>Indykatywny wykaz przedsięwzięć</w:t>
      </w:r>
    </w:p>
    <w:p w:rsidR="00953BB1" w:rsidRDefault="000B0F82" w:rsidP="000B0F82">
      <w:r>
        <w:t xml:space="preserve">Załącznik 2. </w:t>
      </w:r>
      <w:r w:rsidR="00771D22">
        <w:t>Lista projektów zintegrowanych</w:t>
      </w:r>
    </w:p>
    <w:p w:rsidR="00A50C13" w:rsidRDefault="00A50C13" w:rsidP="000B0F82">
      <w:r>
        <w:t xml:space="preserve">Załącznik 3. </w:t>
      </w:r>
      <w:r w:rsidR="00771D22" w:rsidRPr="007C16CB">
        <w:t>Sprawozdanie z konsultacji społecznych projektu Strategii rozwoju ponadlokalnego Hrubieszowskiego Obszaru Funkcjonalnego na lata 2021 – 2030</w:t>
      </w:r>
    </w:p>
    <w:p w:rsidR="007C16CB" w:rsidRDefault="000B0F82" w:rsidP="000B0F82">
      <w:r>
        <w:t xml:space="preserve">Załącznik </w:t>
      </w:r>
      <w:r w:rsidR="00771D22">
        <w:t>4</w:t>
      </w:r>
      <w:r>
        <w:t xml:space="preserve">. </w:t>
      </w:r>
      <w:r w:rsidR="00771D22">
        <w:t>Podsumowanie procesu strategicznej oceny oddziaływania na środowisko</w:t>
      </w:r>
    </w:p>
    <w:p w:rsidR="000B0F82" w:rsidRDefault="000B0F82" w:rsidP="000B0F82">
      <w:r>
        <w:t>Załącznik 5. Rekomendacje i ustalenia ewaluacji ex-</w:t>
      </w:r>
      <w:proofErr w:type="spellStart"/>
      <w:r>
        <w:t>ante</w:t>
      </w:r>
      <w:proofErr w:type="spellEnd"/>
    </w:p>
    <w:p w:rsidR="00247405" w:rsidRDefault="00247405" w:rsidP="000B0F82">
      <w:r>
        <w:t>Załącznik 6. Zarys planu działań ZIT</w:t>
      </w:r>
    </w:p>
    <w:p w:rsidR="00C6171E" w:rsidRDefault="00C6171E">
      <w:pPr>
        <w:spacing w:before="0"/>
        <w:ind w:firstLine="0"/>
        <w:jc w:val="left"/>
      </w:pPr>
      <w:r>
        <w:br w:type="page"/>
      </w:r>
    </w:p>
    <w:p w:rsidR="00270C6F" w:rsidRDefault="00270C6F" w:rsidP="00270C6F">
      <w:pPr>
        <w:pStyle w:val="Nagwek2"/>
      </w:pPr>
      <w:bookmarkStart w:id="101" w:name="_Toc138068797"/>
      <w:r>
        <w:lastRenderedPageBreak/>
        <w:t>Odniesienie do zagadnień w kartach sprawdzających</w:t>
      </w:r>
      <w:bookmarkEnd w:id="101"/>
    </w:p>
    <w:p w:rsidR="00CA4A72" w:rsidRDefault="00C6171E" w:rsidP="00C6171E">
      <w:pPr>
        <w:spacing w:after="0"/>
        <w:ind w:firstLine="0"/>
        <w:jc w:val="left"/>
      </w:pPr>
      <w:r>
        <w:t>Spełnienie wymogów art. 29 rozporządzenia ogólnego:</w:t>
      </w:r>
    </w:p>
    <w:tbl>
      <w:tblPr>
        <w:tblStyle w:val="Tabela-Siatka"/>
        <w:tblW w:w="0" w:type="auto"/>
        <w:tblLook w:val="04A0" w:firstRow="1" w:lastRow="0" w:firstColumn="1" w:lastColumn="0" w:noHBand="0" w:noVBand="1"/>
      </w:tblPr>
      <w:tblGrid>
        <w:gridCol w:w="6062"/>
        <w:gridCol w:w="3150"/>
      </w:tblGrid>
      <w:tr w:rsidR="00127A9E" w:rsidTr="00127A9E">
        <w:tc>
          <w:tcPr>
            <w:tcW w:w="6062" w:type="dxa"/>
            <w:vAlign w:val="center"/>
          </w:tcPr>
          <w:p w:rsidR="00127A9E" w:rsidRPr="00C6171E" w:rsidRDefault="00127A9E" w:rsidP="002426AA">
            <w:pPr>
              <w:ind w:firstLine="0"/>
              <w:jc w:val="center"/>
              <w:rPr>
                <w:b/>
              </w:rPr>
            </w:pPr>
            <w:r w:rsidRPr="00C6171E">
              <w:rPr>
                <w:b/>
              </w:rPr>
              <w:t>Kryteria dostępowe (brzegowe) dla ZIT MOF</w:t>
            </w:r>
          </w:p>
        </w:tc>
        <w:tc>
          <w:tcPr>
            <w:tcW w:w="3150" w:type="dxa"/>
            <w:vAlign w:val="center"/>
          </w:tcPr>
          <w:p w:rsidR="00127A9E" w:rsidRPr="00C6171E" w:rsidRDefault="00127A9E" w:rsidP="002426AA">
            <w:pPr>
              <w:ind w:firstLine="0"/>
              <w:jc w:val="center"/>
              <w:rPr>
                <w:b/>
              </w:rPr>
            </w:pPr>
            <w:r w:rsidRPr="00C6171E">
              <w:rPr>
                <w:b/>
              </w:rPr>
              <w:t>Odniesienie w dokumencie Strategii (nr strony)</w:t>
            </w:r>
          </w:p>
        </w:tc>
      </w:tr>
      <w:tr w:rsidR="00127A9E" w:rsidTr="00127A9E">
        <w:tc>
          <w:tcPr>
            <w:tcW w:w="6062" w:type="dxa"/>
          </w:tcPr>
          <w:p w:rsidR="00127A9E" w:rsidRDefault="00127A9E" w:rsidP="00A13FA7">
            <w:pPr>
              <w:pStyle w:val="Akapitzlist"/>
              <w:numPr>
                <w:ilvl w:val="0"/>
                <w:numId w:val="86"/>
              </w:numPr>
              <w:ind w:left="142" w:hanging="153"/>
            </w:pPr>
            <w:r>
              <w:t xml:space="preserve"> Czy w przedłożonym dokumencie ujęte zostały informacje </w:t>
            </w:r>
            <w:proofErr w:type="gramStart"/>
            <w:r>
              <w:t>nt.:</w:t>
            </w:r>
            <w:proofErr w:type="gramEnd"/>
          </w:p>
        </w:tc>
        <w:tc>
          <w:tcPr>
            <w:tcW w:w="3150" w:type="dxa"/>
          </w:tcPr>
          <w:p w:rsidR="00127A9E" w:rsidRDefault="00127A9E" w:rsidP="002426AA">
            <w:pPr>
              <w:ind w:firstLine="0"/>
              <w:jc w:val="center"/>
            </w:pPr>
          </w:p>
        </w:tc>
      </w:tr>
      <w:tr w:rsidR="00127A9E" w:rsidTr="00127A9E">
        <w:tc>
          <w:tcPr>
            <w:tcW w:w="6062" w:type="dxa"/>
          </w:tcPr>
          <w:p w:rsidR="00127A9E" w:rsidRDefault="00127A9E" w:rsidP="002426AA">
            <w:pPr>
              <w:ind w:firstLine="0"/>
            </w:pPr>
            <w:proofErr w:type="gramStart"/>
            <w:r>
              <w:t>obszaru</w:t>
            </w:r>
            <w:proofErr w:type="gramEnd"/>
            <w:r>
              <w:t xml:space="preserve"> geograficznego, którego dotyczy dana strategia?</w:t>
            </w:r>
          </w:p>
        </w:tc>
        <w:tc>
          <w:tcPr>
            <w:tcW w:w="3150" w:type="dxa"/>
            <w:vAlign w:val="center"/>
          </w:tcPr>
          <w:p w:rsidR="00127A9E" w:rsidRDefault="00127A9E" w:rsidP="00127A9E">
            <w:pPr>
              <w:ind w:firstLine="0"/>
              <w:jc w:val="center"/>
            </w:pPr>
            <w:r>
              <w:t>Str. 7</w:t>
            </w:r>
          </w:p>
        </w:tc>
      </w:tr>
      <w:tr w:rsidR="00127A9E" w:rsidTr="00127A9E">
        <w:tc>
          <w:tcPr>
            <w:tcW w:w="6062" w:type="dxa"/>
          </w:tcPr>
          <w:p w:rsidR="00127A9E" w:rsidRDefault="00127A9E" w:rsidP="002426AA">
            <w:pPr>
              <w:ind w:firstLine="0"/>
            </w:pPr>
            <w:proofErr w:type="gramStart"/>
            <w:r>
              <w:t>analizy</w:t>
            </w:r>
            <w:proofErr w:type="gramEnd"/>
            <w:r>
              <w:t xml:space="preserve"> potrzeb rozwojowych i potencjału danego obszaru, w tym wzajemnych powiązań gospodarczych, społecznych i środowiskowych?</w:t>
            </w:r>
          </w:p>
        </w:tc>
        <w:tc>
          <w:tcPr>
            <w:tcW w:w="3150" w:type="dxa"/>
            <w:vAlign w:val="center"/>
          </w:tcPr>
          <w:p w:rsidR="00127A9E" w:rsidRDefault="00127A9E" w:rsidP="00127A9E">
            <w:pPr>
              <w:ind w:firstLine="0"/>
              <w:jc w:val="center"/>
            </w:pPr>
            <w:r>
              <w:t>Rozdział 2 „Podsumowanie diagnozy HOF”, str. 12</w:t>
            </w:r>
          </w:p>
        </w:tc>
      </w:tr>
      <w:tr w:rsidR="00127A9E" w:rsidTr="00127A9E">
        <w:tc>
          <w:tcPr>
            <w:tcW w:w="6062" w:type="dxa"/>
          </w:tcPr>
          <w:p w:rsidR="00127A9E" w:rsidRDefault="00127A9E" w:rsidP="002426AA">
            <w:pPr>
              <w:ind w:firstLine="0"/>
            </w:pPr>
            <w:proofErr w:type="gramStart"/>
            <w:r>
              <w:t>zintegrowanego</w:t>
            </w:r>
            <w:proofErr w:type="gramEnd"/>
            <w:r>
              <w:t xml:space="preserve"> podejścia służącego zaspokojeniu zidentyfikowanych potrzeb rozwojowych i wykorzystaniu potencjału danego obszaru (jego opis).</w:t>
            </w:r>
          </w:p>
        </w:tc>
        <w:tc>
          <w:tcPr>
            <w:tcW w:w="3150" w:type="dxa"/>
            <w:vAlign w:val="center"/>
          </w:tcPr>
          <w:p w:rsidR="00127A9E" w:rsidRDefault="00127A9E" w:rsidP="00127A9E">
            <w:pPr>
              <w:ind w:firstLine="0"/>
              <w:jc w:val="center"/>
            </w:pPr>
            <w:r>
              <w:t>Podrozdział 1.2 „Związek ZIT” str. 10</w:t>
            </w:r>
          </w:p>
        </w:tc>
      </w:tr>
      <w:tr w:rsidR="00127A9E" w:rsidTr="00127A9E">
        <w:tc>
          <w:tcPr>
            <w:tcW w:w="6062" w:type="dxa"/>
          </w:tcPr>
          <w:p w:rsidR="00127A9E" w:rsidRDefault="00127A9E" w:rsidP="002426AA">
            <w:pPr>
              <w:ind w:firstLine="0"/>
            </w:pPr>
            <w:proofErr w:type="gramStart"/>
            <w:r>
              <w:t>udziału</w:t>
            </w:r>
            <w:proofErr w:type="gramEnd"/>
            <w:r>
              <w:t xml:space="preserve"> partnerów w przygotowaniu i realizacji strategii, o którym mowa w art. 8 rozporządzenia ogólnego? (</w:t>
            </w:r>
            <w:proofErr w:type="gramStart"/>
            <w:r>
              <w:t>jego</w:t>
            </w:r>
            <w:proofErr w:type="gramEnd"/>
            <w:r>
              <w:t xml:space="preserve"> opis)</w:t>
            </w:r>
          </w:p>
        </w:tc>
        <w:tc>
          <w:tcPr>
            <w:tcW w:w="3150" w:type="dxa"/>
            <w:vAlign w:val="center"/>
          </w:tcPr>
          <w:p w:rsidR="00127A9E" w:rsidRDefault="00127A9E" w:rsidP="00E833C7">
            <w:pPr>
              <w:ind w:firstLine="0"/>
              <w:jc w:val="center"/>
            </w:pPr>
            <w:r>
              <w:t>Rozdział 7 „Uspołecznienie dokumentu Strategii”, str. 2</w:t>
            </w:r>
            <w:r w:rsidR="00E833C7">
              <w:t>20</w:t>
            </w:r>
          </w:p>
        </w:tc>
      </w:tr>
      <w:tr w:rsidR="00127A9E" w:rsidTr="00127A9E">
        <w:tc>
          <w:tcPr>
            <w:tcW w:w="6062" w:type="dxa"/>
          </w:tcPr>
          <w:p w:rsidR="00127A9E" w:rsidRDefault="00127A9E" w:rsidP="00A13FA7">
            <w:pPr>
              <w:pStyle w:val="Akapitzlist"/>
              <w:numPr>
                <w:ilvl w:val="0"/>
                <w:numId w:val="86"/>
              </w:numPr>
              <w:ind w:left="142" w:hanging="153"/>
            </w:pPr>
            <w:r>
              <w:t xml:space="preserve">Czy przedłożony dokument zawiera wykaz operacji, które mają być wspierane? (w </w:t>
            </w:r>
            <w:proofErr w:type="gramStart"/>
            <w:r>
              <w:t>przypadku gdy</w:t>
            </w:r>
            <w:proofErr w:type="gramEnd"/>
            <w:r>
              <w:t xml:space="preserve"> strategia terytorialna nie zawiera wykazu operacji, które mają być wspierane, odpowiednie instytucje lub podmioty terytorialne dokonują wyboru operacji lub biorą udział w takim wyborze)</w:t>
            </w:r>
          </w:p>
        </w:tc>
        <w:tc>
          <w:tcPr>
            <w:tcW w:w="3150" w:type="dxa"/>
            <w:vAlign w:val="center"/>
          </w:tcPr>
          <w:p w:rsidR="00127A9E" w:rsidRDefault="00127A9E" w:rsidP="00771D22">
            <w:pPr>
              <w:ind w:firstLine="0"/>
              <w:jc w:val="center"/>
            </w:pPr>
            <w:r>
              <w:t>Str. 92,</w:t>
            </w:r>
            <w:r w:rsidR="00E833C7">
              <w:t xml:space="preserve"> 106, 135, również w załączniku</w:t>
            </w:r>
            <w:r>
              <w:t>: Lista projektów zintegrowanych</w:t>
            </w:r>
          </w:p>
        </w:tc>
      </w:tr>
    </w:tbl>
    <w:p w:rsidR="00127A9E" w:rsidRDefault="00127A9E" w:rsidP="00C6171E">
      <w:pPr>
        <w:spacing w:after="0"/>
        <w:ind w:firstLine="0"/>
        <w:jc w:val="left"/>
      </w:pPr>
    </w:p>
    <w:p w:rsidR="00C6171E" w:rsidRDefault="00C6171E" w:rsidP="00C32E8B">
      <w:pPr>
        <w:spacing w:after="0"/>
        <w:ind w:firstLine="0"/>
        <w:jc w:val="left"/>
      </w:pPr>
      <w:r>
        <w:t>Spełnienie wymogów Umowy Partnerstwa i Ustawy wdrożeniowej</w:t>
      </w:r>
    </w:p>
    <w:tbl>
      <w:tblPr>
        <w:tblStyle w:val="Tabela-Siatka"/>
        <w:tblW w:w="0" w:type="auto"/>
        <w:tblLook w:val="04A0" w:firstRow="1" w:lastRow="0" w:firstColumn="1" w:lastColumn="0" w:noHBand="0" w:noVBand="1"/>
      </w:tblPr>
      <w:tblGrid>
        <w:gridCol w:w="6062"/>
        <w:gridCol w:w="3150"/>
      </w:tblGrid>
      <w:tr w:rsidR="00C6171E" w:rsidTr="00127A9E">
        <w:tc>
          <w:tcPr>
            <w:tcW w:w="6062" w:type="dxa"/>
            <w:vAlign w:val="center"/>
          </w:tcPr>
          <w:p w:rsidR="00C6171E" w:rsidRPr="00C6171E" w:rsidRDefault="00C6171E" w:rsidP="00270C6F">
            <w:pPr>
              <w:ind w:firstLine="0"/>
              <w:jc w:val="center"/>
              <w:rPr>
                <w:b/>
              </w:rPr>
            </w:pPr>
            <w:r w:rsidRPr="00C6171E">
              <w:rPr>
                <w:b/>
              </w:rPr>
              <w:t>Kryteria dostępowe (brzegowe) dla ZIT MOF</w:t>
            </w:r>
          </w:p>
        </w:tc>
        <w:tc>
          <w:tcPr>
            <w:tcW w:w="3150" w:type="dxa"/>
            <w:vAlign w:val="center"/>
          </w:tcPr>
          <w:p w:rsidR="00C6171E" w:rsidRPr="00C6171E" w:rsidRDefault="00C6171E" w:rsidP="00270C6F">
            <w:pPr>
              <w:ind w:firstLine="0"/>
              <w:jc w:val="center"/>
              <w:rPr>
                <w:b/>
              </w:rPr>
            </w:pPr>
            <w:r w:rsidRPr="00C6171E">
              <w:rPr>
                <w:b/>
              </w:rPr>
              <w:t>Odniesienie w dokumencie Strategii (nr strony)</w:t>
            </w:r>
          </w:p>
        </w:tc>
      </w:tr>
      <w:tr w:rsidR="00127A9E" w:rsidTr="00127A9E">
        <w:tc>
          <w:tcPr>
            <w:tcW w:w="6062" w:type="dxa"/>
          </w:tcPr>
          <w:p w:rsidR="00127A9E" w:rsidRDefault="00127A9E" w:rsidP="00A13FA7">
            <w:pPr>
              <w:pStyle w:val="Akapitzlist"/>
              <w:numPr>
                <w:ilvl w:val="0"/>
                <w:numId w:val="87"/>
              </w:numPr>
              <w:ind w:left="142" w:hanging="153"/>
            </w:pPr>
            <w:r>
              <w:t>Czy utworzono związek ZIT, formalizując współpracę w MOF w jednej z form przewidzianych w UP i art. 34 ust. 5 ustawy wdrożeniowej?</w:t>
            </w:r>
          </w:p>
        </w:tc>
        <w:tc>
          <w:tcPr>
            <w:tcW w:w="3150" w:type="dxa"/>
            <w:vAlign w:val="center"/>
          </w:tcPr>
          <w:p w:rsidR="00127A9E" w:rsidRPr="0044192B" w:rsidRDefault="00127A9E" w:rsidP="00127A9E">
            <w:pPr>
              <w:ind w:firstLine="34"/>
              <w:jc w:val="center"/>
            </w:pPr>
            <w:r w:rsidRPr="0044192B">
              <w:t>Str. 10</w:t>
            </w:r>
          </w:p>
        </w:tc>
      </w:tr>
      <w:tr w:rsidR="00127A9E" w:rsidTr="00127A9E">
        <w:tc>
          <w:tcPr>
            <w:tcW w:w="6062" w:type="dxa"/>
          </w:tcPr>
          <w:p w:rsidR="00127A9E" w:rsidRDefault="00127A9E" w:rsidP="00A13FA7">
            <w:pPr>
              <w:pStyle w:val="Akapitzlist"/>
              <w:numPr>
                <w:ilvl w:val="0"/>
                <w:numId w:val="87"/>
              </w:numPr>
              <w:ind w:left="142" w:hanging="153"/>
            </w:pPr>
            <w:r>
              <w:t xml:space="preserve"> Jaką formę współpracy wybrano dla MOF i kiedy podpisano dokumenty konstytuujące Związek ZIT?</w:t>
            </w:r>
          </w:p>
        </w:tc>
        <w:tc>
          <w:tcPr>
            <w:tcW w:w="3150" w:type="dxa"/>
            <w:vAlign w:val="center"/>
          </w:tcPr>
          <w:p w:rsidR="00127A9E" w:rsidRPr="0044192B" w:rsidRDefault="00127A9E" w:rsidP="00127A9E">
            <w:pPr>
              <w:ind w:firstLine="34"/>
              <w:jc w:val="center"/>
            </w:pPr>
            <w:r w:rsidRPr="0044192B">
              <w:t>Str. 10</w:t>
            </w:r>
          </w:p>
        </w:tc>
      </w:tr>
      <w:tr w:rsidR="00127A9E" w:rsidTr="00127A9E">
        <w:tc>
          <w:tcPr>
            <w:tcW w:w="6062" w:type="dxa"/>
          </w:tcPr>
          <w:p w:rsidR="00127A9E" w:rsidRDefault="00127A9E" w:rsidP="00A13FA7">
            <w:pPr>
              <w:pStyle w:val="Akapitzlist"/>
              <w:numPr>
                <w:ilvl w:val="0"/>
                <w:numId w:val="87"/>
              </w:numPr>
              <w:ind w:left="142" w:hanging="153"/>
            </w:pPr>
            <w:r>
              <w:t xml:space="preserve"> Jaki rodzaj dokumentu strategicznego, zdaniem Partnerstwa JST w MOF, został przedłożony celem zaopiniowania przez IZ PR: Czy jest to strategia ZIT czy strategia rozwoju ponadlokalnego dla ZIT MOF (obowiązkowa dla LOM z terminem na uchwalenie </w:t>
            </w:r>
            <w:proofErr w:type="gramStart"/>
            <w:r>
              <w:t>do 31.12.2025 r.) ?</w:t>
            </w:r>
            <w:proofErr w:type="gramEnd"/>
          </w:p>
        </w:tc>
        <w:tc>
          <w:tcPr>
            <w:tcW w:w="3150" w:type="dxa"/>
            <w:vAlign w:val="center"/>
          </w:tcPr>
          <w:p w:rsidR="00127A9E" w:rsidRPr="0044192B" w:rsidRDefault="00127A9E" w:rsidP="00127A9E">
            <w:pPr>
              <w:ind w:firstLine="34"/>
              <w:jc w:val="center"/>
            </w:pPr>
            <w:r w:rsidRPr="0044192B">
              <w:t>Str. 11</w:t>
            </w:r>
          </w:p>
        </w:tc>
      </w:tr>
      <w:tr w:rsidR="00127A9E" w:rsidTr="00127A9E">
        <w:tc>
          <w:tcPr>
            <w:tcW w:w="6062" w:type="dxa"/>
          </w:tcPr>
          <w:p w:rsidR="00127A9E" w:rsidRDefault="00127A9E" w:rsidP="00A13FA7">
            <w:pPr>
              <w:pStyle w:val="Akapitzlist"/>
              <w:numPr>
                <w:ilvl w:val="0"/>
                <w:numId w:val="87"/>
              </w:numPr>
              <w:ind w:left="142" w:hanging="153"/>
            </w:pPr>
            <w:r>
              <w:t xml:space="preserve"> Czy dokument strategii terytorialnej ZIT został formalnie przyjęty? Jeżeli TAK, </w:t>
            </w:r>
            <w:proofErr w:type="gramStart"/>
            <w:r>
              <w:t>to kiedy</w:t>
            </w:r>
            <w:proofErr w:type="gramEnd"/>
            <w:r>
              <w:t xml:space="preserve"> i w jakim trybie? Jeżeli NIE, </w:t>
            </w:r>
            <w:proofErr w:type="gramStart"/>
            <w:r>
              <w:t>to na jakim</w:t>
            </w:r>
            <w:proofErr w:type="gramEnd"/>
            <w:r>
              <w:t xml:space="preserve"> etapie przygotowania jest strategia (przed konsultacjami społecznymi czy po konsultacjach, przed czy po procedurze strategicznej oceny oddziaływania na środowisko). (Strategia jest przyjmowana przez organ stanowiący związku międzygminnego albo stowarzyszenia, w drodze uchwały, w formule porozumienia międzygminnego jest przyjmowana przez właściwe rady gmin i obowiązuje od dnia jej przyjęcia przez ostatnią radę gminy. Strategia opracowana z udziałem </w:t>
            </w:r>
            <w:r>
              <w:lastRenderedPageBreak/>
              <w:t>powiatu jest przyjmowana również przez radę powiatu i obowiązuje od dnia jej przyjęcia przez ostatnią radę gminy lub powiatu.)</w:t>
            </w:r>
          </w:p>
        </w:tc>
        <w:tc>
          <w:tcPr>
            <w:tcW w:w="3150" w:type="dxa"/>
            <w:vAlign w:val="center"/>
          </w:tcPr>
          <w:p w:rsidR="00127A9E" w:rsidRPr="0044192B" w:rsidRDefault="00127A9E" w:rsidP="00127A9E">
            <w:pPr>
              <w:ind w:firstLine="34"/>
              <w:jc w:val="center"/>
            </w:pPr>
            <w:r>
              <w:lastRenderedPageBreak/>
              <w:t>Str. 11</w:t>
            </w:r>
          </w:p>
        </w:tc>
      </w:tr>
      <w:tr w:rsidR="00127A9E" w:rsidTr="00127A9E">
        <w:tc>
          <w:tcPr>
            <w:tcW w:w="6062" w:type="dxa"/>
          </w:tcPr>
          <w:p w:rsidR="00127A9E" w:rsidRDefault="00127A9E" w:rsidP="00A13FA7">
            <w:pPr>
              <w:pStyle w:val="Akapitzlist"/>
              <w:numPr>
                <w:ilvl w:val="0"/>
                <w:numId w:val="87"/>
              </w:numPr>
              <w:ind w:left="142" w:hanging="153"/>
            </w:pPr>
            <w:r>
              <w:lastRenderedPageBreak/>
              <w:t xml:space="preserve"> Czy strategia terytorialna opracowana przez MOF przewiduje wsparcie zarówno z programów krajowych jak i programów regionalnych?</w:t>
            </w:r>
          </w:p>
        </w:tc>
        <w:tc>
          <w:tcPr>
            <w:tcW w:w="3150" w:type="dxa"/>
            <w:vAlign w:val="center"/>
          </w:tcPr>
          <w:p w:rsidR="00127A9E" w:rsidRPr="0044192B" w:rsidRDefault="00E833C7" w:rsidP="00127A9E">
            <w:pPr>
              <w:ind w:firstLine="34"/>
              <w:jc w:val="center"/>
            </w:pPr>
            <w:r>
              <w:t>Str. 184</w:t>
            </w:r>
          </w:p>
        </w:tc>
      </w:tr>
      <w:tr w:rsidR="00127A9E" w:rsidTr="00127A9E">
        <w:tc>
          <w:tcPr>
            <w:tcW w:w="6062" w:type="dxa"/>
          </w:tcPr>
          <w:p w:rsidR="00127A9E" w:rsidRDefault="00127A9E" w:rsidP="00A13FA7">
            <w:pPr>
              <w:pStyle w:val="Akapitzlist"/>
              <w:numPr>
                <w:ilvl w:val="0"/>
                <w:numId w:val="87"/>
              </w:numPr>
              <w:ind w:left="142" w:hanging="153"/>
            </w:pPr>
            <w:r>
              <w:t xml:space="preserve"> Czy dokument strategii został skonsultowany społecznie (zgodnie z zasadą partnerstwa opisaną w art.8 rozporządzenia ogólnego)?</w:t>
            </w:r>
          </w:p>
        </w:tc>
        <w:tc>
          <w:tcPr>
            <w:tcW w:w="3150" w:type="dxa"/>
            <w:vAlign w:val="center"/>
          </w:tcPr>
          <w:p w:rsidR="00127A9E" w:rsidRPr="0044192B" w:rsidRDefault="00127A9E" w:rsidP="00127A9E">
            <w:pPr>
              <w:ind w:firstLine="0"/>
              <w:jc w:val="center"/>
            </w:pPr>
            <w:r w:rsidRPr="0044192B">
              <w:t>Rozdział 7 „Uspołecznieni</w:t>
            </w:r>
            <w:r w:rsidR="00E833C7">
              <w:t>e dokumentu Strategii”, str. 220</w:t>
            </w:r>
          </w:p>
        </w:tc>
      </w:tr>
      <w:tr w:rsidR="00127A9E" w:rsidTr="00127A9E">
        <w:tc>
          <w:tcPr>
            <w:tcW w:w="6062" w:type="dxa"/>
          </w:tcPr>
          <w:p w:rsidR="00127A9E" w:rsidRDefault="00127A9E" w:rsidP="00A13FA7">
            <w:pPr>
              <w:pStyle w:val="Akapitzlist"/>
              <w:numPr>
                <w:ilvl w:val="0"/>
                <w:numId w:val="87"/>
              </w:numPr>
              <w:ind w:left="142" w:hanging="153"/>
            </w:pPr>
            <w:r>
              <w:t xml:space="preserve"> Czy dokument strategii został poddany procedurze strategicznej oceny oddziaływania na środowisko (o ile nie będzie możliwe odstąpienie od procedury SOOŚ na podstawie decyzji odpowiedniej regionalnej dyrekcji ochrony środowiska)?</w:t>
            </w:r>
          </w:p>
        </w:tc>
        <w:tc>
          <w:tcPr>
            <w:tcW w:w="3150" w:type="dxa"/>
            <w:vAlign w:val="center"/>
          </w:tcPr>
          <w:p w:rsidR="00127A9E" w:rsidRPr="0044192B" w:rsidRDefault="00127A9E" w:rsidP="00127A9E">
            <w:pPr>
              <w:ind w:firstLine="34"/>
              <w:jc w:val="center"/>
            </w:pPr>
            <w:r w:rsidRPr="00127A9E">
              <w:t>Załącznik „Podsumowanie procesu strategicznej oceny oddziaływania na środowisko”</w:t>
            </w:r>
          </w:p>
        </w:tc>
      </w:tr>
    </w:tbl>
    <w:p w:rsidR="00C6171E" w:rsidRDefault="00C6171E" w:rsidP="00C6171E">
      <w:pPr>
        <w:spacing w:after="0"/>
        <w:ind w:firstLine="0"/>
        <w:jc w:val="left"/>
      </w:pPr>
      <w:r>
        <w:t>Strategia rozwoju ponadlokalnego pełniąca funkcję strategii ZIT (wypełnić</w:t>
      </w:r>
      <w:r w:rsidR="00A05BC0">
        <w:t>,</w:t>
      </w:r>
      <w:r>
        <w:t xml:space="preserve"> jeżeli strategia identyfikowana </w:t>
      </w:r>
      <w:proofErr w:type="gramStart"/>
      <w:r>
        <w:t>jest jako</w:t>
      </w:r>
      <w:proofErr w:type="gramEnd"/>
      <w:r>
        <w:t xml:space="preserve"> strategia rozwoju ponadlokalnego)</w:t>
      </w:r>
    </w:p>
    <w:tbl>
      <w:tblPr>
        <w:tblStyle w:val="Tabela-Siatka"/>
        <w:tblW w:w="0" w:type="auto"/>
        <w:tblLook w:val="04A0" w:firstRow="1" w:lastRow="0" w:firstColumn="1" w:lastColumn="0" w:noHBand="0" w:noVBand="1"/>
      </w:tblPr>
      <w:tblGrid>
        <w:gridCol w:w="6062"/>
        <w:gridCol w:w="3150"/>
      </w:tblGrid>
      <w:tr w:rsidR="00C6171E" w:rsidTr="00127A9E">
        <w:tc>
          <w:tcPr>
            <w:tcW w:w="6062" w:type="dxa"/>
            <w:vAlign w:val="center"/>
          </w:tcPr>
          <w:p w:rsidR="00C6171E" w:rsidRPr="00C6171E" w:rsidRDefault="00C6171E" w:rsidP="00270C6F">
            <w:pPr>
              <w:ind w:firstLine="0"/>
              <w:jc w:val="center"/>
              <w:rPr>
                <w:b/>
              </w:rPr>
            </w:pPr>
            <w:r w:rsidRPr="00C6171E">
              <w:rPr>
                <w:b/>
              </w:rPr>
              <w:t>Kryteria dostępowe (brzegowe) dla ZIT MOF</w:t>
            </w:r>
          </w:p>
        </w:tc>
        <w:tc>
          <w:tcPr>
            <w:tcW w:w="3150" w:type="dxa"/>
            <w:vAlign w:val="center"/>
          </w:tcPr>
          <w:p w:rsidR="00C6171E" w:rsidRPr="00C6171E" w:rsidRDefault="00C6171E" w:rsidP="00270C6F">
            <w:pPr>
              <w:ind w:firstLine="0"/>
              <w:jc w:val="center"/>
              <w:rPr>
                <w:b/>
              </w:rPr>
            </w:pPr>
            <w:r w:rsidRPr="00C6171E">
              <w:rPr>
                <w:b/>
              </w:rPr>
              <w:t>Odniesienie w dokumencie Strategii (nr strony)</w:t>
            </w:r>
          </w:p>
        </w:tc>
      </w:tr>
      <w:tr w:rsidR="00127A9E" w:rsidTr="00127A9E">
        <w:tc>
          <w:tcPr>
            <w:tcW w:w="6062" w:type="dxa"/>
          </w:tcPr>
          <w:p w:rsidR="00127A9E" w:rsidRDefault="00127A9E" w:rsidP="00A13FA7">
            <w:pPr>
              <w:pStyle w:val="Akapitzlist"/>
              <w:numPr>
                <w:ilvl w:val="0"/>
                <w:numId w:val="88"/>
              </w:numPr>
              <w:ind w:left="142" w:hanging="153"/>
            </w:pPr>
            <w:r>
              <w:t xml:space="preserve"> Czy strategia zawiera wnioski z diagnozy, o której mowa w art. 10a ust. 1 ustawy z dnia 6 grudnia 2006 r. o zasadach prowadzenia polityki rozwoju (Dz. </w:t>
            </w:r>
            <w:proofErr w:type="gramStart"/>
            <w:r>
              <w:t xml:space="preserve">U. </w:t>
            </w:r>
            <w:proofErr w:type="gramEnd"/>
            <w:r>
              <w:t>z 2021 r. poz</w:t>
            </w:r>
            <w:proofErr w:type="gramStart"/>
            <w:r>
              <w:t>. 1057)? (dotyczy</w:t>
            </w:r>
            <w:proofErr w:type="gramEnd"/>
            <w:r>
              <w:t xml:space="preserve"> art. 34 ust.15 pkt 1 ustawy wdrożeniowej tj. analizy problemów, potrzeb i potencjałów rozwojowych, w tym wzajemnych powiązań gospodarczych, społecznych i środowiskowych)</w:t>
            </w:r>
          </w:p>
        </w:tc>
        <w:tc>
          <w:tcPr>
            <w:tcW w:w="3150" w:type="dxa"/>
            <w:vAlign w:val="center"/>
          </w:tcPr>
          <w:p w:rsidR="00127A9E" w:rsidRDefault="00127A9E" w:rsidP="00127A9E">
            <w:pPr>
              <w:ind w:firstLine="0"/>
              <w:jc w:val="center"/>
            </w:pPr>
            <w:r w:rsidRPr="00343025">
              <w:t>Rozdział 2 „Podsumowanie diagnozy HOF”, str. 12</w:t>
            </w:r>
          </w:p>
        </w:tc>
      </w:tr>
      <w:tr w:rsidR="00127A9E" w:rsidTr="00127A9E">
        <w:tc>
          <w:tcPr>
            <w:tcW w:w="6062" w:type="dxa"/>
          </w:tcPr>
          <w:p w:rsidR="00127A9E" w:rsidRDefault="00127A9E" w:rsidP="00A13FA7">
            <w:pPr>
              <w:pStyle w:val="Akapitzlist"/>
              <w:numPr>
                <w:ilvl w:val="0"/>
                <w:numId w:val="88"/>
              </w:numPr>
              <w:ind w:left="142" w:hanging="153"/>
            </w:pPr>
            <w:r>
              <w:t xml:space="preserve"> Czy w strategii zostały określone cele rozwoju w każdym z wymiarów – społecznym, gospodarczym i przestrzennym? (dotyczy: </w:t>
            </w:r>
            <w:proofErr w:type="gramStart"/>
            <w:r>
              <w:t>celów jakie</w:t>
            </w:r>
            <w:proofErr w:type="gramEnd"/>
            <w:r>
              <w:t xml:space="preserve"> mają być zrealizowane w ramach ZIT ze wskazaniem podejścia zintegrowanego)</w:t>
            </w:r>
          </w:p>
        </w:tc>
        <w:tc>
          <w:tcPr>
            <w:tcW w:w="3150" w:type="dxa"/>
            <w:vAlign w:val="center"/>
          </w:tcPr>
          <w:p w:rsidR="00127A9E" w:rsidRDefault="00E833C7" w:rsidP="00127A9E">
            <w:pPr>
              <w:ind w:firstLine="0"/>
              <w:jc w:val="center"/>
            </w:pPr>
            <w:r>
              <w:t>Str. 67</w:t>
            </w:r>
          </w:p>
        </w:tc>
      </w:tr>
      <w:tr w:rsidR="00127A9E" w:rsidTr="00127A9E">
        <w:tc>
          <w:tcPr>
            <w:tcW w:w="6062" w:type="dxa"/>
          </w:tcPr>
          <w:p w:rsidR="00127A9E" w:rsidRDefault="00127A9E" w:rsidP="00A13FA7">
            <w:pPr>
              <w:pStyle w:val="Akapitzlist"/>
              <w:numPr>
                <w:ilvl w:val="0"/>
                <w:numId w:val="88"/>
              </w:numPr>
              <w:ind w:left="142" w:hanging="153"/>
            </w:pPr>
            <w:r>
              <w:t xml:space="preserve"> Czy wskazano kierunki działań podejmowanych dla osiągnięcia celów strategicznych?</w:t>
            </w:r>
          </w:p>
        </w:tc>
        <w:tc>
          <w:tcPr>
            <w:tcW w:w="3150" w:type="dxa"/>
            <w:vAlign w:val="center"/>
          </w:tcPr>
          <w:p w:rsidR="00127A9E" w:rsidRDefault="00127A9E" w:rsidP="00127A9E">
            <w:pPr>
              <w:ind w:firstLine="0"/>
              <w:jc w:val="center"/>
            </w:pPr>
            <w:r>
              <w:t>Podrozdział 3.3 „Kierunki inwestycji (działań) HOF wraz z harmonogramem pla</w:t>
            </w:r>
            <w:r w:rsidR="00E833C7">
              <w:t>nowanych przedsięwzięć”, str. 69</w:t>
            </w:r>
          </w:p>
        </w:tc>
      </w:tr>
      <w:tr w:rsidR="00127A9E" w:rsidTr="00127A9E">
        <w:tc>
          <w:tcPr>
            <w:tcW w:w="6062" w:type="dxa"/>
          </w:tcPr>
          <w:p w:rsidR="00127A9E" w:rsidRDefault="00127A9E" w:rsidP="00A13FA7">
            <w:pPr>
              <w:pStyle w:val="Akapitzlist"/>
              <w:numPr>
                <w:ilvl w:val="0"/>
                <w:numId w:val="88"/>
              </w:numPr>
              <w:ind w:left="142" w:hanging="153"/>
            </w:pPr>
            <w:r>
              <w:t xml:space="preserve"> Czy opisano rezultaty planowanych działań oraz wskaźniki ich osiągnięcia (w tym też w wymiarze przestrzennym?) (</w:t>
            </w:r>
            <w:proofErr w:type="gramStart"/>
            <w:r>
              <w:t>dotyczy</w:t>
            </w:r>
            <w:proofErr w:type="gramEnd"/>
            <w:r>
              <w:t>: oczekiwanych wskaźników produktu i rezultatu powiązanych z właściwym programem)</w:t>
            </w:r>
          </w:p>
        </w:tc>
        <w:tc>
          <w:tcPr>
            <w:tcW w:w="3150" w:type="dxa"/>
            <w:vAlign w:val="center"/>
          </w:tcPr>
          <w:p w:rsidR="00127A9E" w:rsidRDefault="00127A9E" w:rsidP="00127A9E">
            <w:pPr>
              <w:ind w:firstLine="0"/>
              <w:jc w:val="center"/>
            </w:pPr>
            <w:r>
              <w:t xml:space="preserve">Opis rezultatów uwzględniono w opisie celów operacyjnych: str. </w:t>
            </w:r>
            <w:r w:rsidR="00E833C7" w:rsidRPr="00E833C7">
              <w:t>80, 86, 103, 120, 132</w:t>
            </w:r>
          </w:p>
          <w:p w:rsidR="00127A9E" w:rsidRDefault="00127A9E" w:rsidP="00E833C7">
            <w:pPr>
              <w:ind w:firstLine="0"/>
              <w:jc w:val="center"/>
            </w:pPr>
            <w:r>
              <w:t>Wskaźniki: Str. 19</w:t>
            </w:r>
            <w:r w:rsidR="00E833C7">
              <w:t>4</w:t>
            </w:r>
            <w:r>
              <w:t>, załącznik „Zarys planu działań ZIT”.</w:t>
            </w:r>
          </w:p>
        </w:tc>
      </w:tr>
      <w:tr w:rsidR="00127A9E" w:rsidTr="00127A9E">
        <w:tc>
          <w:tcPr>
            <w:tcW w:w="6062" w:type="dxa"/>
          </w:tcPr>
          <w:p w:rsidR="00127A9E" w:rsidRDefault="00127A9E" w:rsidP="00A13FA7">
            <w:pPr>
              <w:pStyle w:val="Akapitzlist"/>
              <w:numPr>
                <w:ilvl w:val="0"/>
                <w:numId w:val="88"/>
              </w:numPr>
              <w:ind w:left="142" w:hanging="153"/>
            </w:pPr>
            <w:r>
              <w:t xml:space="preserve"> Czy sporządzony został model struktury funkcjonalno-przestrzennej obszaru MOF?</w:t>
            </w:r>
          </w:p>
        </w:tc>
        <w:tc>
          <w:tcPr>
            <w:tcW w:w="3150" w:type="dxa"/>
            <w:vAlign w:val="center"/>
          </w:tcPr>
          <w:p w:rsidR="00127A9E" w:rsidRDefault="00127A9E" w:rsidP="00127A9E">
            <w:pPr>
              <w:ind w:firstLine="0"/>
              <w:jc w:val="center"/>
            </w:pPr>
            <w:r>
              <w:t xml:space="preserve">Podrozdział 4.1 </w:t>
            </w:r>
            <w:r w:rsidRPr="000A4540">
              <w:t>Model struktury funkcjonalno-przestrzennej oraz ustalenia i rekomendacje w zakresie kształtowania i prowadzenia polityki przestrzennej w Hrubieszowskim Obszarze Funkcjonalnym</w:t>
            </w:r>
            <w:r w:rsidR="00E833C7">
              <w:t>, str. 136</w:t>
            </w:r>
          </w:p>
        </w:tc>
      </w:tr>
      <w:tr w:rsidR="00127A9E" w:rsidTr="00127A9E">
        <w:tc>
          <w:tcPr>
            <w:tcW w:w="6062" w:type="dxa"/>
          </w:tcPr>
          <w:p w:rsidR="00127A9E" w:rsidRDefault="00127A9E" w:rsidP="00A13FA7">
            <w:pPr>
              <w:pStyle w:val="Akapitzlist"/>
              <w:numPr>
                <w:ilvl w:val="0"/>
                <w:numId w:val="88"/>
              </w:numPr>
              <w:ind w:left="142" w:hanging="153"/>
            </w:pPr>
            <w:r>
              <w:lastRenderedPageBreak/>
              <w:t xml:space="preserve"> Czy projekt strategii rozwoju ponadlokalnego ZIT MOF zawiera obowiązkową część - ustalenia i rekomendacje w zakresie kształtowania i prowadzenia polityki przestrzennej?</w:t>
            </w:r>
          </w:p>
        </w:tc>
        <w:tc>
          <w:tcPr>
            <w:tcW w:w="3150" w:type="dxa"/>
            <w:vAlign w:val="center"/>
          </w:tcPr>
          <w:p w:rsidR="00127A9E" w:rsidRDefault="00E833C7" w:rsidP="00127A9E">
            <w:pPr>
              <w:ind w:firstLine="0"/>
              <w:jc w:val="center"/>
            </w:pPr>
            <w:r>
              <w:t>Str. 162</w:t>
            </w:r>
          </w:p>
        </w:tc>
      </w:tr>
      <w:tr w:rsidR="00127A9E" w:rsidTr="00127A9E">
        <w:tc>
          <w:tcPr>
            <w:tcW w:w="6062" w:type="dxa"/>
          </w:tcPr>
          <w:p w:rsidR="00127A9E" w:rsidRDefault="00127A9E" w:rsidP="00A13FA7">
            <w:pPr>
              <w:pStyle w:val="Akapitzlist"/>
              <w:numPr>
                <w:ilvl w:val="0"/>
                <w:numId w:val="88"/>
              </w:numPr>
              <w:ind w:left="142" w:hanging="153"/>
            </w:pPr>
            <w:r>
              <w:t xml:space="preserve"> Czy w dokumencie wskazano obszary strategicznej interwencji określone w strategii rozwoju województwa, o której mowa w art. 11 ust. 1 ustawy z dnia 5 czerwca 1998 r. o samorządzie województwa (Dz. </w:t>
            </w:r>
            <w:proofErr w:type="gramStart"/>
            <w:r>
              <w:t>U. z</w:t>
            </w:r>
            <w:proofErr w:type="gramEnd"/>
            <w:r>
              <w:t xml:space="preserve"> 2020 r. poz. 1668 oraz z 2021 r. poz. 1038 i 1834), wraz z zakresem planowanych działań?</w:t>
            </w:r>
          </w:p>
        </w:tc>
        <w:tc>
          <w:tcPr>
            <w:tcW w:w="3150" w:type="dxa"/>
            <w:vAlign w:val="center"/>
          </w:tcPr>
          <w:p w:rsidR="00127A9E" w:rsidRDefault="00127A9E" w:rsidP="00127A9E">
            <w:pPr>
              <w:ind w:firstLine="0"/>
              <w:jc w:val="center"/>
            </w:pPr>
            <w:r>
              <w:t xml:space="preserve">Podrozdział 4.2 </w:t>
            </w:r>
            <w:r w:rsidRPr="000A4540">
              <w:t>Obszary strategicznej interwencji strategii rozwoju województwa lubelskiego</w:t>
            </w:r>
            <w:r w:rsidR="00E833C7">
              <w:t>, str. 173</w:t>
            </w:r>
          </w:p>
        </w:tc>
      </w:tr>
      <w:tr w:rsidR="00127A9E" w:rsidTr="00127A9E">
        <w:tc>
          <w:tcPr>
            <w:tcW w:w="6062" w:type="dxa"/>
          </w:tcPr>
          <w:p w:rsidR="00127A9E" w:rsidRDefault="00127A9E" w:rsidP="00A13FA7">
            <w:pPr>
              <w:pStyle w:val="Akapitzlist"/>
              <w:numPr>
                <w:ilvl w:val="0"/>
                <w:numId w:val="88"/>
              </w:numPr>
              <w:ind w:left="142" w:hanging="153"/>
            </w:pPr>
            <w:r>
              <w:t xml:space="preserve"> Czy w strategii zostały zidentyfikowane inne, niż ww. OSI (wraz z zakresem planowanych działań)?</w:t>
            </w:r>
          </w:p>
        </w:tc>
        <w:tc>
          <w:tcPr>
            <w:tcW w:w="3150" w:type="dxa"/>
            <w:vAlign w:val="center"/>
          </w:tcPr>
          <w:p w:rsidR="00127A9E" w:rsidRDefault="00127A9E" w:rsidP="00127A9E">
            <w:pPr>
              <w:ind w:firstLine="0"/>
              <w:jc w:val="center"/>
            </w:pPr>
            <w:r>
              <w:t>Nie</w:t>
            </w:r>
          </w:p>
        </w:tc>
      </w:tr>
      <w:tr w:rsidR="00127A9E" w:rsidTr="00127A9E">
        <w:tc>
          <w:tcPr>
            <w:tcW w:w="6062" w:type="dxa"/>
          </w:tcPr>
          <w:p w:rsidR="00127A9E" w:rsidRDefault="00127A9E" w:rsidP="00A13FA7">
            <w:pPr>
              <w:pStyle w:val="Akapitzlist"/>
              <w:numPr>
                <w:ilvl w:val="0"/>
                <w:numId w:val="88"/>
              </w:numPr>
              <w:ind w:left="142" w:hanging="153"/>
            </w:pPr>
            <w:r>
              <w:t xml:space="preserve"> Czy został opisany system realizacji strategii, w tym wytyczne sporządzania dokumentów wykonawczych, w tym ewaluacji strategii? (</w:t>
            </w:r>
            <w:proofErr w:type="gramStart"/>
            <w:r>
              <w:t>dotyczy</w:t>
            </w:r>
            <w:proofErr w:type="gramEnd"/>
            <w:r>
              <w:t>: warunków i procedur obowiązujących w realizacji strategii ZIT)</w:t>
            </w:r>
          </w:p>
        </w:tc>
        <w:tc>
          <w:tcPr>
            <w:tcW w:w="3150" w:type="dxa"/>
            <w:vAlign w:val="center"/>
          </w:tcPr>
          <w:p w:rsidR="00127A9E" w:rsidRDefault="00127A9E" w:rsidP="00E833C7">
            <w:pPr>
              <w:ind w:firstLine="0"/>
              <w:jc w:val="center"/>
            </w:pPr>
            <w:r>
              <w:t>Rozdział 5 „System realizacji i finansowanie strategii” str. 17</w:t>
            </w:r>
            <w:r w:rsidR="00E833C7">
              <w:t>6</w:t>
            </w:r>
            <w:r>
              <w:t>, uszczegółowienie załącznik „„Zarys planu działań ZIT”.</w:t>
            </w:r>
          </w:p>
        </w:tc>
      </w:tr>
      <w:tr w:rsidR="00127A9E" w:rsidTr="00127A9E">
        <w:tc>
          <w:tcPr>
            <w:tcW w:w="6062" w:type="dxa"/>
          </w:tcPr>
          <w:p w:rsidR="00127A9E" w:rsidRDefault="00127A9E" w:rsidP="00A13FA7">
            <w:pPr>
              <w:pStyle w:val="Akapitzlist"/>
              <w:numPr>
                <w:ilvl w:val="0"/>
                <w:numId w:val="88"/>
              </w:numPr>
              <w:ind w:left="142" w:hanging="153"/>
            </w:pPr>
            <w:r>
              <w:t>Czy wskazano ramy finansowe, czasowe i źródła finansowania strategii ponadlokalnej?</w:t>
            </w:r>
          </w:p>
        </w:tc>
        <w:tc>
          <w:tcPr>
            <w:tcW w:w="3150" w:type="dxa"/>
            <w:vAlign w:val="center"/>
          </w:tcPr>
          <w:p w:rsidR="00127A9E" w:rsidRDefault="00127A9E" w:rsidP="00E833C7">
            <w:pPr>
              <w:ind w:firstLine="0"/>
              <w:jc w:val="center"/>
            </w:pPr>
            <w:r w:rsidRPr="000A4540">
              <w:t>Rozdział 5 „System realizacji i finansowanie strategii” str. 17</w:t>
            </w:r>
            <w:r w:rsidR="00E833C7">
              <w:t>6</w:t>
            </w:r>
            <w:r w:rsidRPr="000A4540">
              <w:t>, uszczegółowienie załącznik „„Zarys planu działań ZIT”.</w:t>
            </w:r>
          </w:p>
        </w:tc>
      </w:tr>
      <w:tr w:rsidR="00127A9E" w:rsidTr="00127A9E">
        <w:tc>
          <w:tcPr>
            <w:tcW w:w="6062" w:type="dxa"/>
          </w:tcPr>
          <w:p w:rsidR="00127A9E" w:rsidRDefault="00127A9E" w:rsidP="00A13FA7">
            <w:pPr>
              <w:pStyle w:val="Akapitzlist"/>
              <w:numPr>
                <w:ilvl w:val="0"/>
                <w:numId w:val="88"/>
              </w:numPr>
              <w:ind w:left="142" w:hanging="153"/>
            </w:pPr>
            <w:r>
              <w:t>Czy strategia rozwoju ponadlokalnego zawiera listę projektów realizujących cele do zrealizowania w ramach ZIT, wraz z informacją na temat sposobu ich wskazania oraz powiązania z innymi projektami? (Dla strategii rozwoju ponadlokalnego, lista projektów, może być przyjęta odrębną uchwałą związku ZIT).</w:t>
            </w:r>
          </w:p>
        </w:tc>
        <w:tc>
          <w:tcPr>
            <w:tcW w:w="3150" w:type="dxa"/>
            <w:vAlign w:val="center"/>
          </w:tcPr>
          <w:p w:rsidR="00127A9E" w:rsidRDefault="00127A9E" w:rsidP="00E833C7">
            <w:pPr>
              <w:ind w:firstLine="0"/>
              <w:jc w:val="center"/>
            </w:pPr>
            <w:r w:rsidRPr="000A4540">
              <w:t>Str. 9</w:t>
            </w:r>
            <w:r w:rsidR="00E833C7">
              <w:t>4</w:t>
            </w:r>
            <w:r w:rsidRPr="000A4540">
              <w:t>, 10</w:t>
            </w:r>
            <w:r w:rsidR="00E833C7">
              <w:t>8</w:t>
            </w:r>
            <w:r w:rsidRPr="000A4540">
              <w:t>, 13</w:t>
            </w:r>
            <w:r w:rsidR="00E833C7">
              <w:t>5</w:t>
            </w:r>
            <w:r w:rsidRPr="000A4540">
              <w:t>, również w załączniku 3: Lista projektów zintegrowanych</w:t>
            </w:r>
            <w:r>
              <w:t xml:space="preserve">, </w:t>
            </w:r>
            <w:r w:rsidRPr="000A4540">
              <w:t>uszczegółowienie załącznik „„Zarys planu działań ZIT”.</w:t>
            </w:r>
          </w:p>
        </w:tc>
      </w:tr>
      <w:tr w:rsidR="00127A9E" w:rsidTr="00127A9E">
        <w:tc>
          <w:tcPr>
            <w:tcW w:w="6062" w:type="dxa"/>
          </w:tcPr>
          <w:p w:rsidR="00127A9E" w:rsidRDefault="00127A9E" w:rsidP="00A13FA7">
            <w:pPr>
              <w:pStyle w:val="Akapitzlist"/>
              <w:numPr>
                <w:ilvl w:val="0"/>
                <w:numId w:val="88"/>
              </w:numPr>
              <w:ind w:left="142" w:hanging="153"/>
            </w:pPr>
            <w:r>
              <w:t>Czy projekt strategii rozwoju ponadlokalnego ZIT MOF został przedłożony w celu wydania opinii dotyczącej sposobu uwzględnienia ustaleń i rekomendacji w zakresie kształtowania i prowadzenia polityki przestrzennej w województwie określonych w strategii rozwoju województwa? (</w:t>
            </w:r>
            <w:proofErr w:type="gramStart"/>
            <w:r>
              <w:t>badanie</w:t>
            </w:r>
            <w:proofErr w:type="gramEnd"/>
            <w:r>
              <w:t xml:space="preserve"> spójności z SRWL 2030 – Zarząd województwa wydaje opinie w terminie 30 dni od dnia otrzymania projektu strategii rozwoju ponadlokalnego). Jeżeli TAK, to czy Zarząd WL wydał pozytywną opinię w tym zakresie?</w:t>
            </w:r>
          </w:p>
        </w:tc>
        <w:tc>
          <w:tcPr>
            <w:tcW w:w="3150" w:type="dxa"/>
            <w:vAlign w:val="center"/>
          </w:tcPr>
          <w:p w:rsidR="00127A9E" w:rsidRDefault="00127A9E" w:rsidP="00127A9E">
            <w:pPr>
              <w:ind w:firstLine="0"/>
              <w:jc w:val="center"/>
            </w:pPr>
            <w:r>
              <w:t>Jeszcze nie</w:t>
            </w:r>
          </w:p>
        </w:tc>
      </w:tr>
      <w:tr w:rsidR="00127A9E" w:rsidTr="00127A9E">
        <w:tc>
          <w:tcPr>
            <w:tcW w:w="6062" w:type="dxa"/>
          </w:tcPr>
          <w:p w:rsidR="00127A9E" w:rsidRDefault="00127A9E" w:rsidP="00A13FA7">
            <w:pPr>
              <w:pStyle w:val="Akapitzlist"/>
              <w:numPr>
                <w:ilvl w:val="0"/>
                <w:numId w:val="88"/>
              </w:numPr>
              <w:ind w:left="142" w:hanging="153"/>
            </w:pPr>
            <w:r>
              <w:t xml:space="preserve">Czy strategia rozwoju ponadlokalnego, pełniąca funkcje strategii ZIT, podlega zaopiniowaniu przez Ministra właściwego do spraw rozwoju regionalnego pod względem jej zgodności z UP? (60 </w:t>
            </w:r>
            <w:proofErr w:type="gramStart"/>
            <w:r>
              <w:t>dni</w:t>
            </w:r>
            <w:proofErr w:type="gramEnd"/>
            <w:r>
              <w:t xml:space="preserve"> od jej otrzymania). Do wyboru: 1) TAK – wymaga zastosowania trybu oceny w uzgodnieniu z </w:t>
            </w:r>
            <w:proofErr w:type="spellStart"/>
            <w:r>
              <w:t>MFiPR</w:t>
            </w:r>
            <w:proofErr w:type="spellEnd"/>
            <w:r>
              <w:t xml:space="preserve"> 2) NIE – wymaga wyłącznie działań ze strony IZ PR 3) Inne – do opisania/wyjaśniania.</w:t>
            </w:r>
          </w:p>
        </w:tc>
        <w:tc>
          <w:tcPr>
            <w:tcW w:w="3150" w:type="dxa"/>
            <w:vAlign w:val="center"/>
          </w:tcPr>
          <w:p w:rsidR="00127A9E" w:rsidRDefault="00127A9E" w:rsidP="00E833C7">
            <w:pPr>
              <w:ind w:firstLine="0"/>
              <w:jc w:val="center"/>
            </w:pPr>
            <w:r>
              <w:t>Nie, finansowanie wszystkich przedsięwzięć ZIT jest planowane w</w:t>
            </w:r>
            <w:r w:rsidRPr="004D323A">
              <w:t xml:space="preserve"> ramach programu Fundusze Europejskie dla Lubelskiego na lata 2021-2030</w:t>
            </w:r>
            <w:r>
              <w:t>, str. 18</w:t>
            </w:r>
            <w:r w:rsidR="00E833C7">
              <w:t>9</w:t>
            </w:r>
          </w:p>
        </w:tc>
      </w:tr>
      <w:tr w:rsidR="00127A9E" w:rsidTr="00127A9E">
        <w:tc>
          <w:tcPr>
            <w:tcW w:w="6062" w:type="dxa"/>
          </w:tcPr>
          <w:p w:rsidR="00127A9E" w:rsidRDefault="00127A9E" w:rsidP="00A13FA7">
            <w:pPr>
              <w:pStyle w:val="Akapitzlist"/>
              <w:numPr>
                <w:ilvl w:val="0"/>
                <w:numId w:val="88"/>
              </w:numPr>
              <w:ind w:left="142" w:hanging="153"/>
            </w:pPr>
            <w:r>
              <w:t>Czy w dokumencie strategii rozwoju ponadlokalnego opisano proces zaangażowania partnerów społeczno-gospodarczych oraz interesariuszy z MOF?</w:t>
            </w:r>
          </w:p>
        </w:tc>
        <w:tc>
          <w:tcPr>
            <w:tcW w:w="3150" w:type="dxa"/>
            <w:vAlign w:val="center"/>
          </w:tcPr>
          <w:p w:rsidR="00127A9E" w:rsidRDefault="00127A9E" w:rsidP="00127A9E">
            <w:pPr>
              <w:ind w:firstLine="0"/>
              <w:jc w:val="center"/>
            </w:pPr>
            <w:r w:rsidRPr="004D323A">
              <w:t>Rozdział 7 „Uspołecznieni</w:t>
            </w:r>
            <w:r w:rsidR="00E833C7">
              <w:t>e dokumentu Strategii”, str. 220</w:t>
            </w:r>
          </w:p>
        </w:tc>
      </w:tr>
      <w:tr w:rsidR="00127A9E" w:rsidTr="00127A9E">
        <w:tc>
          <w:tcPr>
            <w:tcW w:w="6062" w:type="dxa"/>
          </w:tcPr>
          <w:p w:rsidR="00127A9E" w:rsidRDefault="00127A9E" w:rsidP="00A13FA7">
            <w:pPr>
              <w:pStyle w:val="Akapitzlist"/>
              <w:numPr>
                <w:ilvl w:val="0"/>
                <w:numId w:val="88"/>
              </w:numPr>
              <w:ind w:left="142" w:hanging="153"/>
            </w:pPr>
            <w:r>
              <w:t>Czy dokument strategii został skonsultowany społecznie (zgodnie z zasadą partnerstwa opisaną w art.8 rozporządzenia ogólnego)?</w:t>
            </w:r>
          </w:p>
        </w:tc>
        <w:tc>
          <w:tcPr>
            <w:tcW w:w="3150" w:type="dxa"/>
            <w:vAlign w:val="center"/>
          </w:tcPr>
          <w:p w:rsidR="00127A9E" w:rsidRDefault="00127A9E" w:rsidP="00E833C7">
            <w:pPr>
              <w:ind w:firstLine="0"/>
              <w:jc w:val="center"/>
            </w:pPr>
            <w:r w:rsidRPr="004D323A">
              <w:t>Rozdział 7 „Uspołecznienie dokumentu Strategii”, str. 2</w:t>
            </w:r>
            <w:r w:rsidR="00E833C7">
              <w:t>20</w:t>
            </w:r>
          </w:p>
        </w:tc>
      </w:tr>
      <w:tr w:rsidR="00127A9E" w:rsidTr="00127A9E">
        <w:tc>
          <w:tcPr>
            <w:tcW w:w="6062" w:type="dxa"/>
          </w:tcPr>
          <w:p w:rsidR="00127A9E" w:rsidRDefault="00127A9E" w:rsidP="00A13FA7">
            <w:pPr>
              <w:pStyle w:val="Akapitzlist"/>
              <w:numPr>
                <w:ilvl w:val="0"/>
                <w:numId w:val="88"/>
              </w:numPr>
              <w:ind w:left="142" w:hanging="153"/>
            </w:pPr>
            <w:r>
              <w:lastRenderedPageBreak/>
              <w:t>Czy dokument strategii został poddany procedurze strategicznej oceny oddziaływania na środowisko (o ile nie będzie możliwe odstąpienie od procedury SOOŚ na podstawie decyzji odpowiedniej regionalnej dyrekcji ochrony środowiska)?</w:t>
            </w:r>
          </w:p>
        </w:tc>
        <w:tc>
          <w:tcPr>
            <w:tcW w:w="3150" w:type="dxa"/>
            <w:vAlign w:val="center"/>
          </w:tcPr>
          <w:p w:rsidR="00127A9E" w:rsidRDefault="00127A9E" w:rsidP="00127A9E">
            <w:pPr>
              <w:ind w:firstLine="0"/>
              <w:jc w:val="center"/>
            </w:pPr>
            <w:r>
              <w:t xml:space="preserve">Załącznik </w:t>
            </w:r>
            <w:r w:rsidRPr="004D323A">
              <w:t>„Podsumowanie procesu strategicznej oceny oddziaływania na środowisko”</w:t>
            </w:r>
          </w:p>
        </w:tc>
      </w:tr>
    </w:tbl>
    <w:p w:rsidR="00C6171E" w:rsidRDefault="00C32E8B" w:rsidP="00C32E8B">
      <w:pPr>
        <w:spacing w:after="0"/>
        <w:ind w:firstLine="0"/>
        <w:jc w:val="left"/>
      </w:pPr>
      <w:r>
        <w:t>Kryteria dotyczące listy projektów zintegrowanych i poszczególnych projektów</w:t>
      </w:r>
    </w:p>
    <w:tbl>
      <w:tblPr>
        <w:tblStyle w:val="Tabela-Siatka"/>
        <w:tblW w:w="0" w:type="auto"/>
        <w:tblLook w:val="04A0" w:firstRow="1" w:lastRow="0" w:firstColumn="1" w:lastColumn="0" w:noHBand="0" w:noVBand="1"/>
      </w:tblPr>
      <w:tblGrid>
        <w:gridCol w:w="6062"/>
        <w:gridCol w:w="3150"/>
      </w:tblGrid>
      <w:tr w:rsidR="00C32E8B" w:rsidTr="00127A9E">
        <w:tc>
          <w:tcPr>
            <w:tcW w:w="6062" w:type="dxa"/>
            <w:vAlign w:val="center"/>
          </w:tcPr>
          <w:p w:rsidR="00C32E8B" w:rsidRPr="00C6171E" w:rsidRDefault="00C32E8B" w:rsidP="00270C6F">
            <w:pPr>
              <w:ind w:firstLine="0"/>
              <w:jc w:val="center"/>
              <w:rPr>
                <w:b/>
              </w:rPr>
            </w:pPr>
            <w:r w:rsidRPr="00C6171E">
              <w:rPr>
                <w:b/>
              </w:rPr>
              <w:t>Kryteria dostępowe (brzegowe) dla ZIT MOF</w:t>
            </w:r>
          </w:p>
        </w:tc>
        <w:tc>
          <w:tcPr>
            <w:tcW w:w="3150" w:type="dxa"/>
            <w:vAlign w:val="center"/>
          </w:tcPr>
          <w:p w:rsidR="00C32E8B" w:rsidRPr="00C6171E" w:rsidRDefault="00C32E8B" w:rsidP="00270C6F">
            <w:pPr>
              <w:ind w:firstLine="0"/>
              <w:jc w:val="center"/>
              <w:rPr>
                <w:b/>
              </w:rPr>
            </w:pPr>
            <w:r w:rsidRPr="00C6171E">
              <w:rPr>
                <w:b/>
              </w:rPr>
              <w:t>Odniesienie w dokumencie Strategii (nr strony)</w:t>
            </w:r>
          </w:p>
        </w:tc>
      </w:tr>
      <w:tr w:rsidR="00127A9E" w:rsidTr="00127A9E">
        <w:tc>
          <w:tcPr>
            <w:tcW w:w="6062" w:type="dxa"/>
          </w:tcPr>
          <w:p w:rsidR="00127A9E" w:rsidRDefault="00127A9E" w:rsidP="00A13FA7">
            <w:pPr>
              <w:pStyle w:val="Akapitzlist"/>
              <w:numPr>
                <w:ilvl w:val="0"/>
                <w:numId w:val="89"/>
              </w:numPr>
              <w:ind w:left="142" w:hanging="153"/>
            </w:pPr>
            <w:r>
              <w:t>Czy projekty spełniają wymogi określone listami sprawdzającymi oceny projektów w zakresie możliwości wsparcia z udziałem środków Funduszy Europejskich dla Lubelskiego 2021-27? (</w:t>
            </w:r>
            <w:proofErr w:type="gramStart"/>
            <w:r>
              <w:t>odpowiedź</w:t>
            </w:r>
            <w:proofErr w:type="gramEnd"/>
            <w:r>
              <w:t xml:space="preserve"> zgodnie z listami ocen wypełnionymi w toku procesu opiniowania)</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89"/>
              </w:numPr>
              <w:ind w:left="142" w:hanging="153"/>
            </w:pPr>
            <w:r>
              <w:t>Czy katalog projektów zintegrowanych ujętych na listach projektów podlega pozytywnemu zaopiniowaniu w zakresie możliwości wsparcia ze środków Programu?</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bl>
    <w:p w:rsidR="00C32E8B" w:rsidRDefault="00C32E8B" w:rsidP="00A05BC0">
      <w:pPr>
        <w:spacing w:after="0"/>
        <w:ind w:firstLine="0"/>
        <w:jc w:val="left"/>
      </w:pPr>
      <w:r>
        <w:t>Kryteria dotyczące projektów zintegrowanych oraz listy/ wykazu projektów (do weryfikacji na podstawie fiszek)</w:t>
      </w:r>
    </w:p>
    <w:tbl>
      <w:tblPr>
        <w:tblStyle w:val="Tabela-Siatka"/>
        <w:tblW w:w="0" w:type="auto"/>
        <w:tblLook w:val="04A0" w:firstRow="1" w:lastRow="0" w:firstColumn="1" w:lastColumn="0" w:noHBand="0" w:noVBand="1"/>
      </w:tblPr>
      <w:tblGrid>
        <w:gridCol w:w="6062"/>
        <w:gridCol w:w="3150"/>
      </w:tblGrid>
      <w:tr w:rsidR="00A05BC0" w:rsidTr="00127A9E">
        <w:tc>
          <w:tcPr>
            <w:tcW w:w="6062" w:type="dxa"/>
            <w:vAlign w:val="center"/>
          </w:tcPr>
          <w:p w:rsidR="00A05BC0" w:rsidRPr="00C6171E" w:rsidRDefault="00A05BC0" w:rsidP="00270C6F">
            <w:pPr>
              <w:ind w:firstLine="0"/>
              <w:jc w:val="center"/>
              <w:rPr>
                <w:b/>
              </w:rPr>
            </w:pPr>
            <w:r w:rsidRPr="00C6171E">
              <w:rPr>
                <w:b/>
              </w:rPr>
              <w:t>Kryteria dostępowe (brzegowe) dla ZIT MOF</w:t>
            </w:r>
          </w:p>
        </w:tc>
        <w:tc>
          <w:tcPr>
            <w:tcW w:w="3150" w:type="dxa"/>
            <w:vAlign w:val="center"/>
          </w:tcPr>
          <w:p w:rsidR="00A05BC0" w:rsidRPr="00C6171E" w:rsidRDefault="00A05BC0" w:rsidP="00270C6F">
            <w:pPr>
              <w:ind w:firstLine="0"/>
              <w:jc w:val="center"/>
              <w:rPr>
                <w:b/>
              </w:rPr>
            </w:pPr>
            <w:r w:rsidRPr="00C6171E">
              <w:rPr>
                <w:b/>
              </w:rPr>
              <w:t>Odniesienie w dokumencie Strategii (nr strony)</w:t>
            </w:r>
          </w:p>
        </w:tc>
      </w:tr>
      <w:tr w:rsidR="00127A9E" w:rsidTr="00127A9E">
        <w:tc>
          <w:tcPr>
            <w:tcW w:w="6062" w:type="dxa"/>
          </w:tcPr>
          <w:p w:rsidR="00127A9E" w:rsidRDefault="00127A9E" w:rsidP="00A13FA7">
            <w:pPr>
              <w:pStyle w:val="Akapitzlist"/>
              <w:numPr>
                <w:ilvl w:val="0"/>
                <w:numId w:val="90"/>
              </w:numPr>
              <w:ind w:left="142" w:hanging="153"/>
            </w:pPr>
            <w:r>
              <w:t xml:space="preserve"> Czy beneficjentami projektów będą podmioty z obszaru współpracy MOF?</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 xml:space="preserve"> Czy projekty posiadają umocowanie w diagnozie obszaru problemowego w strategii i jej celach i czy zostały skonsultowane (uzgodnione) w myśl zasad partnerstwa?</w:t>
            </w:r>
          </w:p>
        </w:tc>
        <w:tc>
          <w:tcPr>
            <w:tcW w:w="3150" w:type="dxa"/>
            <w:vAlign w:val="center"/>
          </w:tcPr>
          <w:p w:rsidR="00127A9E" w:rsidRDefault="00127A9E" w:rsidP="00127A9E">
            <w:pPr>
              <w:ind w:firstLine="0"/>
              <w:jc w:val="center"/>
            </w:pPr>
            <w:r>
              <w:t>Z</w:t>
            </w:r>
            <w:r w:rsidRPr="007234C5">
              <w:t>ałąc</w:t>
            </w:r>
            <w:r>
              <w:t xml:space="preserve">znik „„Zarys planu działań ZIT”, rozdział 2 „Podsumowanie diagnozy HOF” </w:t>
            </w:r>
            <w:proofErr w:type="spellStart"/>
            <w:r>
              <w:t>str</w:t>
            </w:r>
            <w:proofErr w:type="spellEnd"/>
            <w:r>
              <w:t>, 12, podrozdział 3.2 „Cele st</w:t>
            </w:r>
            <w:r w:rsidR="00E833C7">
              <w:t>rategiczne i operacyjne” str. 64</w:t>
            </w:r>
            <w:r>
              <w:t>, rozdział 7 „ Uspołecznienie dokumentu Strategii”.</w:t>
            </w:r>
          </w:p>
        </w:tc>
      </w:tr>
      <w:tr w:rsidR="00127A9E" w:rsidTr="00127A9E">
        <w:tc>
          <w:tcPr>
            <w:tcW w:w="6062" w:type="dxa"/>
          </w:tcPr>
          <w:p w:rsidR="00127A9E" w:rsidRDefault="00127A9E" w:rsidP="00A13FA7">
            <w:pPr>
              <w:pStyle w:val="Akapitzlist"/>
              <w:numPr>
                <w:ilvl w:val="0"/>
                <w:numId w:val="90"/>
              </w:numPr>
              <w:ind w:left="142" w:hanging="153"/>
            </w:pPr>
            <w:r>
              <w:t xml:space="preserve"> Czy planowane terminy przygotowania oraz wdrożenia projektów uwzględniają podstawowe zasady kwalifikowalności wynikające z ram czasowych dla perspektywy finansowej 2021-2027?</w:t>
            </w:r>
          </w:p>
        </w:tc>
        <w:tc>
          <w:tcPr>
            <w:tcW w:w="3150" w:type="dxa"/>
            <w:vAlign w:val="center"/>
          </w:tcPr>
          <w:p w:rsidR="00127A9E" w:rsidRDefault="00127A9E" w:rsidP="00127A9E">
            <w:pPr>
              <w:tabs>
                <w:tab w:val="right" w:pos="3611"/>
              </w:tabs>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 xml:space="preserve"> Czy projekty zakładają realizację wskaźników produktu i rezultatu Programu?</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 xml:space="preserve"> Czy w strategii wskazano projekty, które będą realizowane w partnerstwie (Lider i Partnerzy)?</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 xml:space="preserve"> Czy w strategii wskazano projekty, które mają charakter indywidualnych projektów oddziaływujących na min. 2 gminy z MOF?</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 xml:space="preserve"> Czy na podstawie opisów projektów, możliwe jest określenie, że nie zostały one ujęte w innej strategii terytorialnej (np. strategii IIT partnerstw JST z OSI krajowych, GPR)?</w:t>
            </w:r>
          </w:p>
        </w:tc>
        <w:tc>
          <w:tcPr>
            <w:tcW w:w="3150" w:type="dxa"/>
            <w:vAlign w:val="center"/>
          </w:tcPr>
          <w:p w:rsidR="00127A9E" w:rsidRDefault="00127A9E" w:rsidP="00127A9E">
            <w:pPr>
              <w:ind w:firstLine="0"/>
              <w:jc w:val="center"/>
            </w:pPr>
            <w:r>
              <w:t>Z</w:t>
            </w:r>
            <w:r w:rsidRPr="007234C5">
              <w:t>a</w:t>
            </w:r>
            <w:r>
              <w:t xml:space="preserve">łącznik „Zarys planu </w:t>
            </w:r>
            <w:r w:rsidR="00E833C7">
              <w:t>działań ZIT”, Strategia str. 135</w:t>
            </w:r>
          </w:p>
        </w:tc>
      </w:tr>
      <w:tr w:rsidR="00127A9E" w:rsidTr="00127A9E">
        <w:tc>
          <w:tcPr>
            <w:tcW w:w="6062" w:type="dxa"/>
          </w:tcPr>
          <w:p w:rsidR="00127A9E" w:rsidRDefault="00127A9E" w:rsidP="00A13FA7">
            <w:pPr>
              <w:pStyle w:val="Akapitzlist"/>
              <w:numPr>
                <w:ilvl w:val="0"/>
                <w:numId w:val="90"/>
              </w:numPr>
              <w:ind w:left="142" w:hanging="153"/>
            </w:pPr>
            <w:r>
              <w:t xml:space="preserve"> Czy w sposób wyczerpujący scharakteryzowano komplementarność projektów ujętych w przedłożonej </w:t>
            </w:r>
            <w:r>
              <w:lastRenderedPageBreak/>
              <w:t>strategii?</w:t>
            </w:r>
          </w:p>
        </w:tc>
        <w:tc>
          <w:tcPr>
            <w:tcW w:w="3150" w:type="dxa"/>
            <w:vAlign w:val="center"/>
          </w:tcPr>
          <w:p w:rsidR="00127A9E" w:rsidRDefault="00127A9E" w:rsidP="00127A9E">
            <w:pPr>
              <w:ind w:firstLine="0"/>
              <w:jc w:val="center"/>
            </w:pPr>
            <w:r>
              <w:lastRenderedPageBreak/>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lastRenderedPageBreak/>
              <w:t xml:space="preserve"> Czy opis zintegrowania projektów jest jasny i wyczerpujący? Czy przeprowadzony jest dowód na zintegrowany charakter planowanych w projektach działań? (</w:t>
            </w:r>
            <w:proofErr w:type="gramStart"/>
            <w:r>
              <w:t>dowód</w:t>
            </w:r>
            <w:proofErr w:type="gramEnd"/>
            <w:r>
              <w:t xml:space="preserve"> stanowią informacje wskazujące na oddziaływanie projektów ponad obszar 1 gminy lub wspólne wykorzystanie przedmiotu danego projektu)</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Czy w strategii ujęto projekty tworzące wiązki projektów (wiązkę tworzą projekty powiązane ze sobą i realizowane w więcej niż jednym Celu Szczegółowym oraz min 2 o tożsamym zakresie tematyczny w danym Celu Szczegółowym)?</w:t>
            </w:r>
          </w:p>
        </w:tc>
        <w:tc>
          <w:tcPr>
            <w:tcW w:w="3150" w:type="dxa"/>
            <w:vAlign w:val="center"/>
          </w:tcPr>
          <w:p w:rsidR="00127A9E" w:rsidRDefault="00127A9E" w:rsidP="00127A9E">
            <w:pPr>
              <w:ind w:firstLine="0"/>
              <w:jc w:val="center"/>
            </w:pPr>
            <w:r>
              <w:t>Brak takich projektów</w:t>
            </w:r>
          </w:p>
        </w:tc>
      </w:tr>
      <w:tr w:rsidR="00127A9E" w:rsidTr="00127A9E">
        <w:tc>
          <w:tcPr>
            <w:tcW w:w="6062" w:type="dxa"/>
          </w:tcPr>
          <w:p w:rsidR="00127A9E" w:rsidRDefault="00127A9E" w:rsidP="00A13FA7">
            <w:pPr>
              <w:pStyle w:val="Akapitzlist"/>
              <w:numPr>
                <w:ilvl w:val="0"/>
                <w:numId w:val="90"/>
              </w:numPr>
              <w:ind w:left="142" w:hanging="153"/>
            </w:pPr>
            <w:r>
              <w:t>Czy w strategii wskazano projekty całkowicie zorientowane w wybranym Celu Szczegółowym?</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Czy wszystkie elementy projektów odpowiadają na właściwy typ projektu wskazany w Celu Szczegółowym (lub też we właściwym Działaniu)?</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Czy opisy projektów uwzględniają określone wykluczenia dla interwencji, w tym limity dla wybranych rodzajów działań (np. limity na budowę dróg lokalnych/ parkingów; horyzontalny zakaz budowy nowych budynków itp.)?</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Czy projekty są możliwe do wsparcia finansowego w wyznaczonych progach i podziałach alokacji na ZIT (zgodnie z obowiązującą wersją zatwierdzonej przez ZWL „Propozycji podziału alokacji na 17 ZIT MOF”)?</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Czy projekty mogą zostać objęte wsparciem z udziałem Funduszy Europejskich dla Lubelskiego 2021- 2027?</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r w:rsidR="00127A9E" w:rsidTr="00127A9E">
        <w:tc>
          <w:tcPr>
            <w:tcW w:w="6062" w:type="dxa"/>
          </w:tcPr>
          <w:p w:rsidR="00127A9E" w:rsidRDefault="00127A9E" w:rsidP="00A13FA7">
            <w:pPr>
              <w:pStyle w:val="Akapitzlist"/>
              <w:numPr>
                <w:ilvl w:val="0"/>
                <w:numId w:val="90"/>
              </w:numPr>
              <w:ind w:left="142" w:hanging="153"/>
            </w:pPr>
            <w:r>
              <w:t>Czy listy projektów w zaproponowanym kształcie mogą zostać pozytywnie zaopiniowane przez IZ PR?</w:t>
            </w:r>
          </w:p>
        </w:tc>
        <w:tc>
          <w:tcPr>
            <w:tcW w:w="3150" w:type="dxa"/>
            <w:vAlign w:val="center"/>
          </w:tcPr>
          <w:p w:rsidR="00127A9E" w:rsidRDefault="00127A9E" w:rsidP="00127A9E">
            <w:pPr>
              <w:ind w:firstLine="0"/>
              <w:jc w:val="center"/>
            </w:pPr>
            <w:r>
              <w:t>Z</w:t>
            </w:r>
            <w:r w:rsidRPr="007234C5">
              <w:t>a</w:t>
            </w:r>
            <w:r>
              <w:t xml:space="preserve">łącznik </w:t>
            </w:r>
            <w:r w:rsidRPr="007234C5">
              <w:t>„Zarys planu działań ZIT”.</w:t>
            </w:r>
          </w:p>
        </w:tc>
      </w:tr>
    </w:tbl>
    <w:p w:rsidR="00A05BC0" w:rsidRDefault="00A05BC0" w:rsidP="00030882">
      <w:pPr>
        <w:ind w:firstLine="0"/>
        <w:jc w:val="left"/>
      </w:pPr>
    </w:p>
    <w:sectPr w:rsidR="00A05BC0" w:rsidSect="003E35BE">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0FF4" w:rsidRDefault="00E20FF4" w:rsidP="00E320BC">
      <w:pPr>
        <w:spacing w:after="0" w:line="240" w:lineRule="auto"/>
      </w:pPr>
      <w:r>
        <w:separator/>
      </w:r>
    </w:p>
  </w:endnote>
  <w:endnote w:type="continuationSeparator" w:id="0">
    <w:p w:rsidR="00E20FF4" w:rsidRDefault="00E20FF4" w:rsidP="00E320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ndara">
    <w:panose1 w:val="020E0502030303020204"/>
    <w:charset w:val="EE"/>
    <w:family w:val="swiss"/>
    <w:pitch w:val="variable"/>
    <w:sig w:usb0="A00002EF" w:usb1="4000A44B" w:usb2="00000000" w:usb3="00000000" w:csb0="0000019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Book Antiqua">
    <w:panose1 w:val="02040602050305030304"/>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Open Sans">
    <w:altName w:val="Times New Roman"/>
    <w:charset w:val="EE"/>
    <w:family w:val="swiss"/>
    <w:pitch w:val="variable"/>
    <w:sig w:usb0="E00002EF" w:usb1="4000205B" w:usb2="00000028" w:usb3="00000000" w:csb0="0000019F" w:csb1="00000000"/>
  </w:font>
  <w:font w:name="Calibri Light">
    <w:panose1 w:val="020F0302020204030204"/>
    <w:charset w:val="EE"/>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51457444"/>
      <w:docPartObj>
        <w:docPartGallery w:val="Page Numbers (Bottom of Page)"/>
        <w:docPartUnique/>
      </w:docPartObj>
    </w:sdtPr>
    <w:sdtEndPr/>
    <w:sdtContent>
      <w:p w:rsidR="002441D5" w:rsidRDefault="002441D5">
        <w:pPr>
          <w:pStyle w:val="Stopka"/>
          <w:jc w:val="center"/>
        </w:pPr>
        <w:r>
          <w:fldChar w:fldCharType="begin"/>
        </w:r>
        <w:r>
          <w:instrText>PAGE   \* MERGEFORMAT</w:instrText>
        </w:r>
        <w:r>
          <w:fldChar w:fldCharType="separate"/>
        </w:r>
        <w:r w:rsidR="0022657A">
          <w:rPr>
            <w:noProof/>
          </w:rPr>
          <w:t>156</w:t>
        </w:r>
        <w:r>
          <w:fldChar w:fldCharType="end"/>
        </w:r>
      </w:p>
    </w:sdtContent>
  </w:sdt>
  <w:p w:rsidR="002441D5" w:rsidRDefault="002441D5">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0FF4" w:rsidRDefault="00E20FF4" w:rsidP="00E320BC">
      <w:pPr>
        <w:spacing w:after="0" w:line="240" w:lineRule="auto"/>
      </w:pPr>
      <w:r>
        <w:separator/>
      </w:r>
    </w:p>
  </w:footnote>
  <w:footnote w:type="continuationSeparator" w:id="0">
    <w:p w:rsidR="00E20FF4" w:rsidRDefault="00E20FF4" w:rsidP="00E320BC">
      <w:pPr>
        <w:spacing w:after="0" w:line="240" w:lineRule="auto"/>
      </w:pPr>
      <w:r>
        <w:continuationSeparator/>
      </w:r>
    </w:p>
  </w:footnote>
  <w:footnote w:id="1">
    <w:p w:rsidR="002441D5" w:rsidRPr="00A33ADC" w:rsidRDefault="002441D5" w:rsidP="00E320BC">
      <w:pPr>
        <w:pStyle w:val="Tekstprzypisudolnego"/>
        <w:rPr>
          <w:rFonts w:cs="Calibri"/>
          <w:sz w:val="18"/>
          <w:szCs w:val="18"/>
        </w:rPr>
      </w:pPr>
      <w:r>
        <w:rPr>
          <w:rStyle w:val="Odwoanieprzypisudolnego"/>
        </w:rPr>
        <w:footnoteRef/>
      </w:r>
      <w:r>
        <w:t xml:space="preserve"> </w:t>
      </w:r>
      <w:r w:rsidRPr="00A33ADC">
        <w:rPr>
          <w:rFonts w:cs="Calibri"/>
          <w:sz w:val="18"/>
          <w:szCs w:val="18"/>
        </w:rPr>
        <w:t xml:space="preserve">Ze względu na relatywnie słabo rozwinięte związki funkcjonalne miasta Hrubieszowa z sąsiednimi gminami, a także ograniczone jego oddziaływanie na otoczenie, rekomenduje się wspieranie działań ukierunkowanych na dalsze wzmacnianie i rozwijanie funkcji lokalnych (nie zaś </w:t>
      </w:r>
      <w:proofErr w:type="spellStart"/>
      <w:r w:rsidRPr="00A33ADC">
        <w:rPr>
          <w:rFonts w:cs="Calibri"/>
          <w:sz w:val="18"/>
          <w:szCs w:val="18"/>
        </w:rPr>
        <w:t>subregionalnych</w:t>
      </w:r>
      <w:proofErr w:type="spellEnd"/>
      <w:r w:rsidRPr="00A33ADC">
        <w:rPr>
          <w:rFonts w:cs="Calibri"/>
          <w:sz w:val="18"/>
          <w:szCs w:val="18"/>
        </w:rPr>
        <w:t>) miasta.</w:t>
      </w:r>
    </w:p>
  </w:footnote>
  <w:footnote w:id="2">
    <w:p w:rsidR="002441D5" w:rsidRDefault="002441D5" w:rsidP="00E320BC">
      <w:pPr>
        <w:pStyle w:val="Tekstprzypisudolnego"/>
      </w:pPr>
      <w:r w:rsidRPr="00A33ADC">
        <w:rPr>
          <w:rStyle w:val="Odwoanieprzypisudolnego"/>
          <w:rFonts w:cs="Calibri"/>
          <w:sz w:val="18"/>
          <w:szCs w:val="18"/>
        </w:rPr>
        <w:footnoteRef/>
      </w:r>
      <w:r>
        <w:rPr>
          <w:rFonts w:cs="Calibri"/>
          <w:sz w:val="18"/>
          <w:szCs w:val="18"/>
        </w:rPr>
        <w:t xml:space="preserve"> Koncepcja Przestrzennego Zagospodarowania K</w:t>
      </w:r>
      <w:r w:rsidRPr="00A33ADC">
        <w:rPr>
          <w:rFonts w:cs="Calibri"/>
          <w:sz w:val="18"/>
          <w:szCs w:val="18"/>
        </w:rPr>
        <w:t>raju 2030</w:t>
      </w:r>
    </w:p>
  </w:footnote>
  <w:footnote w:id="3">
    <w:p w:rsidR="002441D5" w:rsidRDefault="002441D5" w:rsidP="00E320BC">
      <w:pPr>
        <w:pStyle w:val="Tekstprzypisudolnego"/>
      </w:pPr>
      <w:r>
        <w:rPr>
          <w:rStyle w:val="Odwoanieprzypisudolnego"/>
        </w:rPr>
        <w:footnoteRef/>
      </w:r>
      <w:r>
        <w:t xml:space="preserve"> </w:t>
      </w:r>
      <w:r w:rsidRPr="00A34A16">
        <w:rPr>
          <w:sz w:val="18"/>
          <w:szCs w:val="18"/>
        </w:rPr>
        <w:t>Liczba osób w wieku produkcyjnym liczona jest dla kobiet w wieku od 18 do 59 lat</w:t>
      </w:r>
      <w:r>
        <w:rPr>
          <w:sz w:val="18"/>
          <w:szCs w:val="18"/>
        </w:rPr>
        <w:t xml:space="preserve"> oraz mężczyzn w wieku od 18 do </w:t>
      </w:r>
      <w:r w:rsidRPr="00A34A16">
        <w:rPr>
          <w:sz w:val="18"/>
          <w:szCs w:val="18"/>
        </w:rPr>
        <w:t>64 lat.</w:t>
      </w:r>
    </w:p>
  </w:footnote>
  <w:footnote w:id="4">
    <w:p w:rsidR="002441D5" w:rsidRPr="001330BD" w:rsidRDefault="002441D5" w:rsidP="00053409">
      <w:pPr>
        <w:pStyle w:val="Tekstprzypisudolnego"/>
        <w:rPr>
          <w:sz w:val="18"/>
          <w:szCs w:val="18"/>
        </w:rPr>
      </w:pPr>
      <w:r w:rsidRPr="001330BD">
        <w:rPr>
          <w:rStyle w:val="Odwoanieprzypisudolnego"/>
          <w:sz w:val="18"/>
          <w:szCs w:val="18"/>
        </w:rPr>
        <w:footnoteRef/>
      </w:r>
      <w:r w:rsidRPr="001330BD">
        <w:rPr>
          <w:sz w:val="18"/>
          <w:szCs w:val="18"/>
        </w:rPr>
        <w:t xml:space="preserve"> W najnowszym rankingu Perspektyw z 2020 roku wśród 59 najlepiej ocenionych techników w województwie lubelskim nie ma żadnego z dwóch funkcjonujących techników w Hrubieszowie.    </w:t>
      </w:r>
    </w:p>
  </w:footnote>
  <w:footnote w:id="5">
    <w:p w:rsidR="002441D5" w:rsidRPr="001330BD" w:rsidRDefault="002441D5" w:rsidP="00053409">
      <w:pPr>
        <w:pStyle w:val="Tekstprzypisudolnego"/>
        <w:rPr>
          <w:sz w:val="18"/>
          <w:szCs w:val="18"/>
        </w:rPr>
      </w:pPr>
      <w:r w:rsidRPr="001330BD">
        <w:rPr>
          <w:rStyle w:val="Odwoanieprzypisudolnego"/>
          <w:sz w:val="18"/>
          <w:szCs w:val="18"/>
        </w:rPr>
        <w:footnoteRef/>
      </w:r>
      <w:r w:rsidRPr="001330BD">
        <w:rPr>
          <w:sz w:val="18"/>
          <w:szCs w:val="18"/>
        </w:rPr>
        <w:t xml:space="preserve"> II Liceum Ogólnokształcące w Hrubieszowie zostało sklasyfikowane na 58 miejscu w województwie lubelskim i na pozycji 1 000+ w kraju. </w:t>
      </w:r>
    </w:p>
  </w:footnote>
  <w:footnote w:id="6">
    <w:p w:rsidR="002441D5" w:rsidRPr="00D235A6" w:rsidRDefault="002441D5" w:rsidP="00E320BC">
      <w:pPr>
        <w:pStyle w:val="Tekstprzypisudolnego"/>
        <w:rPr>
          <w:sz w:val="16"/>
          <w:szCs w:val="16"/>
        </w:rPr>
      </w:pPr>
      <w:r w:rsidRPr="001330BD">
        <w:rPr>
          <w:rStyle w:val="Odwoanieprzypisudolnego"/>
          <w:sz w:val="18"/>
          <w:szCs w:val="18"/>
        </w:rPr>
        <w:footnoteRef/>
      </w:r>
      <w:r w:rsidRPr="001330BD">
        <w:rPr>
          <w:sz w:val="18"/>
          <w:szCs w:val="18"/>
        </w:rPr>
        <w:t xml:space="preserve"> Wyniki badań planów edukacyjnych i zawodowych młodzieży zrealizowane w szkołach ponadpodstawowych miasta Hrubieszowa w okresie 10.02-13.02.2020 </w:t>
      </w:r>
      <w:proofErr w:type="gramStart"/>
      <w:r w:rsidRPr="001330BD">
        <w:rPr>
          <w:sz w:val="18"/>
          <w:szCs w:val="18"/>
        </w:rPr>
        <w:t>w</w:t>
      </w:r>
      <w:proofErr w:type="gramEnd"/>
      <w:r w:rsidRPr="001330BD">
        <w:rPr>
          <w:sz w:val="18"/>
          <w:szCs w:val="18"/>
        </w:rPr>
        <w:t xml:space="preserve"> ramach ogólnopolskich badań koordynowanych przez Związek Miast Polskich.</w:t>
      </w:r>
      <w:r>
        <w:rPr>
          <w:sz w:val="16"/>
          <w:szCs w:val="16"/>
        </w:rPr>
        <w:t xml:space="preserve"> </w:t>
      </w:r>
    </w:p>
  </w:footnote>
  <w:footnote w:id="7">
    <w:p w:rsidR="002441D5" w:rsidRPr="002A3A23" w:rsidRDefault="002441D5" w:rsidP="00E320BC">
      <w:pPr>
        <w:pStyle w:val="Tekstprzypisudolnego"/>
        <w:rPr>
          <w:sz w:val="16"/>
          <w:szCs w:val="16"/>
        </w:rPr>
      </w:pPr>
      <w:r w:rsidRPr="002A3A23">
        <w:rPr>
          <w:rStyle w:val="Odwoanieprzypisudolnego"/>
          <w:sz w:val="16"/>
          <w:szCs w:val="16"/>
        </w:rPr>
        <w:footnoteRef/>
      </w:r>
      <w:r w:rsidRPr="002A3A23">
        <w:rPr>
          <w:sz w:val="16"/>
          <w:szCs w:val="16"/>
        </w:rPr>
        <w:t xml:space="preserve"> </w:t>
      </w:r>
      <w:r w:rsidRPr="001330BD">
        <w:rPr>
          <w:sz w:val="18"/>
          <w:szCs w:val="18"/>
        </w:rPr>
        <w:t>Raport z badań ankietowych uczniów szkół publicznych w Hrubieszowie przeprowadzonych w czerwcu 2019 r.</w:t>
      </w:r>
      <w:r w:rsidRPr="002A3A23">
        <w:rPr>
          <w:sz w:val="16"/>
          <w:szCs w:val="16"/>
        </w:rPr>
        <w:t xml:space="preserve"> </w:t>
      </w:r>
    </w:p>
  </w:footnote>
  <w:footnote w:id="8">
    <w:p w:rsidR="002441D5" w:rsidRDefault="002441D5" w:rsidP="00493CF4">
      <w:r>
        <w:rPr>
          <w:rStyle w:val="Odwoanieprzypisudolnego"/>
        </w:rPr>
        <w:footnoteRef/>
      </w:r>
      <w:r>
        <w:t xml:space="preserve"> </w:t>
      </w:r>
      <w:r w:rsidRPr="00DC3012">
        <w:rPr>
          <w:sz w:val="18"/>
          <w:szCs w:val="18"/>
          <w:lang w:eastAsia="pl-PL"/>
        </w:rPr>
        <w:t>Zespół Śpiewaczy „Jutrzenka” z Czerniczyna,</w:t>
      </w:r>
      <w:r w:rsidRPr="00DC3012">
        <w:rPr>
          <w:sz w:val="18"/>
          <w:szCs w:val="18"/>
        </w:rPr>
        <w:t xml:space="preserve"> </w:t>
      </w:r>
      <w:r w:rsidRPr="00DC3012">
        <w:rPr>
          <w:sz w:val="18"/>
          <w:szCs w:val="18"/>
          <w:lang w:eastAsia="pl-PL"/>
        </w:rPr>
        <w:t>Zespół Śpiewaczy „Czerwone Róże” ze Szpikołos,</w:t>
      </w:r>
      <w:r w:rsidRPr="00DC3012">
        <w:rPr>
          <w:sz w:val="18"/>
          <w:szCs w:val="18"/>
        </w:rPr>
        <w:t xml:space="preserve"> </w:t>
      </w:r>
      <w:r w:rsidRPr="00DC3012">
        <w:rPr>
          <w:sz w:val="18"/>
          <w:szCs w:val="18"/>
          <w:lang w:eastAsia="pl-PL"/>
        </w:rPr>
        <w:t>Zespół Śpiewaczy „Polanie” z Wolicy,</w:t>
      </w:r>
      <w:r w:rsidRPr="00DC3012">
        <w:rPr>
          <w:sz w:val="18"/>
          <w:szCs w:val="18"/>
        </w:rPr>
        <w:t xml:space="preserve"> </w:t>
      </w:r>
      <w:r w:rsidRPr="00DC3012">
        <w:rPr>
          <w:sz w:val="18"/>
          <w:szCs w:val="18"/>
          <w:lang w:eastAsia="pl-PL"/>
        </w:rPr>
        <w:t>Zespół Wokalno-Teatralny „Czerwona Jarzębina” z Moroczyna,</w:t>
      </w:r>
      <w:r w:rsidRPr="00DC3012">
        <w:rPr>
          <w:sz w:val="18"/>
          <w:szCs w:val="18"/>
        </w:rPr>
        <w:t xml:space="preserve"> </w:t>
      </w:r>
      <w:r>
        <w:rPr>
          <w:sz w:val="18"/>
          <w:szCs w:val="18"/>
          <w:lang w:eastAsia="pl-PL"/>
        </w:rPr>
        <w:t>Zespół Śpiewaczy „Pokolenie” z </w:t>
      </w:r>
      <w:r w:rsidRPr="00DC3012">
        <w:rPr>
          <w:sz w:val="18"/>
          <w:szCs w:val="18"/>
          <w:lang w:eastAsia="pl-PL"/>
        </w:rPr>
        <w:t>Kułakowic Pierwszych,</w:t>
      </w:r>
      <w:r w:rsidRPr="00DC3012">
        <w:rPr>
          <w:sz w:val="18"/>
          <w:szCs w:val="18"/>
        </w:rPr>
        <w:t xml:space="preserve"> </w:t>
      </w:r>
      <w:r w:rsidRPr="00DC3012">
        <w:rPr>
          <w:sz w:val="18"/>
          <w:szCs w:val="18"/>
          <w:lang w:eastAsia="pl-PL"/>
        </w:rPr>
        <w:t xml:space="preserve">Zespół Śpiewaczy „Zuzanki” z </w:t>
      </w:r>
      <w:proofErr w:type="spellStart"/>
      <w:r w:rsidRPr="00DC3012">
        <w:rPr>
          <w:sz w:val="18"/>
          <w:szCs w:val="18"/>
          <w:lang w:eastAsia="pl-PL"/>
        </w:rPr>
        <w:t>Moniatycz</w:t>
      </w:r>
      <w:proofErr w:type="spellEnd"/>
      <w:r w:rsidRPr="00DC3012">
        <w:rPr>
          <w:sz w:val="18"/>
          <w:szCs w:val="18"/>
          <w:lang w:eastAsia="pl-PL"/>
        </w:rPr>
        <w:t>,</w:t>
      </w:r>
      <w:r w:rsidRPr="00DC3012">
        <w:rPr>
          <w:sz w:val="18"/>
          <w:szCs w:val="18"/>
        </w:rPr>
        <w:t xml:space="preserve"> </w:t>
      </w:r>
      <w:r w:rsidRPr="00DC3012">
        <w:rPr>
          <w:sz w:val="18"/>
          <w:szCs w:val="18"/>
          <w:lang w:eastAsia="pl-PL"/>
        </w:rPr>
        <w:t>Zespół Taneczny "Wesoła Ferajna" z Husynnego,</w:t>
      </w:r>
      <w:r w:rsidRPr="00DC3012">
        <w:rPr>
          <w:sz w:val="18"/>
          <w:szCs w:val="18"/>
        </w:rPr>
        <w:t xml:space="preserve"> </w:t>
      </w:r>
      <w:r w:rsidRPr="00DC3012">
        <w:rPr>
          <w:sz w:val="18"/>
          <w:szCs w:val="18"/>
          <w:lang w:eastAsia="pl-PL"/>
        </w:rPr>
        <w:t>Zespół „To i Owo na Ludowo” z Gródka,</w:t>
      </w:r>
      <w:r w:rsidRPr="00DC3012">
        <w:rPr>
          <w:sz w:val="18"/>
          <w:szCs w:val="18"/>
        </w:rPr>
        <w:t xml:space="preserve"> </w:t>
      </w:r>
      <w:r w:rsidRPr="00DC3012">
        <w:rPr>
          <w:sz w:val="18"/>
          <w:szCs w:val="18"/>
          <w:lang w:eastAsia="pl-PL"/>
        </w:rPr>
        <w:t xml:space="preserve">Zespół "Na Jeden Raz" z </w:t>
      </w:r>
      <w:proofErr w:type="spellStart"/>
      <w:r w:rsidRPr="00DC3012">
        <w:rPr>
          <w:sz w:val="18"/>
          <w:szCs w:val="18"/>
          <w:lang w:eastAsia="pl-PL"/>
        </w:rPr>
        <w:t>Mienian</w:t>
      </w:r>
      <w:proofErr w:type="spellEnd"/>
      <w:r w:rsidRPr="00DC3012">
        <w:rPr>
          <w:sz w:val="18"/>
          <w:szCs w:val="18"/>
          <w:lang w:eastAsia="pl-PL"/>
        </w:rPr>
        <w:t>,</w:t>
      </w:r>
      <w:r w:rsidRPr="00DC3012">
        <w:rPr>
          <w:sz w:val="18"/>
          <w:szCs w:val="18"/>
        </w:rPr>
        <w:t xml:space="preserve"> </w:t>
      </w:r>
      <w:r w:rsidRPr="00DC3012">
        <w:rPr>
          <w:sz w:val="18"/>
          <w:szCs w:val="18"/>
          <w:lang w:eastAsia="pl-PL"/>
        </w:rPr>
        <w:t>Klub Seniora "Srebrne Świerki" z Kułakowic Trzecich,</w:t>
      </w:r>
      <w:r w:rsidRPr="00DC3012">
        <w:rPr>
          <w:sz w:val="18"/>
          <w:szCs w:val="18"/>
        </w:rPr>
        <w:t xml:space="preserve"> </w:t>
      </w:r>
      <w:r w:rsidRPr="00DC3012">
        <w:rPr>
          <w:sz w:val="18"/>
          <w:szCs w:val="18"/>
          <w:lang w:eastAsia="pl-PL"/>
        </w:rPr>
        <w:t>Klub Seniora "Biedronki" ze Ślipcza,</w:t>
      </w:r>
      <w:r w:rsidRPr="00DC3012">
        <w:rPr>
          <w:sz w:val="18"/>
          <w:szCs w:val="18"/>
        </w:rPr>
        <w:t xml:space="preserve"> </w:t>
      </w:r>
      <w:r w:rsidRPr="00DC3012">
        <w:rPr>
          <w:sz w:val="18"/>
          <w:szCs w:val="18"/>
          <w:lang w:eastAsia="pl-PL"/>
        </w:rPr>
        <w:t xml:space="preserve">Grupa Kabaretowa z </w:t>
      </w:r>
      <w:proofErr w:type="spellStart"/>
      <w:r w:rsidRPr="00DC3012">
        <w:rPr>
          <w:sz w:val="18"/>
          <w:szCs w:val="18"/>
          <w:lang w:eastAsia="pl-PL"/>
        </w:rPr>
        <w:t>Moniatycz</w:t>
      </w:r>
      <w:proofErr w:type="spellEnd"/>
      <w:r w:rsidRPr="00DC3012">
        <w:rPr>
          <w:sz w:val="18"/>
          <w:szCs w:val="18"/>
          <w:lang w:eastAsia="pl-PL"/>
        </w:rPr>
        <w:t>,</w:t>
      </w:r>
      <w:r w:rsidRPr="00DC3012">
        <w:rPr>
          <w:sz w:val="18"/>
          <w:szCs w:val="18"/>
        </w:rPr>
        <w:t xml:space="preserve"> </w:t>
      </w:r>
      <w:r w:rsidRPr="00DC3012">
        <w:rPr>
          <w:sz w:val="18"/>
          <w:szCs w:val="18"/>
          <w:lang w:eastAsia="pl-PL"/>
        </w:rPr>
        <w:t>Grupa Kabaretowa ze Stefankowic.</w:t>
      </w:r>
    </w:p>
  </w:footnote>
  <w:footnote w:id="9">
    <w:p w:rsidR="002441D5" w:rsidRDefault="002441D5">
      <w:pPr>
        <w:pStyle w:val="Tekstprzypisudolnego"/>
      </w:pPr>
      <w:r>
        <w:rPr>
          <w:rStyle w:val="Odwoanieprzypisudolnego"/>
        </w:rPr>
        <w:footnoteRef/>
      </w:r>
      <w:r>
        <w:t xml:space="preserve"> </w:t>
      </w:r>
      <w:r w:rsidRPr="00042991">
        <w:rPr>
          <w:sz w:val="18"/>
        </w:rPr>
        <w:t>Szczegółowy opis infrastruktury sportowej znajduje się w załączniku nr 1 w podrozdziale „Aktywność obywatelska”.</w:t>
      </w:r>
    </w:p>
  </w:footnote>
  <w:footnote w:id="10">
    <w:p w:rsidR="002441D5" w:rsidRDefault="002441D5">
      <w:pPr>
        <w:pStyle w:val="Tekstprzypisudolnego"/>
      </w:pPr>
      <w:r w:rsidRPr="00770E2B">
        <w:rPr>
          <w:rStyle w:val="Odwoanieprzypisudolnego"/>
        </w:rPr>
        <w:footnoteRef/>
      </w:r>
      <w:r w:rsidRPr="00770E2B">
        <w:t xml:space="preserve"> </w:t>
      </w:r>
      <w:r w:rsidRPr="00770E2B">
        <w:rPr>
          <w:rFonts w:cstheme="minorHAnsi"/>
          <w:color w:val="333333"/>
          <w:sz w:val="18"/>
          <w:szCs w:val="18"/>
          <w:shd w:val="clear" w:color="auto" w:fill="FFFFFF"/>
        </w:rPr>
        <w:t>Cel ten zostanie osiągnięty poprzez wsparcie przedsięwzięcia rewitalizacyjnego obejmującego m. in. zadanie w zakresie głębokiej przebudowy i adaptacji zdegradowanego obiektu  i obszaru, ukierunkowane w szczególności na </w:t>
      </w:r>
      <w:proofErr w:type="gramStart"/>
      <w:r w:rsidRPr="00770E2B">
        <w:rPr>
          <w:rFonts w:cstheme="minorHAnsi"/>
          <w:color w:val="333333"/>
          <w:sz w:val="18"/>
          <w:szCs w:val="18"/>
          <w:shd w:val="clear" w:color="auto" w:fill="FFFFFF"/>
        </w:rPr>
        <w:t>poprawę jakości</w:t>
      </w:r>
      <w:proofErr w:type="gramEnd"/>
      <w:r w:rsidRPr="00770E2B">
        <w:rPr>
          <w:rFonts w:cstheme="minorHAnsi"/>
          <w:color w:val="333333"/>
          <w:sz w:val="18"/>
          <w:szCs w:val="18"/>
          <w:shd w:val="clear" w:color="auto" w:fill="FFFFFF"/>
        </w:rPr>
        <w:t xml:space="preserve"> korzystania z przestrzeni, likwidację izolacji obszarów problemowych oraz poprawę jakości życia mieszkańców obszarów zdegradowanych. Inwestycje infrastrukturalne w zakresie rewitalizacji ukierunkowane na rozwiązywanie zdiagnozowanych problemów społecznych wzmocnią wysiłki na rzecz ograniczania koncentracji ubóstwa oraz wykluczenia społecznego mieszkańców Hrubieszowa. Projekt polega na aktywizacji i integracji społecznej różnych grup mieszkańców, w tym seniorów, młodzieży, rodzin, a także rozwijaniu idei wolontariatu, przeciwdziałanie wykluczeniu społecznemu poprzez wspieranie różnych form aktywności, wspieranie organizacji społecznych i współpracy między</w:t>
      </w:r>
      <w:r w:rsidRPr="00770E2B">
        <w:rPr>
          <w:rFonts w:cstheme="minorHAnsi"/>
          <w:color w:val="333333"/>
          <w:sz w:val="18"/>
          <w:szCs w:val="18"/>
        </w:rPr>
        <w:br/>
      </w:r>
      <w:r w:rsidRPr="00770E2B">
        <w:rPr>
          <w:rFonts w:cstheme="minorHAnsi"/>
          <w:color w:val="333333"/>
          <w:sz w:val="18"/>
          <w:szCs w:val="18"/>
          <w:shd w:val="clear" w:color="auto" w:fill="FFFFFF"/>
        </w:rPr>
        <w:t>nimi a instytucjami publicznymi.</w:t>
      </w:r>
    </w:p>
  </w:footnote>
  <w:footnote w:id="11">
    <w:p w:rsidR="002441D5" w:rsidRDefault="002441D5">
      <w:pPr>
        <w:pStyle w:val="Tekstprzypisudolnego"/>
      </w:pPr>
      <w:r>
        <w:rPr>
          <w:rStyle w:val="Odwoanieprzypisudolnego"/>
        </w:rPr>
        <w:footnoteRef/>
      </w:r>
      <w:r>
        <w:t xml:space="preserve"> </w:t>
      </w:r>
      <w:r w:rsidRPr="00314BF6">
        <w:rPr>
          <w:rFonts w:cstheme="minorHAnsi"/>
          <w:color w:val="333333"/>
          <w:sz w:val="18"/>
          <w:szCs w:val="18"/>
          <w:shd w:val="clear" w:color="auto" w:fill="FFFFFF"/>
        </w:rPr>
        <w:t xml:space="preserve">Urząd Miasta w Hrubieszowie również dostrzega jak ważną rolę odgrywa biznes rodzinny w życiu gospodarczym Miasta. Główną ideą akcji </w:t>
      </w:r>
      <w:r w:rsidRPr="00314BF6">
        <w:rPr>
          <w:rFonts w:cstheme="minorHAnsi"/>
          <w:b/>
          <w:color w:val="333333"/>
          <w:sz w:val="18"/>
          <w:szCs w:val="18"/>
          <w:shd w:val="clear" w:color="auto" w:fill="FFFFFF"/>
        </w:rPr>
        <w:t>„</w:t>
      </w:r>
      <w:r w:rsidRPr="00314BF6">
        <w:rPr>
          <w:rStyle w:val="Pogrubienie"/>
          <w:rFonts w:cstheme="minorHAnsi"/>
          <w:b w:val="0"/>
          <w:color w:val="333333"/>
          <w:sz w:val="18"/>
          <w:szCs w:val="18"/>
          <w:shd w:val="clear" w:color="auto" w:fill="FFFFFF"/>
        </w:rPr>
        <w:t>Szczycę się – prowadzę biznes rodzinny</w:t>
      </w:r>
      <w:r w:rsidRPr="00314BF6">
        <w:rPr>
          <w:rFonts w:cstheme="minorHAnsi"/>
          <w:b/>
          <w:color w:val="333333"/>
          <w:sz w:val="18"/>
          <w:szCs w:val="18"/>
          <w:shd w:val="clear" w:color="auto" w:fill="FFFFFF"/>
        </w:rPr>
        <w:t xml:space="preserve">” </w:t>
      </w:r>
      <w:r w:rsidRPr="00314BF6">
        <w:rPr>
          <w:rFonts w:cstheme="minorHAnsi"/>
          <w:color w:val="333333"/>
          <w:sz w:val="18"/>
          <w:szCs w:val="18"/>
          <w:shd w:val="clear" w:color="auto" w:fill="FFFFFF"/>
        </w:rPr>
        <w:t>jest promocja przedsiębiorstw, które łączą cele biznesowe i społeczne w strategie zrównoważonego i długoterminowego rozwoju w oparciu o wartości rodzinne.</w:t>
      </w:r>
      <w:r w:rsidRPr="00314BF6">
        <w:rPr>
          <w:rFonts w:ascii="Arial" w:hAnsi="Arial" w:cs="Arial"/>
          <w:color w:val="333333"/>
          <w:sz w:val="22"/>
          <w:szCs w:val="21"/>
          <w:shd w:val="clear" w:color="auto" w:fill="FFFFFF"/>
        </w:rPr>
        <w:t> </w:t>
      </w:r>
    </w:p>
  </w:footnote>
  <w:footnote w:id="12">
    <w:p w:rsidR="002441D5" w:rsidRPr="00D31F81" w:rsidRDefault="002441D5" w:rsidP="00E320BC">
      <w:pPr>
        <w:pStyle w:val="Tekstprzypisudolnego"/>
        <w:rPr>
          <w:sz w:val="18"/>
          <w:szCs w:val="18"/>
        </w:rPr>
      </w:pPr>
      <w:r w:rsidRPr="00D31F81">
        <w:rPr>
          <w:rStyle w:val="Odwoanieprzypisudolnego"/>
          <w:sz w:val="18"/>
          <w:szCs w:val="18"/>
        </w:rPr>
        <w:footnoteRef/>
      </w:r>
      <w:r w:rsidRPr="00D31F81">
        <w:rPr>
          <w:sz w:val="18"/>
          <w:szCs w:val="18"/>
        </w:rPr>
        <w:t xml:space="preserve"> Osoby pozostające bez </w:t>
      </w:r>
      <w:r>
        <w:rPr>
          <w:sz w:val="18"/>
          <w:szCs w:val="18"/>
        </w:rPr>
        <w:t>zatrudnienia powyżej 24 miesięcy</w:t>
      </w:r>
    </w:p>
  </w:footnote>
  <w:footnote w:id="13">
    <w:p w:rsidR="002441D5" w:rsidRDefault="002441D5" w:rsidP="00920A69">
      <w:pPr>
        <w:pStyle w:val="Tekstprzypisudolnego"/>
      </w:pPr>
      <w:r>
        <w:rPr>
          <w:rStyle w:val="Odwoanieprzypisudolnego"/>
        </w:rPr>
        <w:footnoteRef/>
      </w:r>
      <w:r>
        <w:t xml:space="preserve"> </w:t>
      </w:r>
      <w:r w:rsidRPr="00EF2A58">
        <w:rPr>
          <w:sz w:val="18"/>
          <w:szCs w:val="18"/>
        </w:rPr>
        <w:t>Dane Urzędu Miasta Hrubieszów.</w:t>
      </w:r>
    </w:p>
  </w:footnote>
  <w:footnote w:id="14">
    <w:p w:rsidR="002441D5" w:rsidRDefault="002441D5">
      <w:pPr>
        <w:pStyle w:val="Tekstprzypisudolnego"/>
      </w:pPr>
      <w:r>
        <w:rPr>
          <w:rStyle w:val="Odwoanieprzypisudolnego"/>
        </w:rPr>
        <w:footnoteRef/>
      </w:r>
      <w:r>
        <w:t xml:space="preserve"> </w:t>
      </w:r>
      <w:proofErr w:type="spellStart"/>
      <w:r>
        <w:t>Hjalager</w:t>
      </w:r>
      <w:proofErr w:type="spellEnd"/>
      <w:r>
        <w:t xml:space="preserve">, A.M, 1997, </w:t>
      </w:r>
      <w:proofErr w:type="spellStart"/>
      <w:r>
        <w:t>Innovation</w:t>
      </w:r>
      <w:proofErr w:type="spellEnd"/>
      <w:r>
        <w:t xml:space="preserve"> </w:t>
      </w:r>
      <w:proofErr w:type="spellStart"/>
      <w:r>
        <w:t>Patterns</w:t>
      </w:r>
      <w:proofErr w:type="spellEnd"/>
      <w:r>
        <w:t xml:space="preserve"> in </w:t>
      </w:r>
      <w:proofErr w:type="spellStart"/>
      <w:r>
        <w:t>Sustainable</w:t>
      </w:r>
      <w:proofErr w:type="spellEnd"/>
      <w:r>
        <w:t xml:space="preserve"> </w:t>
      </w:r>
      <w:proofErr w:type="spellStart"/>
      <w:r>
        <w:t>Tourism</w:t>
      </w:r>
      <w:proofErr w:type="spellEnd"/>
      <w:r>
        <w:t xml:space="preserve">. </w:t>
      </w:r>
      <w:proofErr w:type="spellStart"/>
      <w:r>
        <w:t>An</w:t>
      </w:r>
      <w:proofErr w:type="spellEnd"/>
      <w:r>
        <w:t xml:space="preserve"> </w:t>
      </w:r>
      <w:proofErr w:type="spellStart"/>
      <w:r>
        <w:t>Analytical</w:t>
      </w:r>
      <w:proofErr w:type="spellEnd"/>
      <w:r>
        <w:t xml:space="preserve"> </w:t>
      </w:r>
      <w:proofErr w:type="spellStart"/>
      <w:r>
        <w:t>Typology</w:t>
      </w:r>
      <w:proofErr w:type="spellEnd"/>
      <w:r>
        <w:t xml:space="preserve">, </w:t>
      </w:r>
      <w:proofErr w:type="spellStart"/>
      <w:r>
        <w:t>Tourism</w:t>
      </w:r>
      <w:proofErr w:type="spellEnd"/>
      <w:r>
        <w:t xml:space="preserve"> Management, vol. 18, no. 1, </w:t>
      </w:r>
      <w:proofErr w:type="gramStart"/>
      <w:r>
        <w:t>s</w:t>
      </w:r>
      <w:proofErr w:type="gramEnd"/>
      <w:r>
        <w:t>. 15–41.</w:t>
      </w:r>
    </w:p>
  </w:footnote>
  <w:footnote w:id="15">
    <w:p w:rsidR="002441D5" w:rsidRDefault="002441D5">
      <w:pPr>
        <w:pStyle w:val="Tekstprzypisudolnego"/>
      </w:pPr>
      <w:r>
        <w:rPr>
          <w:rStyle w:val="Odwoanieprzypisudolnego"/>
        </w:rPr>
        <w:footnoteRef/>
      </w:r>
      <w:r>
        <w:t xml:space="preserve"> </w:t>
      </w:r>
      <w:r w:rsidRPr="00F77499">
        <w:rPr>
          <w:sz w:val="18"/>
          <w:szCs w:val="18"/>
        </w:rPr>
        <w:t>Dokładny wykaz działań znajduje się w podrozdziale „Obszary strategicznej interwencji strategii rozwoju województwa w Załączniku 1: „Diagnoza Sytuacji społecznej, gospodarczej i przestrzennej Hrubieszowskiego Obszaru Funkcjonalnego.</w:t>
      </w:r>
    </w:p>
  </w:footnote>
  <w:footnote w:id="16">
    <w:p w:rsidR="002441D5" w:rsidRPr="00034B9A" w:rsidRDefault="002441D5" w:rsidP="00E320BC">
      <w:pPr>
        <w:pStyle w:val="Tekstprzypisudolnego"/>
        <w:rPr>
          <w:sz w:val="18"/>
          <w:szCs w:val="18"/>
        </w:rPr>
      </w:pPr>
      <w:r>
        <w:rPr>
          <w:rStyle w:val="Odwoanieprzypisudolnego"/>
        </w:rPr>
        <w:footnoteRef/>
      </w:r>
      <w:r>
        <w:t xml:space="preserve"> </w:t>
      </w:r>
      <w:r w:rsidRPr="00034B9A">
        <w:rPr>
          <w:sz w:val="18"/>
          <w:szCs w:val="18"/>
        </w:rPr>
        <w:t>Stosunek liczby budynków znajdujących się w zasięgu sieci o określonych parametrach do liczby wszystkich budynków na analizowanym obszarze.</w:t>
      </w:r>
    </w:p>
  </w:footnote>
  <w:footnote w:id="17">
    <w:p w:rsidR="002441D5" w:rsidRDefault="002441D5" w:rsidP="00E320BC">
      <w:pPr>
        <w:pStyle w:val="Tekstprzypisudolnego"/>
      </w:pPr>
      <w:r>
        <w:rPr>
          <w:rStyle w:val="Odwoanieprzypisudolnego"/>
        </w:rPr>
        <w:footnoteRef/>
      </w:r>
      <w:r>
        <w:t xml:space="preserve"> </w:t>
      </w:r>
      <w:r w:rsidRPr="0051784D">
        <w:rPr>
          <w:sz w:val="18"/>
          <w:szCs w:val="18"/>
        </w:rPr>
        <w:t>Raport o stanie rynku telekomunikacyjnego w Polsce w 2019 roku.</w:t>
      </w:r>
    </w:p>
  </w:footnote>
  <w:footnote w:id="18">
    <w:p w:rsidR="002441D5" w:rsidRDefault="002441D5" w:rsidP="00E320BC">
      <w:pPr>
        <w:pStyle w:val="Tekstprzypisudolnego"/>
      </w:pPr>
      <w:r>
        <w:rPr>
          <w:rStyle w:val="Odwoanieprzypisudolnego"/>
        </w:rPr>
        <w:footnoteRef/>
      </w:r>
      <w:r>
        <w:t xml:space="preserve"> </w:t>
      </w:r>
      <w:r w:rsidRPr="00FE49F9">
        <w:rPr>
          <w:sz w:val="18"/>
          <w:szCs w:val="18"/>
        </w:rPr>
        <w:t>Plan Gospodarki Niskoemisyjnej dla Gminy Hrubieszów</w:t>
      </w:r>
    </w:p>
  </w:footnote>
  <w:footnote w:id="19">
    <w:p w:rsidR="002441D5" w:rsidRDefault="002441D5" w:rsidP="00E320BC">
      <w:pPr>
        <w:pStyle w:val="Tekstprzypisudolnego"/>
      </w:pPr>
    </w:p>
  </w:footnote>
  <w:footnote w:id="20">
    <w:p w:rsidR="002441D5" w:rsidRDefault="002441D5" w:rsidP="00E320BC">
      <w:pPr>
        <w:pStyle w:val="Tekstprzypisudolnego"/>
      </w:pPr>
      <w:r>
        <w:rPr>
          <w:rStyle w:val="Odwoanieprzypisudolnego"/>
        </w:rPr>
        <w:footnoteRef/>
      </w:r>
      <w:r>
        <w:t xml:space="preserve"> </w:t>
      </w:r>
      <w:r w:rsidRPr="00060240">
        <w:rPr>
          <w:sz w:val="18"/>
          <w:szCs w:val="18"/>
        </w:rPr>
        <w:t xml:space="preserve">Dane GUS, Podgrupa Powierzchnia geodezyjna kraju według kierunków wykorzystania, Powierzchnia geodezyjna kraju według kierunków wykorzystania, stan w dniu 1 stycznia; dane Głównego Urzędu </w:t>
      </w:r>
      <w:r>
        <w:rPr>
          <w:sz w:val="18"/>
          <w:szCs w:val="18"/>
        </w:rPr>
        <w:t>Geodezji i Kartografii. Dane do </w:t>
      </w:r>
      <w:r w:rsidRPr="00060240">
        <w:rPr>
          <w:sz w:val="18"/>
          <w:szCs w:val="18"/>
        </w:rPr>
        <w:t>poziomu gmin dostępne są tylko dla lat 2012-2014.</w:t>
      </w:r>
    </w:p>
  </w:footnote>
  <w:footnote w:id="21">
    <w:p w:rsidR="002441D5" w:rsidRDefault="002441D5" w:rsidP="00E320BC">
      <w:pPr>
        <w:pStyle w:val="Tekstprzypisudolnego"/>
      </w:pPr>
      <w:r>
        <w:rPr>
          <w:rStyle w:val="Odwoanieprzypisudolnego"/>
        </w:rPr>
        <w:footnoteRef/>
      </w:r>
      <w:r>
        <w:t xml:space="preserve"> </w:t>
      </w:r>
      <w:r w:rsidRPr="001514BF">
        <w:rPr>
          <w:sz w:val="18"/>
          <w:szCs w:val="18"/>
        </w:rPr>
        <w:t>Konieczne jest prowadzenie działań restrukturyzacji i rozwoju rolnictwa do poziomu utworzenia krajowego zagłębia produkcji żywności i biznesu rolnego.</w:t>
      </w:r>
    </w:p>
  </w:footnote>
  <w:footnote w:id="22">
    <w:p w:rsidR="002441D5" w:rsidRPr="008F3F15" w:rsidRDefault="002441D5" w:rsidP="00027AD4">
      <w:pPr>
        <w:pStyle w:val="Tekstprzypisudolnego"/>
        <w:rPr>
          <w:sz w:val="18"/>
          <w:szCs w:val="18"/>
        </w:rPr>
      </w:pPr>
      <w:r w:rsidRPr="008F3F15">
        <w:rPr>
          <w:rStyle w:val="Odwoanieprzypisudolnego"/>
          <w:sz w:val="18"/>
          <w:szCs w:val="18"/>
        </w:rPr>
        <w:footnoteRef/>
      </w:r>
      <w:r w:rsidRPr="008F3F15">
        <w:rPr>
          <w:sz w:val="18"/>
          <w:szCs w:val="18"/>
        </w:rPr>
        <w:t xml:space="preserve"> Ankieta oceny stanu i potencjału Hrubieszowskiego Obszaru Funkcjonalnego prz</w:t>
      </w:r>
      <w:r>
        <w:rPr>
          <w:sz w:val="18"/>
          <w:szCs w:val="18"/>
        </w:rPr>
        <w:t>eprowadzona wśród mieszkańców w </w:t>
      </w:r>
      <w:r w:rsidRPr="008F3F15">
        <w:rPr>
          <w:sz w:val="18"/>
          <w:szCs w:val="18"/>
        </w:rPr>
        <w:t>2021 roku.</w:t>
      </w:r>
    </w:p>
  </w:footnote>
  <w:footnote w:id="23">
    <w:p w:rsidR="002441D5" w:rsidRDefault="002441D5" w:rsidP="002B5DC5">
      <w:pPr>
        <w:pStyle w:val="Tekstprzypisudolnego"/>
      </w:pPr>
      <w:r>
        <w:rPr>
          <w:rStyle w:val="Odwoanieprzypisudolnego"/>
        </w:rPr>
        <w:footnoteRef/>
      </w:r>
      <w:r>
        <w:t xml:space="preserve"> </w:t>
      </w:r>
      <w:r w:rsidRPr="00E0334E">
        <w:rPr>
          <w:sz w:val="18"/>
          <w:szCs w:val="18"/>
        </w:rPr>
        <w:t>Polski Instytut Ekonomiczny, raport „Scenariusze rozwoju małych miast”, 2019 rok.</w:t>
      </w:r>
    </w:p>
  </w:footnote>
  <w:footnote w:id="24">
    <w:p w:rsidR="002441D5" w:rsidRPr="00F7210B" w:rsidRDefault="002441D5" w:rsidP="009C67E7">
      <w:pPr>
        <w:pStyle w:val="Tekstprzypisudolnego"/>
        <w:rPr>
          <w:rFonts w:cs="Calibri Light"/>
          <w:sz w:val="16"/>
          <w:szCs w:val="16"/>
        </w:rPr>
      </w:pPr>
      <w:r w:rsidRPr="00F7210B">
        <w:rPr>
          <w:rStyle w:val="Znakiprzypiswdolnych"/>
          <w:rFonts w:cs="Calibri Light"/>
          <w:sz w:val="16"/>
          <w:szCs w:val="16"/>
          <w:vertAlign w:val="superscript"/>
        </w:rPr>
        <w:footnoteRef/>
      </w:r>
      <w:r w:rsidRPr="00F7210B">
        <w:rPr>
          <w:rStyle w:val="Znakiprzypiswdolnych"/>
          <w:rFonts w:cs="Calibri Light"/>
          <w:sz w:val="16"/>
          <w:szCs w:val="16"/>
        </w:rPr>
        <w:t xml:space="preserve"> </w:t>
      </w:r>
      <w:r w:rsidRPr="00F7210B">
        <w:rPr>
          <w:rFonts w:cs="Calibri Light"/>
          <w:sz w:val="16"/>
          <w:szCs w:val="16"/>
        </w:rPr>
        <w:t xml:space="preserve">W najnowszym rankingu Perspektyw z 2020 roku wśród 59 najlepiej ocenionych techników w województwie lubelskim nie ma żadnego z dwóch funkcjonujących techników w Hrubieszowie.    </w:t>
      </w:r>
    </w:p>
  </w:footnote>
  <w:footnote w:id="25">
    <w:p w:rsidR="002441D5" w:rsidRDefault="002441D5">
      <w:pPr>
        <w:pStyle w:val="Tekstprzypisudolnego"/>
      </w:pPr>
      <w:r>
        <w:rPr>
          <w:rStyle w:val="Odwoanieprzypisudolnego"/>
        </w:rPr>
        <w:footnoteRef/>
      </w:r>
      <w:r>
        <w:t xml:space="preserve"> </w:t>
      </w:r>
      <w:r w:rsidRPr="00034B9A">
        <w:rPr>
          <w:sz w:val="18"/>
          <w:szCs w:val="18"/>
        </w:rPr>
        <w:t>Stosunek liczby budynków znajdujących się w zasięgu sieci o określonych parametrach do liczby wszystkich budynków na analizowanym obszarze.</w:t>
      </w:r>
    </w:p>
  </w:footnote>
  <w:footnote w:id="26">
    <w:p w:rsidR="002441D5" w:rsidRDefault="002441D5">
      <w:pPr>
        <w:pStyle w:val="Tekstprzypisudolnego"/>
      </w:pPr>
      <w:r>
        <w:rPr>
          <w:rStyle w:val="Odwoanieprzypisudolnego"/>
        </w:rPr>
        <w:footnoteRef/>
      </w:r>
      <w:r>
        <w:t xml:space="preserve"> </w:t>
      </w:r>
      <w:r w:rsidRPr="0051784D">
        <w:rPr>
          <w:sz w:val="18"/>
          <w:szCs w:val="18"/>
        </w:rPr>
        <w:t>Raport o stanie rynku telekomunikacyjnego w Polsce w 2019 roku</w:t>
      </w:r>
      <w:r>
        <w:rPr>
          <w:sz w:val="18"/>
          <w:szCs w:val="18"/>
        </w:rPr>
        <w:t>.</w:t>
      </w:r>
    </w:p>
  </w:footnote>
  <w:footnote w:id="27">
    <w:p w:rsidR="002441D5" w:rsidRDefault="002441D5">
      <w:pPr>
        <w:pStyle w:val="Tekstprzypisudolnego"/>
      </w:pPr>
      <w:r>
        <w:rPr>
          <w:rStyle w:val="Odwoanieprzypisudolnego"/>
        </w:rPr>
        <w:footnoteRef/>
      </w:r>
      <w:r>
        <w:t xml:space="preserve"> </w:t>
      </w:r>
      <w:r w:rsidRPr="00694CE1">
        <w:rPr>
          <w:sz w:val="16"/>
          <w:szCs w:val="16"/>
        </w:rPr>
        <w:t>Jest to zgodne z klasyfikacją funkcjonalną gmin Polsk</w:t>
      </w:r>
      <w:r>
        <w:rPr>
          <w:sz w:val="16"/>
          <w:szCs w:val="16"/>
        </w:rPr>
        <w:t xml:space="preserve">i przyjętą na </w:t>
      </w:r>
      <w:r w:rsidRPr="00F527B4">
        <w:rPr>
          <w:sz w:val="16"/>
          <w:szCs w:val="16"/>
        </w:rPr>
        <w:t>potrzeby monitoringu planowania przestrzennego, Przemysław Śleszyński, Tomasz Komornicki, PAN, Instytut Geografii i Przestrzennego Zagospodarowania im. Stanisława Leszczyckiego, Polska Akademia Nauk, Warszawa, 2016 r.</w:t>
      </w:r>
    </w:p>
  </w:footnote>
  <w:footnote w:id="28">
    <w:p w:rsidR="00770852" w:rsidRDefault="00770852" w:rsidP="00770852">
      <w:pPr>
        <w:pStyle w:val="Tekstprzypisudolnego"/>
      </w:pPr>
      <w:r>
        <w:rPr>
          <w:rStyle w:val="Odwoanieprzypisudolnego"/>
        </w:rPr>
        <w:footnoteRef/>
      </w:r>
      <w:r>
        <w:t xml:space="preserve"> Plan zarządzania ryzykiem powodziowym dla obszaru dorzecza Wisły</w:t>
      </w:r>
    </w:p>
  </w:footnote>
  <w:footnote w:id="29">
    <w:p w:rsidR="002441D5" w:rsidRDefault="002441D5">
      <w:pPr>
        <w:pStyle w:val="Tekstprzypisudolnego"/>
      </w:pPr>
      <w:r>
        <w:rPr>
          <w:rStyle w:val="Odwoanieprzypisudolnego"/>
        </w:rPr>
        <w:footnoteRef/>
      </w:r>
      <w:r>
        <w:t xml:space="preserve"> </w:t>
      </w:r>
      <w:r w:rsidRPr="00042991">
        <w:rPr>
          <w:sz w:val="18"/>
        </w:rPr>
        <w:t>Temat został dokładnie opisany w rozdziale 2 „Podsumowanie diagnozy HOF” oraz w Załączniku nr 1 w podrozdziale „Transport i komunikacja”.</w:t>
      </w:r>
    </w:p>
  </w:footnote>
  <w:footnote w:id="30">
    <w:p w:rsidR="002441D5" w:rsidRPr="00034B9A" w:rsidRDefault="002441D5" w:rsidP="0012352F">
      <w:pPr>
        <w:pStyle w:val="Tekstprzypisudolnego"/>
        <w:rPr>
          <w:sz w:val="18"/>
          <w:szCs w:val="18"/>
        </w:rPr>
      </w:pPr>
      <w:r>
        <w:rPr>
          <w:rStyle w:val="Odwoanieprzypisudolnego"/>
        </w:rPr>
        <w:footnoteRef/>
      </w:r>
      <w:r>
        <w:t xml:space="preserve"> </w:t>
      </w:r>
      <w:r w:rsidRPr="00034B9A">
        <w:rPr>
          <w:sz w:val="18"/>
          <w:szCs w:val="18"/>
        </w:rPr>
        <w:t>Stosunek liczby budynków znajdujących się w zasięgu sieci o określonych parametrach do liczby wszystkich budynków na analizowanym obszarze.</w:t>
      </w:r>
    </w:p>
  </w:footnote>
  <w:footnote w:id="31">
    <w:p w:rsidR="002441D5" w:rsidRDefault="002441D5" w:rsidP="0012352F">
      <w:pPr>
        <w:pStyle w:val="Tekstprzypisudolnego"/>
      </w:pPr>
      <w:r>
        <w:rPr>
          <w:rStyle w:val="Odwoanieprzypisudolnego"/>
        </w:rPr>
        <w:footnoteRef/>
      </w:r>
      <w:r>
        <w:t xml:space="preserve"> </w:t>
      </w:r>
      <w:r w:rsidRPr="0051784D">
        <w:rPr>
          <w:sz w:val="18"/>
          <w:szCs w:val="18"/>
        </w:rPr>
        <w:t>Raport o stanie rynku telekomunikacyjnego w Polsce w 2019 roku.</w:t>
      </w:r>
    </w:p>
  </w:footnote>
  <w:footnote w:id="32">
    <w:p w:rsidR="002441D5" w:rsidRPr="00AA1C19" w:rsidRDefault="002441D5" w:rsidP="008376F0">
      <w:pPr>
        <w:pStyle w:val="Tekstprzypisudolnego"/>
        <w:rPr>
          <w:rFonts w:cs="Calibri Light"/>
          <w:sz w:val="16"/>
          <w:szCs w:val="16"/>
        </w:rPr>
      </w:pPr>
      <w:r w:rsidRPr="00AA1C19">
        <w:rPr>
          <w:rStyle w:val="Znakiprzypiswdolnych"/>
          <w:rFonts w:cs="Calibri Light"/>
          <w:sz w:val="16"/>
          <w:szCs w:val="16"/>
          <w:vertAlign w:val="superscript"/>
        </w:rPr>
        <w:footnoteRef/>
      </w:r>
      <w:r w:rsidRPr="00AA1C19">
        <w:rPr>
          <w:rStyle w:val="Znakiprzypiswdolnych"/>
          <w:rFonts w:cs="Calibri Light"/>
          <w:sz w:val="16"/>
          <w:szCs w:val="16"/>
        </w:rPr>
        <w:t xml:space="preserve"> </w:t>
      </w:r>
      <w:r w:rsidRPr="00AA1C19">
        <w:rPr>
          <w:rFonts w:cs="Calibri Light"/>
          <w:sz w:val="16"/>
          <w:szCs w:val="16"/>
        </w:rPr>
        <w:t xml:space="preserve">Możliwość utworzenia CUS przewiduje Ustawa z dnia 19 lipca 2019 r. o realizowaniu usług społecznych przez centrum usług społecznych.  </w:t>
      </w:r>
    </w:p>
  </w:footnote>
  <w:footnote w:id="33">
    <w:p w:rsidR="002441D5" w:rsidRDefault="002441D5">
      <w:pPr>
        <w:pStyle w:val="Tekstprzypisudolnego"/>
      </w:pPr>
      <w:r>
        <w:rPr>
          <w:rStyle w:val="Odwoanieprzypisudolnego"/>
        </w:rPr>
        <w:footnoteRef/>
      </w:r>
      <w:r>
        <w:t xml:space="preserve"> </w:t>
      </w:r>
      <w:r w:rsidRPr="00433123">
        <w:rPr>
          <w:sz w:val="18"/>
          <w:szCs w:val="18"/>
        </w:rPr>
        <w:t>Rozwój odpowiedzialny to również rozwój zrównoważony terytorialnie, który rozwija i efektywnie wykorzystuje miejscowe zasoby i potencjały wszystkich terytoriów, a w szczególności wspomaga rozwój tych obszarów, które mają mniejszą odporność na zjawiska kryzysowe, nie mogą w pełni rozwinąć swojego potencjału rozwojowego lub utraciły funkcje społeczno-gospodarcze. (KSRR 2030).</w:t>
      </w:r>
    </w:p>
  </w:footnote>
  <w:footnote w:id="34">
    <w:p w:rsidR="002441D5" w:rsidRDefault="002441D5" w:rsidP="00ED6132">
      <w:pPr>
        <w:pStyle w:val="Tekstprzypisudolnego"/>
      </w:pPr>
      <w:r>
        <w:rPr>
          <w:rStyle w:val="Odwoanieprzypisudolnego"/>
        </w:rPr>
        <w:footnoteRef/>
      </w:r>
      <w:r>
        <w:t xml:space="preserve"> </w:t>
      </w:r>
      <w:r w:rsidRPr="00387406">
        <w:rPr>
          <w:sz w:val="18"/>
          <w:szCs w:val="18"/>
        </w:rPr>
        <w:t>https</w:t>
      </w:r>
      <w:proofErr w:type="gramStart"/>
      <w:r w:rsidRPr="00387406">
        <w:rPr>
          <w:sz w:val="18"/>
          <w:szCs w:val="18"/>
        </w:rPr>
        <w:t>://www</w:t>
      </w:r>
      <w:proofErr w:type="gramEnd"/>
      <w:r w:rsidRPr="00387406">
        <w:rPr>
          <w:sz w:val="18"/>
          <w:szCs w:val="18"/>
        </w:rPr>
        <w:t>.</w:t>
      </w:r>
      <w:proofErr w:type="gramStart"/>
      <w:r w:rsidRPr="00387406">
        <w:rPr>
          <w:sz w:val="18"/>
          <w:szCs w:val="18"/>
        </w:rPr>
        <w:t>consilium</w:t>
      </w:r>
      <w:proofErr w:type="gramEnd"/>
      <w:r w:rsidRPr="00387406">
        <w:rPr>
          <w:sz w:val="18"/>
          <w:szCs w:val="18"/>
        </w:rPr>
        <w:t>.</w:t>
      </w:r>
      <w:proofErr w:type="gramStart"/>
      <w:r w:rsidRPr="00387406">
        <w:rPr>
          <w:sz w:val="18"/>
          <w:szCs w:val="18"/>
        </w:rPr>
        <w:t>europa</w:t>
      </w:r>
      <w:proofErr w:type="gramEnd"/>
      <w:r w:rsidRPr="00387406">
        <w:rPr>
          <w:sz w:val="18"/>
          <w:szCs w:val="18"/>
        </w:rPr>
        <w:t>.</w:t>
      </w:r>
      <w:proofErr w:type="gramStart"/>
      <w:r w:rsidRPr="00387406">
        <w:rPr>
          <w:sz w:val="18"/>
          <w:szCs w:val="18"/>
        </w:rPr>
        <w:t>eu</w:t>
      </w:r>
      <w:proofErr w:type="gramEnd"/>
      <w:r w:rsidRPr="00387406">
        <w:rPr>
          <w:sz w:val="18"/>
          <w:szCs w:val="18"/>
        </w:rPr>
        <w:t>/pl/infographics/recovery-plan-mff-2021-2027/</w:t>
      </w:r>
    </w:p>
  </w:footnote>
  <w:footnote w:id="35">
    <w:p w:rsidR="002441D5" w:rsidRDefault="002441D5" w:rsidP="00ED6132">
      <w:pPr>
        <w:pStyle w:val="Tekstprzypisudolnego"/>
      </w:pPr>
      <w:r>
        <w:rPr>
          <w:rStyle w:val="Odwoanieprzypisudolnego"/>
        </w:rPr>
        <w:footnoteRef/>
      </w:r>
      <w:r>
        <w:t xml:space="preserve"> </w:t>
      </w:r>
      <w:r w:rsidRPr="0060746A">
        <w:rPr>
          <w:sz w:val="18"/>
          <w:szCs w:val="18"/>
        </w:rPr>
        <w:t xml:space="preserve">W </w:t>
      </w:r>
      <w:r>
        <w:rPr>
          <w:sz w:val="18"/>
          <w:szCs w:val="18"/>
        </w:rPr>
        <w:t xml:space="preserve">Gminie </w:t>
      </w:r>
      <w:r w:rsidRPr="0060746A">
        <w:rPr>
          <w:sz w:val="18"/>
          <w:szCs w:val="18"/>
        </w:rPr>
        <w:t>Hrubieszów prognozowane wydatki przyjęto w okresie do roku 2026 zgodnie z ramami czasowymi wieloletniej prognozy finansowej Gminy Hrubieszów</w:t>
      </w:r>
      <w:r>
        <w:rPr>
          <w:sz w:val="18"/>
          <w:szCs w:val="18"/>
        </w:rPr>
        <w:t>.</w:t>
      </w:r>
    </w:p>
  </w:footnote>
  <w:footnote w:id="36">
    <w:p w:rsidR="002441D5" w:rsidRDefault="002441D5" w:rsidP="00ED6132">
      <w:pPr>
        <w:pStyle w:val="Tekstprzypisudolnego"/>
      </w:pPr>
      <w:r>
        <w:rPr>
          <w:rStyle w:val="Odwoanieprzypisudolnego"/>
        </w:rPr>
        <w:footnoteRef/>
      </w:r>
      <w:r>
        <w:t xml:space="preserve"> </w:t>
      </w:r>
      <w:r>
        <w:rPr>
          <w:sz w:val="18"/>
          <w:szCs w:val="18"/>
        </w:rPr>
        <w:t>W Gminie</w:t>
      </w:r>
      <w:r w:rsidRPr="0060746A">
        <w:rPr>
          <w:sz w:val="18"/>
          <w:szCs w:val="18"/>
        </w:rPr>
        <w:t xml:space="preserve"> Hrubieszów prognozowane wydatki przyjęto w okresie do roku 2026 zgodnie z ramami czasowymi wieloletniej prognozy finansowej Gminy Hrubieszów</w:t>
      </w:r>
      <w:r>
        <w:rPr>
          <w:sz w:val="18"/>
          <w:szCs w:val="18"/>
        </w:rPr>
        <w:t>.</w:t>
      </w:r>
    </w:p>
  </w:footnote>
  <w:footnote w:id="37">
    <w:p w:rsidR="002441D5" w:rsidRDefault="002441D5" w:rsidP="002426AA">
      <w:pPr>
        <w:pStyle w:val="Tekstprzypisudolnego"/>
      </w:pPr>
      <w:r>
        <w:rPr>
          <w:rStyle w:val="Odwoanieprzypisudolnego"/>
        </w:rPr>
        <w:footnoteRef/>
      </w:r>
      <w:r>
        <w:t xml:space="preserve"> </w:t>
      </w:r>
      <w:r w:rsidRPr="00E57B36">
        <w:rPr>
          <w:sz w:val="18"/>
        </w:rPr>
        <w:t>W</w:t>
      </w:r>
      <w:r w:rsidRPr="00E57B36">
        <w:rPr>
          <w:iCs/>
          <w:sz w:val="18"/>
        </w:rPr>
        <w:t>artość docelowa wskaźnika będzie znana na etapie wykonania dokumentacji, w tym aplikacyjnej oraz dostosowania się do aktualnych kryteriów wyboru projektów na dzień ogłoszenia konkursu</w:t>
      </w:r>
      <w:r w:rsidRPr="00E57B36">
        <w:rPr>
          <w:sz w:val="18"/>
        </w:rPr>
        <w:t>.</w:t>
      </w:r>
    </w:p>
  </w:footnote>
  <w:footnote w:id="38">
    <w:p w:rsidR="002441D5" w:rsidRDefault="002441D5" w:rsidP="00E91F59">
      <w:pPr>
        <w:pStyle w:val="Tekstprzypisudolnego"/>
        <w:spacing w:before="0"/>
      </w:pPr>
      <w:r>
        <w:rPr>
          <w:rStyle w:val="Odwoanieprzypisudolnego"/>
        </w:rPr>
        <w:footnoteRef/>
      </w:r>
      <w:r>
        <w:t xml:space="preserve"> </w:t>
      </w:r>
      <w:r w:rsidRPr="00E57B36">
        <w:rPr>
          <w:sz w:val="18"/>
        </w:rPr>
        <w:t>W</w:t>
      </w:r>
      <w:r w:rsidRPr="00E57B36">
        <w:rPr>
          <w:iCs/>
          <w:sz w:val="18"/>
        </w:rPr>
        <w:t>artość docelowa wskaźnika będzie znana na etapie wykonania dokumentacji, w tym aplikacyjnej oraz dostosowania się do aktualnych kryteriów wyboru projektów na dzień ogłoszenia konkursu</w:t>
      </w:r>
      <w:r w:rsidRPr="00E57B36">
        <w:rPr>
          <w:sz w:val="18"/>
        </w:rPr>
        <w:t>.</w:t>
      </w:r>
    </w:p>
  </w:footnote>
  <w:footnote w:id="39">
    <w:p w:rsidR="002441D5" w:rsidRDefault="002441D5" w:rsidP="00E91F59">
      <w:pPr>
        <w:spacing w:before="0" w:after="0"/>
      </w:pPr>
      <w:r>
        <w:rPr>
          <w:rStyle w:val="Odwoanieprzypisudolnego"/>
        </w:rPr>
        <w:footnoteRef/>
      </w:r>
      <w:r w:rsidRPr="00FD451D">
        <w:rPr>
          <w:vertAlign w:val="superscript"/>
        </w:rPr>
        <w:t xml:space="preserve"> </w:t>
      </w:r>
      <w:r w:rsidRPr="00DA25BC">
        <w:rPr>
          <w:sz w:val="18"/>
        </w:rPr>
        <w:t>Ostateczne miejsce realizacji – wskazanie enumeratywne budynków, jakie będą objęte zamierzeniem oraz szczegółowy zakres prac nastąpi po wykonaniu dokumentacji projektowej, uzyskaniu wszelkich zgód i pozwoleń oraz na podstawie wykonania analizy/diagnozy potrzeb i deficytów w obszarze/na rzecz programu rozwojowego przedszkoli.</w:t>
      </w:r>
    </w:p>
  </w:footnote>
  <w:footnote w:id="40">
    <w:p w:rsidR="002441D5" w:rsidRDefault="002441D5" w:rsidP="00E91F59">
      <w:pPr>
        <w:pStyle w:val="Tekstprzypisudolnego"/>
        <w:spacing w:before="0"/>
      </w:pPr>
      <w:r>
        <w:rPr>
          <w:rStyle w:val="Odwoanieprzypisudolnego"/>
        </w:rPr>
        <w:footnoteRef/>
      </w:r>
      <w:r>
        <w:t xml:space="preserve"> </w:t>
      </w:r>
      <w:r w:rsidRPr="00DA25BC">
        <w:rPr>
          <w:sz w:val="18"/>
        </w:rPr>
        <w:t>Ostateczne miejsce realizacji – wskazanie enumeratywne budynków, jakie będą objęte zamierzeniem oraz szczegółowy zakres prac nastąpi po wykonaniu dokumentacji projektowej, uzyskaniu wszelkich zgód i pozwoleń oraz na podstawie wykonania analizy/diagnozy potrzeb i deficytów w obszarze/na rzecz programu rozwojowego przedszkoli.</w:t>
      </w:r>
    </w:p>
  </w:footnote>
  <w:footnote w:id="41">
    <w:p w:rsidR="002441D5" w:rsidRDefault="002441D5" w:rsidP="00E91F59">
      <w:pPr>
        <w:pStyle w:val="Tekstprzypisudolnego"/>
        <w:spacing w:before="0"/>
      </w:pPr>
      <w:r>
        <w:rPr>
          <w:rStyle w:val="Odwoanieprzypisudolnego"/>
        </w:rPr>
        <w:footnoteRef/>
      </w:r>
      <w:r>
        <w:t xml:space="preserve"> </w:t>
      </w:r>
      <w:r w:rsidRPr="00DA25BC">
        <w:rPr>
          <w:sz w:val="18"/>
        </w:rPr>
        <w:t>Ostateczne miejsce realizacji – wskazanie enumeratywne budynków, jakie będą objęte zamierzeniem oraz szczegółowy zakres prac nastąpi po wykonaniu dokumentacji projektowej, uzyskaniu wszelkich zgód i pozwoleń oraz na podstawie wykonania analizy/diagnozy potrzeb i deficytów w obszarze/na rzecz programu rozwojowego przedszkoli.</w:t>
      </w:r>
    </w:p>
  </w:footnote>
  <w:footnote w:id="42">
    <w:p w:rsidR="002441D5" w:rsidRDefault="002441D5" w:rsidP="00E91F59">
      <w:pPr>
        <w:pStyle w:val="Tekstprzypisudolnego"/>
        <w:spacing w:before="0"/>
      </w:pPr>
      <w:r>
        <w:rPr>
          <w:rStyle w:val="Odwoanieprzypisudolnego"/>
        </w:rPr>
        <w:footnoteRef/>
      </w:r>
      <w:r>
        <w:t xml:space="preserve"> </w:t>
      </w:r>
      <w:proofErr w:type="gramStart"/>
      <w:r>
        <w:rPr>
          <w:rFonts w:cstheme="minorHAnsi"/>
          <w:iCs/>
        </w:rPr>
        <w:t>ostateczne</w:t>
      </w:r>
      <w:proofErr w:type="gramEnd"/>
      <w:r w:rsidRPr="00DA25BC">
        <w:rPr>
          <w:rFonts w:cstheme="minorHAnsi"/>
          <w:iCs/>
        </w:rPr>
        <w:t xml:space="preserve"> zakwalifikowanie placówek </w:t>
      </w:r>
      <w:r>
        <w:rPr>
          <w:rFonts w:cstheme="minorHAnsi"/>
          <w:iCs/>
        </w:rPr>
        <w:t xml:space="preserve">(podanie liczby placówek) </w:t>
      </w:r>
      <w:r w:rsidRPr="00DA25BC">
        <w:rPr>
          <w:rFonts w:cstheme="minorHAnsi"/>
          <w:iCs/>
        </w:rPr>
        <w:t>do przedsięwzięcia nastąpi na podstawie diagnozy</w:t>
      </w:r>
    </w:p>
  </w:footnote>
  <w:footnote w:id="43">
    <w:p w:rsidR="002441D5" w:rsidRDefault="002441D5" w:rsidP="00E91F59">
      <w:pPr>
        <w:pStyle w:val="Tekstprzypisudolnego"/>
        <w:spacing w:before="0"/>
      </w:pPr>
      <w:r>
        <w:rPr>
          <w:rStyle w:val="Odwoanieprzypisudolnego"/>
        </w:rPr>
        <w:footnoteRef/>
      </w:r>
      <w:r>
        <w:t xml:space="preserve"> </w:t>
      </w:r>
      <w:proofErr w:type="gramStart"/>
      <w:r>
        <w:rPr>
          <w:rFonts w:cstheme="minorHAnsi"/>
          <w:iCs/>
        </w:rPr>
        <w:t>ostateczne</w:t>
      </w:r>
      <w:proofErr w:type="gramEnd"/>
      <w:r w:rsidRPr="00DA25BC">
        <w:rPr>
          <w:rFonts w:cstheme="minorHAnsi"/>
          <w:iCs/>
        </w:rPr>
        <w:t xml:space="preserve"> zakwalifikowanie placówek </w:t>
      </w:r>
      <w:r>
        <w:rPr>
          <w:rFonts w:cstheme="minorHAnsi"/>
          <w:iCs/>
        </w:rPr>
        <w:t xml:space="preserve">(podanie liczby placówek) </w:t>
      </w:r>
      <w:r w:rsidRPr="00DA25BC">
        <w:rPr>
          <w:rFonts w:cstheme="minorHAnsi"/>
          <w:iCs/>
        </w:rPr>
        <w:t>do przedsięwzięcia nastąpi na podstawie diagnozy</w:t>
      </w:r>
    </w:p>
  </w:footnote>
  <w:footnote w:id="44">
    <w:p w:rsidR="002441D5" w:rsidRDefault="002441D5" w:rsidP="002426AA">
      <w:pPr>
        <w:pStyle w:val="Tekstprzypisudolnego"/>
      </w:pPr>
      <w:r>
        <w:rPr>
          <w:rStyle w:val="Odwoanieprzypisudolnego"/>
        </w:rPr>
        <w:footnoteRef/>
      </w:r>
      <w:r>
        <w:t xml:space="preserve"> </w:t>
      </w:r>
      <w:r w:rsidRPr="00E57B36">
        <w:rPr>
          <w:sz w:val="18"/>
        </w:rPr>
        <w:t>W</w:t>
      </w:r>
      <w:r w:rsidRPr="00E57B36">
        <w:rPr>
          <w:iCs/>
          <w:sz w:val="18"/>
        </w:rPr>
        <w:t>artość docelowa wskaźnika będzie znana na etapie wykonania dokumentacji, w tym aplikacyjnej oraz dostosowania się do aktualnych kryteriów wyboru projektów na dzień ogłoszenia konkursu</w:t>
      </w:r>
      <w:r w:rsidRPr="00E57B36">
        <w:rPr>
          <w:sz w:val="18"/>
        </w:rPr>
        <w:t>.</w:t>
      </w:r>
    </w:p>
  </w:footnote>
  <w:footnote w:id="45">
    <w:p w:rsidR="002441D5" w:rsidRPr="007B1E0E" w:rsidRDefault="002441D5" w:rsidP="00122CC3">
      <w:pPr>
        <w:pStyle w:val="Tekstkomentarza"/>
        <w:ind w:left="426" w:firstLine="0"/>
        <w:rPr>
          <w:sz w:val="22"/>
        </w:rPr>
      </w:pPr>
      <w:r>
        <w:rPr>
          <w:rStyle w:val="Odwoanieprzypisudolnego"/>
        </w:rPr>
        <w:footnoteRef/>
      </w:r>
      <w:r>
        <w:t xml:space="preserve"> </w:t>
      </w:r>
      <w:r w:rsidRPr="00122CC3">
        <w:rPr>
          <w:sz w:val="18"/>
        </w:rPr>
        <w:t xml:space="preserve">Ostateczne miejsce realizacji – wskazanie enumeratywne </w:t>
      </w:r>
      <w:proofErr w:type="gramStart"/>
      <w:r w:rsidRPr="00122CC3">
        <w:rPr>
          <w:sz w:val="18"/>
        </w:rPr>
        <w:t xml:space="preserve">budynków </w:t>
      </w:r>
      <w:r>
        <w:rPr>
          <w:sz w:val="18"/>
        </w:rPr>
        <w:t xml:space="preserve"> </w:t>
      </w:r>
      <w:r w:rsidRPr="00122CC3">
        <w:rPr>
          <w:sz w:val="18"/>
        </w:rPr>
        <w:t>jakie</w:t>
      </w:r>
      <w:proofErr w:type="gramEnd"/>
      <w:r w:rsidRPr="00122CC3">
        <w:rPr>
          <w:sz w:val="18"/>
        </w:rPr>
        <w:t xml:space="preserve"> będą objęte zamierzeniem, nastąpi po wykonaniu dokumentacji audytowej oraz projektowej na podstawie, której ostatecznie zostaną zakwalifikowane budynki. </w:t>
      </w:r>
    </w:p>
    <w:p w:rsidR="002441D5" w:rsidRDefault="002441D5">
      <w:pPr>
        <w:pStyle w:val="Tekstprzypisudolnego"/>
      </w:pPr>
    </w:p>
  </w:footnote>
  <w:footnote w:id="46">
    <w:p w:rsidR="002441D5" w:rsidRDefault="002441D5" w:rsidP="002426AA">
      <w:pPr>
        <w:pStyle w:val="Tekstprzypisudolnego"/>
      </w:pPr>
      <w:r>
        <w:rPr>
          <w:rStyle w:val="Odwoanieprzypisudolnego"/>
        </w:rPr>
        <w:footnoteRef/>
      </w:r>
      <w:r>
        <w:t xml:space="preserve"> </w:t>
      </w:r>
      <w:r w:rsidRPr="00E57B36">
        <w:rPr>
          <w:sz w:val="18"/>
        </w:rPr>
        <w:t>W</w:t>
      </w:r>
      <w:r w:rsidRPr="00E57B36">
        <w:rPr>
          <w:iCs/>
          <w:sz w:val="18"/>
        </w:rPr>
        <w:t>artość docelowa wskaźnika będzie znana na etapie wykonania dokumentacji, w tym aplikacyjnej oraz dostosowania się do aktualnych kryteriów wyboru projektów na dzień ogłoszenia konkursu</w:t>
      </w:r>
      <w:r w:rsidRPr="00E57B36">
        <w:rPr>
          <w:sz w:val="18"/>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F524C"/>
    <w:multiLevelType w:val="hybridMultilevel"/>
    <w:tmpl w:val="DF705526"/>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02A6554A"/>
    <w:multiLevelType w:val="hybridMultilevel"/>
    <w:tmpl w:val="4BDEEDC6"/>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2">
    <w:nsid w:val="05402961"/>
    <w:multiLevelType w:val="hybridMultilevel"/>
    <w:tmpl w:val="63B805C6"/>
    <w:lvl w:ilvl="0" w:tplc="8D2EC2CE">
      <w:start w:val="1"/>
      <w:numFmt w:val="decimal"/>
      <w:lvlText w:val="4.%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nsid w:val="05B36018"/>
    <w:multiLevelType w:val="hybridMultilevel"/>
    <w:tmpl w:val="52BA37DA"/>
    <w:lvl w:ilvl="0" w:tplc="97946D0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5BF179A"/>
    <w:multiLevelType w:val="hybridMultilevel"/>
    <w:tmpl w:val="467EE406"/>
    <w:lvl w:ilvl="0" w:tplc="14AA090E">
      <w:start w:val="1"/>
      <w:numFmt w:val="bullet"/>
      <w:lvlText w:val=""/>
      <w:lvlJc w:val="left"/>
      <w:pPr>
        <w:ind w:left="863" w:hanging="360"/>
      </w:pPr>
      <w:rPr>
        <w:rFonts w:ascii="Symbol" w:hAnsi="Symbol" w:hint="default"/>
        <w:color w:val="0292DF" w:themeColor="accent1" w:themeShade="BF"/>
      </w:rPr>
    </w:lvl>
    <w:lvl w:ilvl="1" w:tplc="04150003" w:tentative="1">
      <w:start w:val="1"/>
      <w:numFmt w:val="bullet"/>
      <w:lvlText w:val="o"/>
      <w:lvlJc w:val="left"/>
      <w:pPr>
        <w:ind w:left="1583" w:hanging="360"/>
      </w:pPr>
      <w:rPr>
        <w:rFonts w:ascii="Courier New" w:hAnsi="Courier New" w:cs="Courier New" w:hint="default"/>
      </w:rPr>
    </w:lvl>
    <w:lvl w:ilvl="2" w:tplc="04150005" w:tentative="1">
      <w:start w:val="1"/>
      <w:numFmt w:val="bullet"/>
      <w:lvlText w:val=""/>
      <w:lvlJc w:val="left"/>
      <w:pPr>
        <w:ind w:left="2303" w:hanging="360"/>
      </w:pPr>
      <w:rPr>
        <w:rFonts w:ascii="Wingdings" w:hAnsi="Wingdings" w:hint="default"/>
      </w:rPr>
    </w:lvl>
    <w:lvl w:ilvl="3" w:tplc="04150001" w:tentative="1">
      <w:start w:val="1"/>
      <w:numFmt w:val="bullet"/>
      <w:lvlText w:val=""/>
      <w:lvlJc w:val="left"/>
      <w:pPr>
        <w:ind w:left="3023" w:hanging="360"/>
      </w:pPr>
      <w:rPr>
        <w:rFonts w:ascii="Symbol" w:hAnsi="Symbol" w:hint="default"/>
      </w:rPr>
    </w:lvl>
    <w:lvl w:ilvl="4" w:tplc="04150003" w:tentative="1">
      <w:start w:val="1"/>
      <w:numFmt w:val="bullet"/>
      <w:lvlText w:val="o"/>
      <w:lvlJc w:val="left"/>
      <w:pPr>
        <w:ind w:left="3743" w:hanging="360"/>
      </w:pPr>
      <w:rPr>
        <w:rFonts w:ascii="Courier New" w:hAnsi="Courier New" w:cs="Courier New" w:hint="default"/>
      </w:rPr>
    </w:lvl>
    <w:lvl w:ilvl="5" w:tplc="04150005" w:tentative="1">
      <w:start w:val="1"/>
      <w:numFmt w:val="bullet"/>
      <w:lvlText w:val=""/>
      <w:lvlJc w:val="left"/>
      <w:pPr>
        <w:ind w:left="4463" w:hanging="360"/>
      </w:pPr>
      <w:rPr>
        <w:rFonts w:ascii="Wingdings" w:hAnsi="Wingdings" w:hint="default"/>
      </w:rPr>
    </w:lvl>
    <w:lvl w:ilvl="6" w:tplc="04150001" w:tentative="1">
      <w:start w:val="1"/>
      <w:numFmt w:val="bullet"/>
      <w:lvlText w:val=""/>
      <w:lvlJc w:val="left"/>
      <w:pPr>
        <w:ind w:left="5183" w:hanging="360"/>
      </w:pPr>
      <w:rPr>
        <w:rFonts w:ascii="Symbol" w:hAnsi="Symbol" w:hint="default"/>
      </w:rPr>
    </w:lvl>
    <w:lvl w:ilvl="7" w:tplc="04150003" w:tentative="1">
      <w:start w:val="1"/>
      <w:numFmt w:val="bullet"/>
      <w:lvlText w:val="o"/>
      <w:lvlJc w:val="left"/>
      <w:pPr>
        <w:ind w:left="5903" w:hanging="360"/>
      </w:pPr>
      <w:rPr>
        <w:rFonts w:ascii="Courier New" w:hAnsi="Courier New" w:cs="Courier New" w:hint="default"/>
      </w:rPr>
    </w:lvl>
    <w:lvl w:ilvl="8" w:tplc="04150005" w:tentative="1">
      <w:start w:val="1"/>
      <w:numFmt w:val="bullet"/>
      <w:lvlText w:val=""/>
      <w:lvlJc w:val="left"/>
      <w:pPr>
        <w:ind w:left="6623" w:hanging="360"/>
      </w:pPr>
      <w:rPr>
        <w:rFonts w:ascii="Wingdings" w:hAnsi="Wingdings" w:hint="default"/>
      </w:rPr>
    </w:lvl>
  </w:abstractNum>
  <w:abstractNum w:abstractNumId="5">
    <w:nsid w:val="07056E42"/>
    <w:multiLevelType w:val="hybridMultilevel"/>
    <w:tmpl w:val="38F8CD44"/>
    <w:lvl w:ilvl="0" w:tplc="14AA090E">
      <w:start w:val="1"/>
      <w:numFmt w:val="bullet"/>
      <w:lvlText w:val=""/>
      <w:lvlJc w:val="left"/>
      <w:pPr>
        <w:ind w:left="1211" w:hanging="360"/>
      </w:pPr>
      <w:rPr>
        <w:rFonts w:ascii="Symbol" w:hAnsi="Symbol" w:hint="default"/>
        <w:color w:val="0292DF" w:themeColor="accent1" w:themeShade="BF"/>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6">
    <w:nsid w:val="080A1A3B"/>
    <w:multiLevelType w:val="hybridMultilevel"/>
    <w:tmpl w:val="1220ABBE"/>
    <w:lvl w:ilvl="0" w:tplc="14AA090E">
      <w:start w:val="1"/>
      <w:numFmt w:val="bullet"/>
      <w:lvlText w:val=""/>
      <w:lvlJc w:val="left"/>
      <w:pPr>
        <w:ind w:left="1080" w:hanging="360"/>
      </w:pPr>
      <w:rPr>
        <w:rFonts w:ascii="Symbol" w:hAnsi="Symbol" w:hint="default"/>
        <w:color w:val="0292DF"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
    <w:nsid w:val="08345528"/>
    <w:multiLevelType w:val="hybridMultilevel"/>
    <w:tmpl w:val="DC8680F6"/>
    <w:lvl w:ilvl="0" w:tplc="14AA090E">
      <w:start w:val="1"/>
      <w:numFmt w:val="bullet"/>
      <w:lvlText w:val=""/>
      <w:lvlJc w:val="left"/>
      <w:pPr>
        <w:ind w:left="1080" w:hanging="360"/>
      </w:pPr>
      <w:rPr>
        <w:rFonts w:ascii="Symbol" w:hAnsi="Symbol" w:hint="default"/>
        <w:b/>
        <w:i w:val="0"/>
        <w:color w:val="0292DF" w:themeColor="accent1" w:themeShade="BF"/>
        <w:sz w:val="20"/>
        <w:szCs w:val="22"/>
        <w:u w:color="4584D3" w:themeColor="accent2"/>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
    <w:nsid w:val="0B015CCE"/>
    <w:multiLevelType w:val="hybridMultilevel"/>
    <w:tmpl w:val="16FC2884"/>
    <w:lvl w:ilvl="0" w:tplc="14AA090E">
      <w:start w:val="1"/>
      <w:numFmt w:val="bullet"/>
      <w:lvlText w:val=""/>
      <w:lvlJc w:val="left"/>
      <w:pPr>
        <w:ind w:left="1080" w:hanging="360"/>
      </w:pPr>
      <w:rPr>
        <w:rFonts w:ascii="Symbol" w:hAnsi="Symbol" w:hint="default"/>
        <w:color w:val="0292DF"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
    <w:nsid w:val="0D6C255B"/>
    <w:multiLevelType w:val="hybridMultilevel"/>
    <w:tmpl w:val="7B26C376"/>
    <w:lvl w:ilvl="0" w:tplc="14AA090E">
      <w:start w:val="1"/>
      <w:numFmt w:val="bullet"/>
      <w:lvlText w:val=""/>
      <w:lvlJc w:val="left"/>
      <w:pPr>
        <w:ind w:left="1077" w:hanging="360"/>
      </w:pPr>
      <w:rPr>
        <w:rFonts w:ascii="Symbol" w:hAnsi="Symbol" w:hint="default"/>
        <w:color w:val="0292DF" w:themeColor="accent1" w:themeShade="BF"/>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0">
    <w:nsid w:val="0EF17788"/>
    <w:multiLevelType w:val="hybridMultilevel"/>
    <w:tmpl w:val="BD48259C"/>
    <w:lvl w:ilvl="0" w:tplc="2286D6FC">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nsid w:val="126C616A"/>
    <w:multiLevelType w:val="hybridMultilevel"/>
    <w:tmpl w:val="E0629C5A"/>
    <w:lvl w:ilvl="0" w:tplc="14AA090E">
      <w:start w:val="1"/>
      <w:numFmt w:val="bullet"/>
      <w:lvlText w:val=""/>
      <w:lvlJc w:val="left"/>
      <w:pPr>
        <w:ind w:left="1077" w:hanging="360"/>
      </w:pPr>
      <w:rPr>
        <w:rFonts w:ascii="Symbol" w:hAnsi="Symbol" w:hint="default"/>
        <w:color w:val="0292DF" w:themeColor="accent1" w:themeShade="BF"/>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2">
    <w:nsid w:val="12AD3182"/>
    <w:multiLevelType w:val="multilevel"/>
    <w:tmpl w:val="072C9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15517709"/>
    <w:multiLevelType w:val="hybridMultilevel"/>
    <w:tmpl w:val="C7B4F8CE"/>
    <w:lvl w:ilvl="0" w:tplc="C9067508">
      <w:start w:val="1"/>
      <w:numFmt w:val="decimal"/>
      <w:lvlText w:val="2.%1"/>
      <w:lvlJc w:val="left"/>
      <w:pPr>
        <w:ind w:left="1069"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15B026F2"/>
    <w:multiLevelType w:val="hybridMultilevel"/>
    <w:tmpl w:val="5D88909A"/>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15">
    <w:nsid w:val="16555E4A"/>
    <w:multiLevelType w:val="hybridMultilevel"/>
    <w:tmpl w:val="9E780FF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nsid w:val="188C6A7D"/>
    <w:multiLevelType w:val="hybridMultilevel"/>
    <w:tmpl w:val="34366D60"/>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nsid w:val="19F61CC7"/>
    <w:multiLevelType w:val="hybridMultilevel"/>
    <w:tmpl w:val="52BA37DA"/>
    <w:lvl w:ilvl="0" w:tplc="97946D0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1A8B0F21"/>
    <w:multiLevelType w:val="hybridMultilevel"/>
    <w:tmpl w:val="52A05978"/>
    <w:lvl w:ilvl="0" w:tplc="14AA090E">
      <w:start w:val="1"/>
      <w:numFmt w:val="bullet"/>
      <w:lvlText w:val=""/>
      <w:lvlJc w:val="left"/>
      <w:pPr>
        <w:ind w:left="1080" w:hanging="360"/>
      </w:pPr>
      <w:rPr>
        <w:rFonts w:ascii="Symbol" w:hAnsi="Symbol" w:hint="default"/>
        <w:color w:val="0292DF"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9">
    <w:nsid w:val="1BC46225"/>
    <w:multiLevelType w:val="hybridMultilevel"/>
    <w:tmpl w:val="EBA00F78"/>
    <w:lvl w:ilvl="0" w:tplc="14AA090E">
      <w:start w:val="1"/>
      <w:numFmt w:val="bullet"/>
      <w:lvlText w:val=""/>
      <w:lvlJc w:val="left"/>
      <w:pPr>
        <w:ind w:left="1230" w:hanging="360"/>
      </w:pPr>
      <w:rPr>
        <w:rFonts w:ascii="Symbol" w:hAnsi="Symbol" w:hint="default"/>
        <w:color w:val="0292DF" w:themeColor="accent1" w:themeShade="BF"/>
      </w:rPr>
    </w:lvl>
    <w:lvl w:ilvl="1" w:tplc="04150003">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20">
    <w:nsid w:val="1C8A0A8A"/>
    <w:multiLevelType w:val="hybridMultilevel"/>
    <w:tmpl w:val="E0A818AA"/>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21">
    <w:nsid w:val="1FEB1FBE"/>
    <w:multiLevelType w:val="hybridMultilevel"/>
    <w:tmpl w:val="FF2CF44E"/>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nsid w:val="2118422F"/>
    <w:multiLevelType w:val="hybridMultilevel"/>
    <w:tmpl w:val="934C3AD2"/>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23">
    <w:nsid w:val="224C676E"/>
    <w:multiLevelType w:val="hybridMultilevel"/>
    <w:tmpl w:val="3F3E97BA"/>
    <w:lvl w:ilvl="0" w:tplc="97946D02">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22F545B9"/>
    <w:multiLevelType w:val="hybridMultilevel"/>
    <w:tmpl w:val="9342B076"/>
    <w:lvl w:ilvl="0" w:tplc="14AA090E">
      <w:start w:val="1"/>
      <w:numFmt w:val="bullet"/>
      <w:lvlText w:val=""/>
      <w:lvlJc w:val="left"/>
      <w:pPr>
        <w:ind w:left="720" w:hanging="360"/>
      </w:pPr>
      <w:rPr>
        <w:rFonts w:ascii="Symbol" w:hAnsi="Symbol" w:hint="default"/>
        <w:color w:val="0292DF" w:themeColor="accent1" w:themeShade="BF"/>
      </w:rPr>
    </w:lvl>
    <w:lvl w:ilvl="1" w:tplc="C7A0E180">
      <w:start w:val="1"/>
      <w:numFmt w:val="bullet"/>
      <w:lvlText w:val=""/>
      <w:lvlJc w:val="left"/>
      <w:pPr>
        <w:ind w:left="1440" w:hanging="360"/>
      </w:pPr>
      <w:rPr>
        <w:rFonts w:ascii="Wingdings" w:hAnsi="Wingdings" w:hint="default"/>
        <w:color w:val="DB9E0B" w:themeColor="accent5" w:themeShade="BF"/>
        <w:sz w:val="20"/>
        <w:szCs w:val="22"/>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4C26D9C"/>
    <w:multiLevelType w:val="multilevel"/>
    <w:tmpl w:val="70B8E1C6"/>
    <w:lvl w:ilvl="0">
      <w:start w:val="1"/>
      <w:numFmt w:val="decimal"/>
      <w:pStyle w:val="Nagwek11"/>
      <w:lvlText w:val="%1."/>
      <w:lvlJc w:val="left"/>
      <w:pPr>
        <w:ind w:left="1077" w:hanging="360"/>
      </w:pPr>
      <w:rPr>
        <w:rFonts w:hint="default"/>
      </w:rPr>
    </w:lvl>
    <w:lvl w:ilvl="1">
      <w:start w:val="3"/>
      <w:numFmt w:val="decimal"/>
      <w:isLgl/>
      <w:lvlText w:val="%1.%2"/>
      <w:lvlJc w:val="left"/>
      <w:pPr>
        <w:ind w:left="1495" w:hanging="360"/>
      </w:pPr>
      <w:rPr>
        <w:rFonts w:hint="default"/>
      </w:rPr>
    </w:lvl>
    <w:lvl w:ilvl="2">
      <w:start w:val="1"/>
      <w:numFmt w:val="decimal"/>
      <w:isLgl/>
      <w:lvlText w:val="%1.%2.%3"/>
      <w:lvlJc w:val="left"/>
      <w:pPr>
        <w:ind w:left="2273" w:hanging="720"/>
      </w:pPr>
      <w:rPr>
        <w:rFonts w:hint="default"/>
      </w:rPr>
    </w:lvl>
    <w:lvl w:ilvl="3">
      <w:start w:val="1"/>
      <w:numFmt w:val="decimal"/>
      <w:isLgl/>
      <w:lvlText w:val="%1.%2.%3.%4"/>
      <w:lvlJc w:val="left"/>
      <w:pPr>
        <w:ind w:left="3051" w:hanging="1080"/>
      </w:pPr>
      <w:rPr>
        <w:rFonts w:hint="default"/>
      </w:rPr>
    </w:lvl>
    <w:lvl w:ilvl="4">
      <w:start w:val="1"/>
      <w:numFmt w:val="decimal"/>
      <w:isLgl/>
      <w:lvlText w:val="%1.%2.%3.%4.%5"/>
      <w:lvlJc w:val="left"/>
      <w:pPr>
        <w:ind w:left="3469" w:hanging="1080"/>
      </w:pPr>
      <w:rPr>
        <w:rFonts w:hint="default"/>
      </w:rPr>
    </w:lvl>
    <w:lvl w:ilvl="5">
      <w:start w:val="1"/>
      <w:numFmt w:val="decimal"/>
      <w:isLgl/>
      <w:lvlText w:val="%1.%2.%3.%4.%5.%6"/>
      <w:lvlJc w:val="left"/>
      <w:pPr>
        <w:ind w:left="4247" w:hanging="1440"/>
      </w:pPr>
      <w:rPr>
        <w:rFonts w:hint="default"/>
      </w:rPr>
    </w:lvl>
    <w:lvl w:ilvl="6">
      <w:start w:val="1"/>
      <w:numFmt w:val="decimal"/>
      <w:isLgl/>
      <w:lvlText w:val="%1.%2.%3.%4.%5.%6.%7"/>
      <w:lvlJc w:val="left"/>
      <w:pPr>
        <w:ind w:left="4665" w:hanging="1440"/>
      </w:pPr>
      <w:rPr>
        <w:rFonts w:hint="default"/>
      </w:rPr>
    </w:lvl>
    <w:lvl w:ilvl="7">
      <w:start w:val="1"/>
      <w:numFmt w:val="decimal"/>
      <w:isLgl/>
      <w:lvlText w:val="%1.%2.%3.%4.%5.%6.%7.%8"/>
      <w:lvlJc w:val="left"/>
      <w:pPr>
        <w:ind w:left="5443" w:hanging="1800"/>
      </w:pPr>
      <w:rPr>
        <w:rFonts w:hint="default"/>
      </w:rPr>
    </w:lvl>
    <w:lvl w:ilvl="8">
      <w:start w:val="1"/>
      <w:numFmt w:val="decimal"/>
      <w:isLgl/>
      <w:lvlText w:val="%1.%2.%3.%4.%5.%6.%7.%8.%9"/>
      <w:lvlJc w:val="left"/>
      <w:pPr>
        <w:ind w:left="5861" w:hanging="1800"/>
      </w:pPr>
      <w:rPr>
        <w:rFonts w:hint="default"/>
      </w:rPr>
    </w:lvl>
  </w:abstractNum>
  <w:abstractNum w:abstractNumId="26">
    <w:nsid w:val="260250EE"/>
    <w:multiLevelType w:val="hybridMultilevel"/>
    <w:tmpl w:val="0226A2A2"/>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7D70BE7"/>
    <w:multiLevelType w:val="hybridMultilevel"/>
    <w:tmpl w:val="52BA37DA"/>
    <w:lvl w:ilvl="0" w:tplc="97946D0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27F34879"/>
    <w:multiLevelType w:val="hybridMultilevel"/>
    <w:tmpl w:val="15CEC1E4"/>
    <w:lvl w:ilvl="0" w:tplc="C21AE818">
      <w:start w:val="1"/>
      <w:numFmt w:val="decimal"/>
      <w:lvlText w:val="1.%1"/>
      <w:lvlJc w:val="left"/>
      <w:pPr>
        <w:ind w:left="248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280B5C0E"/>
    <w:multiLevelType w:val="hybridMultilevel"/>
    <w:tmpl w:val="8C84469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nsid w:val="28D817E0"/>
    <w:multiLevelType w:val="hybridMultilevel"/>
    <w:tmpl w:val="2DDC9D94"/>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291D0850"/>
    <w:multiLevelType w:val="hybridMultilevel"/>
    <w:tmpl w:val="0EDC499E"/>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nsid w:val="2D973945"/>
    <w:multiLevelType w:val="hybridMultilevel"/>
    <w:tmpl w:val="8DF67BB8"/>
    <w:lvl w:ilvl="0" w:tplc="14AA090E">
      <w:start w:val="1"/>
      <w:numFmt w:val="bullet"/>
      <w:lvlText w:val=""/>
      <w:lvlJc w:val="left"/>
      <w:pPr>
        <w:ind w:left="1077" w:hanging="360"/>
      </w:pPr>
      <w:rPr>
        <w:rFonts w:ascii="Symbol" w:hAnsi="Symbol" w:hint="default"/>
        <w:color w:val="0292DF" w:themeColor="accent1" w:themeShade="BF"/>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3">
    <w:nsid w:val="2F312458"/>
    <w:multiLevelType w:val="hybridMultilevel"/>
    <w:tmpl w:val="58D68D2E"/>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2F3C4F85"/>
    <w:multiLevelType w:val="hybridMultilevel"/>
    <w:tmpl w:val="52BA37DA"/>
    <w:lvl w:ilvl="0" w:tplc="97946D0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nsid w:val="31CB6756"/>
    <w:multiLevelType w:val="hybridMultilevel"/>
    <w:tmpl w:val="2C7E4AF4"/>
    <w:lvl w:ilvl="0" w:tplc="14AA090E">
      <w:start w:val="1"/>
      <w:numFmt w:val="bullet"/>
      <w:lvlText w:val=""/>
      <w:lvlJc w:val="left"/>
      <w:pPr>
        <w:ind w:left="1077" w:hanging="360"/>
      </w:pPr>
      <w:rPr>
        <w:rFonts w:ascii="Symbol" w:hAnsi="Symbol" w:hint="default"/>
        <w:color w:val="0292DF" w:themeColor="accent1" w:themeShade="BF"/>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6">
    <w:nsid w:val="32BD3C6D"/>
    <w:multiLevelType w:val="hybridMultilevel"/>
    <w:tmpl w:val="C7E2E2C4"/>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37">
    <w:nsid w:val="34085CD5"/>
    <w:multiLevelType w:val="multilevel"/>
    <w:tmpl w:val="57FA64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348D3F90"/>
    <w:multiLevelType w:val="hybridMultilevel"/>
    <w:tmpl w:val="7390FB6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35DB3FD2"/>
    <w:multiLevelType w:val="hybridMultilevel"/>
    <w:tmpl w:val="E3A495CC"/>
    <w:lvl w:ilvl="0" w:tplc="11FC651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36911252"/>
    <w:multiLevelType w:val="hybridMultilevel"/>
    <w:tmpl w:val="13A2961C"/>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1">
    <w:nsid w:val="36E77C93"/>
    <w:multiLevelType w:val="hybridMultilevel"/>
    <w:tmpl w:val="8C84469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nsid w:val="386C4DE4"/>
    <w:multiLevelType w:val="hybridMultilevel"/>
    <w:tmpl w:val="EA4E491E"/>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43">
    <w:nsid w:val="396A4461"/>
    <w:multiLevelType w:val="hybridMultilevel"/>
    <w:tmpl w:val="15F6FE9C"/>
    <w:lvl w:ilvl="0" w:tplc="14AA090E">
      <w:start w:val="1"/>
      <w:numFmt w:val="bullet"/>
      <w:lvlText w:val=""/>
      <w:lvlJc w:val="left"/>
      <w:pPr>
        <w:ind w:left="720" w:hanging="360"/>
      </w:pPr>
      <w:rPr>
        <w:rFonts w:ascii="Symbol" w:hAnsi="Symbol" w:hint="default"/>
        <w:color w:val="0292DF" w:themeColor="accent1" w:themeShade="BF"/>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4">
    <w:nsid w:val="3DB0566D"/>
    <w:multiLevelType w:val="hybridMultilevel"/>
    <w:tmpl w:val="BA421344"/>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3E480333"/>
    <w:multiLevelType w:val="hybridMultilevel"/>
    <w:tmpl w:val="C06C848C"/>
    <w:lvl w:ilvl="0" w:tplc="C7A0E180">
      <w:start w:val="1"/>
      <w:numFmt w:val="bullet"/>
      <w:lvlText w:val=""/>
      <w:lvlJc w:val="left"/>
      <w:pPr>
        <w:ind w:left="720" w:hanging="360"/>
      </w:pPr>
      <w:rPr>
        <w:rFonts w:ascii="Wingdings" w:hAnsi="Wingdings" w:hint="default"/>
        <w:color w:val="DB9E0B" w:themeColor="accent5" w:themeShade="BF"/>
        <w:sz w:val="20"/>
        <w:szCs w:val="22"/>
      </w:rPr>
    </w:lvl>
    <w:lvl w:ilvl="1" w:tplc="C7A0E180">
      <w:start w:val="1"/>
      <w:numFmt w:val="bullet"/>
      <w:lvlText w:val=""/>
      <w:lvlJc w:val="left"/>
      <w:pPr>
        <w:ind w:left="1440" w:hanging="360"/>
      </w:pPr>
      <w:rPr>
        <w:rFonts w:ascii="Wingdings" w:hAnsi="Wingdings" w:hint="default"/>
        <w:color w:val="DB9E0B" w:themeColor="accent5" w:themeShade="BF"/>
        <w:sz w:val="20"/>
        <w:szCs w:val="22"/>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nsid w:val="3F9C0D02"/>
    <w:multiLevelType w:val="hybridMultilevel"/>
    <w:tmpl w:val="52BA37DA"/>
    <w:lvl w:ilvl="0" w:tplc="97946D0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nsid w:val="3FAB54FA"/>
    <w:multiLevelType w:val="hybridMultilevel"/>
    <w:tmpl w:val="89EA5B22"/>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48">
    <w:nsid w:val="43834E0E"/>
    <w:multiLevelType w:val="hybridMultilevel"/>
    <w:tmpl w:val="69008EB8"/>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43FC6E83"/>
    <w:multiLevelType w:val="hybridMultilevel"/>
    <w:tmpl w:val="F80224A8"/>
    <w:lvl w:ilvl="0" w:tplc="A81E12AE">
      <w:start w:val="1"/>
      <w:numFmt w:val="decimal"/>
      <w:pStyle w:val="Nagwek21"/>
      <w:lvlText w:val="1.%1"/>
      <w:lvlJc w:val="left"/>
      <w:pPr>
        <w:ind w:left="1495" w:hanging="360"/>
      </w:pPr>
      <w:rPr>
        <w:rFonts w:hint="default"/>
      </w:r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50">
    <w:nsid w:val="497F54C2"/>
    <w:multiLevelType w:val="hybridMultilevel"/>
    <w:tmpl w:val="CA0CD2E0"/>
    <w:lvl w:ilvl="0" w:tplc="14AA090E">
      <w:start w:val="1"/>
      <w:numFmt w:val="bullet"/>
      <w:lvlText w:val=""/>
      <w:lvlJc w:val="left"/>
      <w:pPr>
        <w:ind w:left="1069" w:hanging="360"/>
      </w:pPr>
      <w:rPr>
        <w:rFonts w:ascii="Symbol" w:hAnsi="Symbol" w:hint="default"/>
        <w:color w:val="0292DF" w:themeColor="accent1" w:themeShade="BF"/>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51">
    <w:nsid w:val="4A2F3B78"/>
    <w:multiLevelType w:val="hybridMultilevel"/>
    <w:tmpl w:val="C4C41D56"/>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52">
    <w:nsid w:val="4BD15CC3"/>
    <w:multiLevelType w:val="hybridMultilevel"/>
    <w:tmpl w:val="F8D0E190"/>
    <w:lvl w:ilvl="0" w:tplc="AAE800D8">
      <w:start w:val="1"/>
      <w:numFmt w:val="decimal"/>
      <w:lvlText w:val="3.%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nsid w:val="4BDB5DD4"/>
    <w:multiLevelType w:val="hybridMultilevel"/>
    <w:tmpl w:val="D202207A"/>
    <w:lvl w:ilvl="0" w:tplc="11FC651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nsid w:val="4C1C2514"/>
    <w:multiLevelType w:val="hybridMultilevel"/>
    <w:tmpl w:val="8C84469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nsid w:val="4CE410B2"/>
    <w:multiLevelType w:val="hybridMultilevel"/>
    <w:tmpl w:val="77686228"/>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56">
    <w:nsid w:val="4CF06965"/>
    <w:multiLevelType w:val="hybridMultilevel"/>
    <w:tmpl w:val="430A24EE"/>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57">
    <w:nsid w:val="4D2D76E1"/>
    <w:multiLevelType w:val="hybridMultilevel"/>
    <w:tmpl w:val="E5E899E8"/>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58">
    <w:nsid w:val="4EC222E4"/>
    <w:multiLevelType w:val="hybridMultilevel"/>
    <w:tmpl w:val="52BA37DA"/>
    <w:lvl w:ilvl="0" w:tplc="97946D0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nsid w:val="4FF06226"/>
    <w:multiLevelType w:val="hybridMultilevel"/>
    <w:tmpl w:val="52BA37DA"/>
    <w:lvl w:ilvl="0" w:tplc="97946D0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51E16E89"/>
    <w:multiLevelType w:val="hybridMultilevel"/>
    <w:tmpl w:val="4CF820A0"/>
    <w:lvl w:ilvl="0" w:tplc="14AA090E">
      <w:start w:val="1"/>
      <w:numFmt w:val="bullet"/>
      <w:lvlText w:val=""/>
      <w:lvlJc w:val="left"/>
      <w:pPr>
        <w:ind w:left="720" w:hanging="360"/>
      </w:pPr>
      <w:rPr>
        <w:rFonts w:ascii="Symbol" w:hAnsi="Symbol" w:hint="default"/>
        <w:color w:val="0292DF" w:themeColor="accent1" w:themeShade="BF"/>
      </w:rPr>
    </w:lvl>
    <w:lvl w:ilvl="1" w:tplc="C7A0E180">
      <w:start w:val="1"/>
      <w:numFmt w:val="bullet"/>
      <w:lvlText w:val=""/>
      <w:lvlJc w:val="left"/>
      <w:pPr>
        <w:ind w:left="1440" w:hanging="360"/>
      </w:pPr>
      <w:rPr>
        <w:rFonts w:ascii="Wingdings" w:hAnsi="Wingdings" w:hint="default"/>
        <w:color w:val="DB9E0B" w:themeColor="accent5" w:themeShade="BF"/>
        <w:sz w:val="20"/>
        <w:szCs w:val="22"/>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nsid w:val="52153911"/>
    <w:multiLevelType w:val="hybridMultilevel"/>
    <w:tmpl w:val="6494D81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nsid w:val="526F34FC"/>
    <w:multiLevelType w:val="hybridMultilevel"/>
    <w:tmpl w:val="A8228E7E"/>
    <w:lvl w:ilvl="0" w:tplc="0415000F">
      <w:start w:val="1"/>
      <w:numFmt w:val="decimal"/>
      <w:lvlText w:val="%1."/>
      <w:lvlJc w:val="left"/>
      <w:pPr>
        <w:ind w:left="1230" w:hanging="360"/>
      </w:pPr>
    </w:lvl>
    <w:lvl w:ilvl="1" w:tplc="04150019" w:tentative="1">
      <w:start w:val="1"/>
      <w:numFmt w:val="lowerLetter"/>
      <w:lvlText w:val="%2."/>
      <w:lvlJc w:val="left"/>
      <w:pPr>
        <w:ind w:left="1950" w:hanging="360"/>
      </w:pPr>
    </w:lvl>
    <w:lvl w:ilvl="2" w:tplc="0415001B" w:tentative="1">
      <w:start w:val="1"/>
      <w:numFmt w:val="lowerRoman"/>
      <w:lvlText w:val="%3."/>
      <w:lvlJc w:val="right"/>
      <w:pPr>
        <w:ind w:left="2670" w:hanging="180"/>
      </w:pPr>
    </w:lvl>
    <w:lvl w:ilvl="3" w:tplc="0415000F" w:tentative="1">
      <w:start w:val="1"/>
      <w:numFmt w:val="decimal"/>
      <w:lvlText w:val="%4."/>
      <w:lvlJc w:val="left"/>
      <w:pPr>
        <w:ind w:left="3390" w:hanging="360"/>
      </w:pPr>
    </w:lvl>
    <w:lvl w:ilvl="4" w:tplc="04150019" w:tentative="1">
      <w:start w:val="1"/>
      <w:numFmt w:val="lowerLetter"/>
      <w:lvlText w:val="%5."/>
      <w:lvlJc w:val="left"/>
      <w:pPr>
        <w:ind w:left="4110" w:hanging="360"/>
      </w:pPr>
    </w:lvl>
    <w:lvl w:ilvl="5" w:tplc="0415001B" w:tentative="1">
      <w:start w:val="1"/>
      <w:numFmt w:val="lowerRoman"/>
      <w:lvlText w:val="%6."/>
      <w:lvlJc w:val="right"/>
      <w:pPr>
        <w:ind w:left="4830" w:hanging="180"/>
      </w:pPr>
    </w:lvl>
    <w:lvl w:ilvl="6" w:tplc="0415000F" w:tentative="1">
      <w:start w:val="1"/>
      <w:numFmt w:val="decimal"/>
      <w:lvlText w:val="%7."/>
      <w:lvlJc w:val="left"/>
      <w:pPr>
        <w:ind w:left="5550" w:hanging="360"/>
      </w:pPr>
    </w:lvl>
    <w:lvl w:ilvl="7" w:tplc="04150019" w:tentative="1">
      <w:start w:val="1"/>
      <w:numFmt w:val="lowerLetter"/>
      <w:lvlText w:val="%8."/>
      <w:lvlJc w:val="left"/>
      <w:pPr>
        <w:ind w:left="6270" w:hanging="360"/>
      </w:pPr>
    </w:lvl>
    <w:lvl w:ilvl="8" w:tplc="0415001B" w:tentative="1">
      <w:start w:val="1"/>
      <w:numFmt w:val="lowerRoman"/>
      <w:lvlText w:val="%9."/>
      <w:lvlJc w:val="right"/>
      <w:pPr>
        <w:ind w:left="6990" w:hanging="180"/>
      </w:pPr>
    </w:lvl>
  </w:abstractNum>
  <w:abstractNum w:abstractNumId="63">
    <w:nsid w:val="53C61884"/>
    <w:multiLevelType w:val="hybridMultilevel"/>
    <w:tmpl w:val="7E588230"/>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nsid w:val="57BA310B"/>
    <w:multiLevelType w:val="hybridMultilevel"/>
    <w:tmpl w:val="43D233F6"/>
    <w:lvl w:ilvl="0" w:tplc="04150001">
      <w:start w:val="1"/>
      <w:numFmt w:val="bullet"/>
      <w:lvlText w:val=""/>
      <w:lvlJc w:val="left"/>
      <w:pPr>
        <w:ind w:left="753" w:hanging="360"/>
      </w:pPr>
      <w:rPr>
        <w:rFonts w:ascii="Symbol" w:hAnsi="Symbol" w:hint="default"/>
      </w:rPr>
    </w:lvl>
    <w:lvl w:ilvl="1" w:tplc="04150003" w:tentative="1">
      <w:start w:val="1"/>
      <w:numFmt w:val="bullet"/>
      <w:lvlText w:val="o"/>
      <w:lvlJc w:val="left"/>
      <w:pPr>
        <w:ind w:left="1473" w:hanging="360"/>
      </w:pPr>
      <w:rPr>
        <w:rFonts w:ascii="Courier New" w:hAnsi="Courier New" w:cs="Courier New" w:hint="default"/>
      </w:rPr>
    </w:lvl>
    <w:lvl w:ilvl="2" w:tplc="04150005" w:tentative="1">
      <w:start w:val="1"/>
      <w:numFmt w:val="bullet"/>
      <w:lvlText w:val=""/>
      <w:lvlJc w:val="left"/>
      <w:pPr>
        <w:ind w:left="2193" w:hanging="360"/>
      </w:pPr>
      <w:rPr>
        <w:rFonts w:ascii="Wingdings" w:hAnsi="Wingdings" w:hint="default"/>
      </w:rPr>
    </w:lvl>
    <w:lvl w:ilvl="3" w:tplc="04150001" w:tentative="1">
      <w:start w:val="1"/>
      <w:numFmt w:val="bullet"/>
      <w:lvlText w:val=""/>
      <w:lvlJc w:val="left"/>
      <w:pPr>
        <w:ind w:left="2913" w:hanging="360"/>
      </w:pPr>
      <w:rPr>
        <w:rFonts w:ascii="Symbol" w:hAnsi="Symbol" w:hint="default"/>
      </w:rPr>
    </w:lvl>
    <w:lvl w:ilvl="4" w:tplc="04150003" w:tentative="1">
      <w:start w:val="1"/>
      <w:numFmt w:val="bullet"/>
      <w:lvlText w:val="o"/>
      <w:lvlJc w:val="left"/>
      <w:pPr>
        <w:ind w:left="3633" w:hanging="360"/>
      </w:pPr>
      <w:rPr>
        <w:rFonts w:ascii="Courier New" w:hAnsi="Courier New" w:cs="Courier New" w:hint="default"/>
      </w:rPr>
    </w:lvl>
    <w:lvl w:ilvl="5" w:tplc="04150005" w:tentative="1">
      <w:start w:val="1"/>
      <w:numFmt w:val="bullet"/>
      <w:lvlText w:val=""/>
      <w:lvlJc w:val="left"/>
      <w:pPr>
        <w:ind w:left="4353" w:hanging="360"/>
      </w:pPr>
      <w:rPr>
        <w:rFonts w:ascii="Wingdings" w:hAnsi="Wingdings" w:hint="default"/>
      </w:rPr>
    </w:lvl>
    <w:lvl w:ilvl="6" w:tplc="04150001" w:tentative="1">
      <w:start w:val="1"/>
      <w:numFmt w:val="bullet"/>
      <w:lvlText w:val=""/>
      <w:lvlJc w:val="left"/>
      <w:pPr>
        <w:ind w:left="5073" w:hanging="360"/>
      </w:pPr>
      <w:rPr>
        <w:rFonts w:ascii="Symbol" w:hAnsi="Symbol" w:hint="default"/>
      </w:rPr>
    </w:lvl>
    <w:lvl w:ilvl="7" w:tplc="04150003" w:tentative="1">
      <w:start w:val="1"/>
      <w:numFmt w:val="bullet"/>
      <w:lvlText w:val="o"/>
      <w:lvlJc w:val="left"/>
      <w:pPr>
        <w:ind w:left="5793" w:hanging="360"/>
      </w:pPr>
      <w:rPr>
        <w:rFonts w:ascii="Courier New" w:hAnsi="Courier New" w:cs="Courier New" w:hint="default"/>
      </w:rPr>
    </w:lvl>
    <w:lvl w:ilvl="8" w:tplc="04150005" w:tentative="1">
      <w:start w:val="1"/>
      <w:numFmt w:val="bullet"/>
      <w:lvlText w:val=""/>
      <w:lvlJc w:val="left"/>
      <w:pPr>
        <w:ind w:left="6513" w:hanging="360"/>
      </w:pPr>
      <w:rPr>
        <w:rFonts w:ascii="Wingdings" w:hAnsi="Wingdings" w:hint="default"/>
      </w:rPr>
    </w:lvl>
  </w:abstractNum>
  <w:abstractNum w:abstractNumId="65">
    <w:nsid w:val="57E414EE"/>
    <w:multiLevelType w:val="multilevel"/>
    <w:tmpl w:val="444C762C"/>
    <w:lvl w:ilvl="0">
      <w:start w:val="2"/>
      <w:numFmt w:val="decimal"/>
      <w:lvlText w:val="%1."/>
      <w:lvlJc w:val="left"/>
      <w:pPr>
        <w:ind w:left="720" w:hanging="360"/>
      </w:pPr>
      <w:rPr>
        <w:rFonts w:hint="default"/>
      </w:rPr>
    </w:lvl>
    <w:lvl w:ilvl="1">
      <w:start w:val="4"/>
      <w:numFmt w:val="decimal"/>
      <w:isLgl/>
      <w:lvlText w:val="%1.%2"/>
      <w:lvlJc w:val="left"/>
      <w:pPr>
        <w:ind w:left="870" w:hanging="360"/>
      </w:pPr>
      <w:rPr>
        <w:rFonts w:hint="default"/>
      </w:rPr>
    </w:lvl>
    <w:lvl w:ilvl="2">
      <w:start w:val="1"/>
      <w:numFmt w:val="decimal"/>
      <w:isLgl/>
      <w:lvlText w:val="%1.%2.%3"/>
      <w:lvlJc w:val="left"/>
      <w:pPr>
        <w:ind w:left="138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2040" w:hanging="1080"/>
      </w:pPr>
      <w:rPr>
        <w:rFonts w:hint="default"/>
      </w:rPr>
    </w:lvl>
    <w:lvl w:ilvl="5">
      <w:start w:val="1"/>
      <w:numFmt w:val="decimal"/>
      <w:isLgl/>
      <w:lvlText w:val="%1.%2.%3.%4.%5.%6"/>
      <w:lvlJc w:val="left"/>
      <w:pPr>
        <w:ind w:left="2190" w:hanging="1080"/>
      </w:pPr>
      <w:rPr>
        <w:rFonts w:hint="default"/>
      </w:rPr>
    </w:lvl>
    <w:lvl w:ilvl="6">
      <w:start w:val="1"/>
      <w:numFmt w:val="decimal"/>
      <w:isLgl/>
      <w:lvlText w:val="%1.%2.%3.%4.%5.%6.%7"/>
      <w:lvlJc w:val="left"/>
      <w:pPr>
        <w:ind w:left="2700" w:hanging="1440"/>
      </w:pPr>
      <w:rPr>
        <w:rFonts w:hint="default"/>
      </w:rPr>
    </w:lvl>
    <w:lvl w:ilvl="7">
      <w:start w:val="1"/>
      <w:numFmt w:val="decimal"/>
      <w:isLgl/>
      <w:lvlText w:val="%1.%2.%3.%4.%5.%6.%7.%8"/>
      <w:lvlJc w:val="left"/>
      <w:pPr>
        <w:ind w:left="2850" w:hanging="1440"/>
      </w:pPr>
      <w:rPr>
        <w:rFonts w:hint="default"/>
      </w:rPr>
    </w:lvl>
    <w:lvl w:ilvl="8">
      <w:start w:val="1"/>
      <w:numFmt w:val="decimal"/>
      <w:isLgl/>
      <w:lvlText w:val="%1.%2.%3.%4.%5.%6.%7.%8.%9"/>
      <w:lvlJc w:val="left"/>
      <w:pPr>
        <w:ind w:left="3000" w:hanging="1440"/>
      </w:pPr>
      <w:rPr>
        <w:rFonts w:hint="default"/>
      </w:rPr>
    </w:lvl>
  </w:abstractNum>
  <w:abstractNum w:abstractNumId="66">
    <w:nsid w:val="583070FC"/>
    <w:multiLevelType w:val="hybridMultilevel"/>
    <w:tmpl w:val="70F4D030"/>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67">
    <w:nsid w:val="583779CC"/>
    <w:multiLevelType w:val="hybridMultilevel"/>
    <w:tmpl w:val="9A16BCB0"/>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68">
    <w:nsid w:val="5875389A"/>
    <w:multiLevelType w:val="hybridMultilevel"/>
    <w:tmpl w:val="784EDC08"/>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58F628C5"/>
    <w:multiLevelType w:val="hybridMultilevel"/>
    <w:tmpl w:val="6F021E42"/>
    <w:lvl w:ilvl="0" w:tplc="97946D0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5AA5454D"/>
    <w:multiLevelType w:val="hybridMultilevel"/>
    <w:tmpl w:val="D9482622"/>
    <w:lvl w:ilvl="0" w:tplc="14AA090E">
      <w:start w:val="1"/>
      <w:numFmt w:val="bullet"/>
      <w:lvlText w:val=""/>
      <w:lvlJc w:val="left"/>
      <w:pPr>
        <w:ind w:left="1077" w:hanging="360"/>
      </w:pPr>
      <w:rPr>
        <w:rFonts w:ascii="Symbol" w:hAnsi="Symbol" w:hint="default"/>
        <w:color w:val="0292DF" w:themeColor="accent1" w:themeShade="BF"/>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71">
    <w:nsid w:val="5CEA368E"/>
    <w:multiLevelType w:val="hybridMultilevel"/>
    <w:tmpl w:val="2C285B08"/>
    <w:lvl w:ilvl="0" w:tplc="04150001">
      <w:start w:val="1"/>
      <w:numFmt w:val="bullet"/>
      <w:lvlText w:val=""/>
      <w:lvlJc w:val="left"/>
      <w:pPr>
        <w:ind w:left="1230" w:hanging="360"/>
      </w:pPr>
      <w:rPr>
        <w:rFonts w:ascii="Symbol" w:hAnsi="Symbol" w:hint="default"/>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72">
    <w:nsid w:val="5DFF5CD6"/>
    <w:multiLevelType w:val="hybridMultilevel"/>
    <w:tmpl w:val="52BA37DA"/>
    <w:lvl w:ilvl="0" w:tplc="97946D02">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3">
    <w:nsid w:val="5F381FE7"/>
    <w:multiLevelType w:val="hybridMultilevel"/>
    <w:tmpl w:val="8E8AD928"/>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74">
    <w:nsid w:val="60B42369"/>
    <w:multiLevelType w:val="hybridMultilevel"/>
    <w:tmpl w:val="5D223732"/>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75">
    <w:nsid w:val="61BC3867"/>
    <w:multiLevelType w:val="hybridMultilevel"/>
    <w:tmpl w:val="EACC489A"/>
    <w:lvl w:ilvl="0" w:tplc="94BC5D4C">
      <w:start w:val="1"/>
      <w:numFmt w:val="bullet"/>
      <w:lvlText w:val=""/>
      <w:lvlJc w:val="left"/>
      <w:pPr>
        <w:ind w:left="775" w:hanging="360"/>
      </w:pPr>
      <w:rPr>
        <w:rFonts w:ascii="Symbol" w:hAnsi="Symbol" w:hint="default"/>
      </w:rPr>
    </w:lvl>
    <w:lvl w:ilvl="1" w:tplc="04150003" w:tentative="1">
      <w:start w:val="1"/>
      <w:numFmt w:val="bullet"/>
      <w:lvlText w:val="o"/>
      <w:lvlJc w:val="left"/>
      <w:pPr>
        <w:ind w:left="1495" w:hanging="360"/>
      </w:pPr>
      <w:rPr>
        <w:rFonts w:ascii="Courier New" w:hAnsi="Courier New" w:cs="Courier New" w:hint="default"/>
      </w:rPr>
    </w:lvl>
    <w:lvl w:ilvl="2" w:tplc="04150005" w:tentative="1">
      <w:start w:val="1"/>
      <w:numFmt w:val="bullet"/>
      <w:lvlText w:val=""/>
      <w:lvlJc w:val="left"/>
      <w:pPr>
        <w:ind w:left="2215" w:hanging="360"/>
      </w:pPr>
      <w:rPr>
        <w:rFonts w:ascii="Wingdings" w:hAnsi="Wingdings" w:hint="default"/>
      </w:rPr>
    </w:lvl>
    <w:lvl w:ilvl="3" w:tplc="04150001" w:tentative="1">
      <w:start w:val="1"/>
      <w:numFmt w:val="bullet"/>
      <w:lvlText w:val=""/>
      <w:lvlJc w:val="left"/>
      <w:pPr>
        <w:ind w:left="2935" w:hanging="360"/>
      </w:pPr>
      <w:rPr>
        <w:rFonts w:ascii="Symbol" w:hAnsi="Symbol" w:hint="default"/>
      </w:rPr>
    </w:lvl>
    <w:lvl w:ilvl="4" w:tplc="04150003" w:tentative="1">
      <w:start w:val="1"/>
      <w:numFmt w:val="bullet"/>
      <w:lvlText w:val="o"/>
      <w:lvlJc w:val="left"/>
      <w:pPr>
        <w:ind w:left="3655" w:hanging="360"/>
      </w:pPr>
      <w:rPr>
        <w:rFonts w:ascii="Courier New" w:hAnsi="Courier New" w:cs="Courier New" w:hint="default"/>
      </w:rPr>
    </w:lvl>
    <w:lvl w:ilvl="5" w:tplc="04150005" w:tentative="1">
      <w:start w:val="1"/>
      <w:numFmt w:val="bullet"/>
      <w:lvlText w:val=""/>
      <w:lvlJc w:val="left"/>
      <w:pPr>
        <w:ind w:left="4375" w:hanging="360"/>
      </w:pPr>
      <w:rPr>
        <w:rFonts w:ascii="Wingdings" w:hAnsi="Wingdings" w:hint="default"/>
      </w:rPr>
    </w:lvl>
    <w:lvl w:ilvl="6" w:tplc="04150001" w:tentative="1">
      <w:start w:val="1"/>
      <w:numFmt w:val="bullet"/>
      <w:lvlText w:val=""/>
      <w:lvlJc w:val="left"/>
      <w:pPr>
        <w:ind w:left="5095" w:hanging="360"/>
      </w:pPr>
      <w:rPr>
        <w:rFonts w:ascii="Symbol" w:hAnsi="Symbol" w:hint="default"/>
      </w:rPr>
    </w:lvl>
    <w:lvl w:ilvl="7" w:tplc="04150003" w:tentative="1">
      <w:start w:val="1"/>
      <w:numFmt w:val="bullet"/>
      <w:lvlText w:val="o"/>
      <w:lvlJc w:val="left"/>
      <w:pPr>
        <w:ind w:left="5815" w:hanging="360"/>
      </w:pPr>
      <w:rPr>
        <w:rFonts w:ascii="Courier New" w:hAnsi="Courier New" w:cs="Courier New" w:hint="default"/>
      </w:rPr>
    </w:lvl>
    <w:lvl w:ilvl="8" w:tplc="04150005" w:tentative="1">
      <w:start w:val="1"/>
      <w:numFmt w:val="bullet"/>
      <w:lvlText w:val=""/>
      <w:lvlJc w:val="left"/>
      <w:pPr>
        <w:ind w:left="6535" w:hanging="360"/>
      </w:pPr>
      <w:rPr>
        <w:rFonts w:ascii="Wingdings" w:hAnsi="Wingdings" w:hint="default"/>
      </w:rPr>
    </w:lvl>
  </w:abstractNum>
  <w:abstractNum w:abstractNumId="76">
    <w:nsid w:val="625946CC"/>
    <w:multiLevelType w:val="hybridMultilevel"/>
    <w:tmpl w:val="E3A495CC"/>
    <w:lvl w:ilvl="0" w:tplc="11FC651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nsid w:val="634E7802"/>
    <w:multiLevelType w:val="hybridMultilevel"/>
    <w:tmpl w:val="20247A94"/>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nsid w:val="64112AC1"/>
    <w:multiLevelType w:val="hybridMultilevel"/>
    <w:tmpl w:val="B5E0D56E"/>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nsid w:val="66B206BB"/>
    <w:multiLevelType w:val="hybridMultilevel"/>
    <w:tmpl w:val="C5E6A268"/>
    <w:lvl w:ilvl="0" w:tplc="14AA090E">
      <w:start w:val="1"/>
      <w:numFmt w:val="bullet"/>
      <w:lvlText w:val=""/>
      <w:lvlJc w:val="left"/>
      <w:pPr>
        <w:ind w:left="1080" w:hanging="360"/>
      </w:pPr>
      <w:rPr>
        <w:rFonts w:ascii="Symbol" w:hAnsi="Symbol" w:hint="default"/>
        <w:color w:val="0292DF" w:themeColor="accent1" w:themeShade="BF"/>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0">
    <w:nsid w:val="6A6C7A24"/>
    <w:multiLevelType w:val="hybridMultilevel"/>
    <w:tmpl w:val="12BE892A"/>
    <w:lvl w:ilvl="0" w:tplc="14AA090E">
      <w:start w:val="1"/>
      <w:numFmt w:val="bullet"/>
      <w:lvlText w:val=""/>
      <w:lvlJc w:val="left"/>
      <w:pPr>
        <w:ind w:left="1230" w:hanging="360"/>
      </w:pPr>
      <w:rPr>
        <w:rFonts w:ascii="Symbol" w:hAnsi="Symbol" w:hint="default"/>
        <w:b/>
        <w:i w:val="0"/>
        <w:color w:val="0292DF" w:themeColor="accent1" w:themeShade="BF"/>
        <w:sz w:val="20"/>
        <w:szCs w:val="22"/>
        <w:u w:color="4584D3" w:themeColor="accent2"/>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81">
    <w:nsid w:val="6B586C5A"/>
    <w:multiLevelType w:val="hybridMultilevel"/>
    <w:tmpl w:val="2F786F14"/>
    <w:lvl w:ilvl="0" w:tplc="14AA090E">
      <w:start w:val="1"/>
      <w:numFmt w:val="bullet"/>
      <w:lvlText w:val=""/>
      <w:lvlJc w:val="left"/>
      <w:pPr>
        <w:ind w:left="1429" w:hanging="360"/>
      </w:pPr>
      <w:rPr>
        <w:rFonts w:ascii="Symbol" w:hAnsi="Symbol" w:hint="default"/>
        <w:color w:val="0292DF" w:themeColor="accent1" w:themeShade="BF"/>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82">
    <w:nsid w:val="6C426197"/>
    <w:multiLevelType w:val="hybridMultilevel"/>
    <w:tmpl w:val="3FFAEC42"/>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nsid w:val="6D424B97"/>
    <w:multiLevelType w:val="hybridMultilevel"/>
    <w:tmpl w:val="390CDAF0"/>
    <w:lvl w:ilvl="0" w:tplc="14AA090E">
      <w:start w:val="1"/>
      <w:numFmt w:val="bullet"/>
      <w:lvlText w:val=""/>
      <w:lvlJc w:val="left"/>
      <w:pPr>
        <w:ind w:left="720" w:hanging="360"/>
      </w:pPr>
      <w:rPr>
        <w:rFonts w:ascii="Symbol" w:hAnsi="Symbol" w:hint="default"/>
        <w:color w:val="0292DF"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nsid w:val="6F9B4DAB"/>
    <w:multiLevelType w:val="hybridMultilevel"/>
    <w:tmpl w:val="C968532C"/>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85">
    <w:nsid w:val="71477691"/>
    <w:multiLevelType w:val="hybridMultilevel"/>
    <w:tmpl w:val="51BC2C8C"/>
    <w:lvl w:ilvl="0" w:tplc="F3967F0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nsid w:val="7415244B"/>
    <w:multiLevelType w:val="hybridMultilevel"/>
    <w:tmpl w:val="16DC78FE"/>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87">
    <w:nsid w:val="772924FB"/>
    <w:multiLevelType w:val="hybridMultilevel"/>
    <w:tmpl w:val="0B3EA38C"/>
    <w:lvl w:ilvl="0" w:tplc="1B68CF66">
      <w:start w:val="4"/>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nsid w:val="7A8933B8"/>
    <w:multiLevelType w:val="hybridMultilevel"/>
    <w:tmpl w:val="97DC5D6C"/>
    <w:lvl w:ilvl="0" w:tplc="14AA090E">
      <w:start w:val="1"/>
      <w:numFmt w:val="bullet"/>
      <w:lvlText w:val=""/>
      <w:lvlJc w:val="left"/>
      <w:pPr>
        <w:ind w:left="1230" w:hanging="360"/>
      </w:pPr>
      <w:rPr>
        <w:rFonts w:ascii="Symbol" w:hAnsi="Symbol" w:hint="default"/>
        <w:color w:val="0292DF" w:themeColor="accent1" w:themeShade="BF"/>
      </w:rPr>
    </w:lvl>
    <w:lvl w:ilvl="1" w:tplc="04150003" w:tentative="1">
      <w:start w:val="1"/>
      <w:numFmt w:val="bullet"/>
      <w:lvlText w:val="o"/>
      <w:lvlJc w:val="left"/>
      <w:pPr>
        <w:ind w:left="1950" w:hanging="360"/>
      </w:pPr>
      <w:rPr>
        <w:rFonts w:ascii="Courier New" w:hAnsi="Courier New" w:cs="Courier New" w:hint="default"/>
      </w:rPr>
    </w:lvl>
    <w:lvl w:ilvl="2" w:tplc="04150005" w:tentative="1">
      <w:start w:val="1"/>
      <w:numFmt w:val="bullet"/>
      <w:lvlText w:val=""/>
      <w:lvlJc w:val="left"/>
      <w:pPr>
        <w:ind w:left="2670" w:hanging="360"/>
      </w:pPr>
      <w:rPr>
        <w:rFonts w:ascii="Wingdings" w:hAnsi="Wingdings" w:hint="default"/>
      </w:rPr>
    </w:lvl>
    <w:lvl w:ilvl="3" w:tplc="04150001" w:tentative="1">
      <w:start w:val="1"/>
      <w:numFmt w:val="bullet"/>
      <w:lvlText w:val=""/>
      <w:lvlJc w:val="left"/>
      <w:pPr>
        <w:ind w:left="3390" w:hanging="360"/>
      </w:pPr>
      <w:rPr>
        <w:rFonts w:ascii="Symbol" w:hAnsi="Symbol" w:hint="default"/>
      </w:rPr>
    </w:lvl>
    <w:lvl w:ilvl="4" w:tplc="04150003" w:tentative="1">
      <w:start w:val="1"/>
      <w:numFmt w:val="bullet"/>
      <w:lvlText w:val="o"/>
      <w:lvlJc w:val="left"/>
      <w:pPr>
        <w:ind w:left="4110" w:hanging="360"/>
      </w:pPr>
      <w:rPr>
        <w:rFonts w:ascii="Courier New" w:hAnsi="Courier New" w:cs="Courier New" w:hint="default"/>
      </w:rPr>
    </w:lvl>
    <w:lvl w:ilvl="5" w:tplc="04150005" w:tentative="1">
      <w:start w:val="1"/>
      <w:numFmt w:val="bullet"/>
      <w:lvlText w:val=""/>
      <w:lvlJc w:val="left"/>
      <w:pPr>
        <w:ind w:left="4830" w:hanging="360"/>
      </w:pPr>
      <w:rPr>
        <w:rFonts w:ascii="Wingdings" w:hAnsi="Wingdings" w:hint="default"/>
      </w:rPr>
    </w:lvl>
    <w:lvl w:ilvl="6" w:tplc="04150001" w:tentative="1">
      <w:start w:val="1"/>
      <w:numFmt w:val="bullet"/>
      <w:lvlText w:val=""/>
      <w:lvlJc w:val="left"/>
      <w:pPr>
        <w:ind w:left="5550" w:hanging="360"/>
      </w:pPr>
      <w:rPr>
        <w:rFonts w:ascii="Symbol" w:hAnsi="Symbol" w:hint="default"/>
      </w:rPr>
    </w:lvl>
    <w:lvl w:ilvl="7" w:tplc="04150003" w:tentative="1">
      <w:start w:val="1"/>
      <w:numFmt w:val="bullet"/>
      <w:lvlText w:val="o"/>
      <w:lvlJc w:val="left"/>
      <w:pPr>
        <w:ind w:left="6270" w:hanging="360"/>
      </w:pPr>
      <w:rPr>
        <w:rFonts w:ascii="Courier New" w:hAnsi="Courier New" w:cs="Courier New" w:hint="default"/>
      </w:rPr>
    </w:lvl>
    <w:lvl w:ilvl="8" w:tplc="04150005" w:tentative="1">
      <w:start w:val="1"/>
      <w:numFmt w:val="bullet"/>
      <w:lvlText w:val=""/>
      <w:lvlJc w:val="left"/>
      <w:pPr>
        <w:ind w:left="6990" w:hanging="360"/>
      </w:pPr>
      <w:rPr>
        <w:rFonts w:ascii="Wingdings" w:hAnsi="Wingdings" w:hint="default"/>
      </w:rPr>
    </w:lvl>
  </w:abstractNum>
  <w:abstractNum w:abstractNumId="89">
    <w:nsid w:val="7AAA2910"/>
    <w:multiLevelType w:val="hybridMultilevel"/>
    <w:tmpl w:val="2B9EB07C"/>
    <w:lvl w:ilvl="0" w:tplc="14AA090E">
      <w:start w:val="1"/>
      <w:numFmt w:val="bullet"/>
      <w:lvlText w:val=""/>
      <w:lvlJc w:val="left"/>
      <w:pPr>
        <w:ind w:left="1077" w:hanging="360"/>
      </w:pPr>
      <w:rPr>
        <w:rFonts w:ascii="Symbol" w:hAnsi="Symbol" w:hint="default"/>
        <w:color w:val="0292DF" w:themeColor="accent1" w:themeShade="BF"/>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num w:numId="1">
    <w:abstractNumId w:val="82"/>
  </w:num>
  <w:num w:numId="2">
    <w:abstractNumId w:val="25"/>
  </w:num>
  <w:num w:numId="3">
    <w:abstractNumId w:val="25"/>
    <w:lvlOverride w:ilvl="0">
      <w:startOverride w:val="1"/>
    </w:lvlOverride>
  </w:num>
  <w:num w:numId="4">
    <w:abstractNumId w:val="21"/>
  </w:num>
  <w:num w:numId="5">
    <w:abstractNumId w:val="4"/>
  </w:num>
  <w:num w:numId="6">
    <w:abstractNumId w:val="49"/>
  </w:num>
  <w:num w:numId="7">
    <w:abstractNumId w:val="25"/>
  </w:num>
  <w:num w:numId="8">
    <w:abstractNumId w:val="25"/>
    <w:lvlOverride w:ilvl="0">
      <w:startOverride w:val="6"/>
    </w:lvlOverride>
    <w:lvlOverride w:ilvl="1">
      <w:startOverride w:val="1"/>
    </w:lvlOverride>
  </w:num>
  <w:num w:numId="9">
    <w:abstractNumId w:val="48"/>
  </w:num>
  <w:num w:numId="10">
    <w:abstractNumId w:val="25"/>
    <w:lvlOverride w:ilvl="0">
      <w:startOverride w:val="2"/>
    </w:lvlOverride>
    <w:lvlOverride w:ilvl="1">
      <w:startOverride w:val="1"/>
    </w:lvlOverride>
  </w:num>
  <w:num w:numId="11">
    <w:abstractNumId w:val="63"/>
  </w:num>
  <w:num w:numId="12">
    <w:abstractNumId w:val="33"/>
  </w:num>
  <w:num w:numId="13">
    <w:abstractNumId w:val="68"/>
  </w:num>
  <w:num w:numId="14">
    <w:abstractNumId w:val="35"/>
  </w:num>
  <w:num w:numId="15">
    <w:abstractNumId w:val="44"/>
  </w:num>
  <w:num w:numId="16">
    <w:abstractNumId w:val="70"/>
  </w:num>
  <w:num w:numId="17">
    <w:abstractNumId w:val="10"/>
  </w:num>
  <w:num w:numId="18">
    <w:abstractNumId w:val="5"/>
  </w:num>
  <w:num w:numId="19">
    <w:abstractNumId w:val="69"/>
  </w:num>
  <w:num w:numId="20">
    <w:abstractNumId w:val="28"/>
  </w:num>
  <w:num w:numId="21">
    <w:abstractNumId w:val="13"/>
  </w:num>
  <w:num w:numId="22">
    <w:abstractNumId w:val="52"/>
  </w:num>
  <w:num w:numId="23">
    <w:abstractNumId w:val="2"/>
  </w:num>
  <w:num w:numId="24">
    <w:abstractNumId w:val="32"/>
  </w:num>
  <w:num w:numId="25">
    <w:abstractNumId w:val="74"/>
  </w:num>
  <w:num w:numId="26">
    <w:abstractNumId w:val="67"/>
  </w:num>
  <w:num w:numId="27">
    <w:abstractNumId w:val="60"/>
  </w:num>
  <w:num w:numId="28">
    <w:abstractNumId w:val="45"/>
  </w:num>
  <w:num w:numId="29">
    <w:abstractNumId w:val="24"/>
  </w:num>
  <w:num w:numId="30">
    <w:abstractNumId w:val="14"/>
  </w:num>
  <w:num w:numId="31">
    <w:abstractNumId w:val="1"/>
  </w:num>
  <w:num w:numId="32">
    <w:abstractNumId w:val="77"/>
  </w:num>
  <w:num w:numId="33">
    <w:abstractNumId w:val="50"/>
  </w:num>
  <w:num w:numId="34">
    <w:abstractNumId w:val="26"/>
  </w:num>
  <w:num w:numId="35">
    <w:abstractNumId w:val="36"/>
  </w:num>
  <w:num w:numId="36">
    <w:abstractNumId w:val="30"/>
  </w:num>
  <w:num w:numId="37">
    <w:abstractNumId w:val="16"/>
  </w:num>
  <w:num w:numId="38">
    <w:abstractNumId w:val="89"/>
  </w:num>
  <w:num w:numId="39">
    <w:abstractNumId w:val="9"/>
  </w:num>
  <w:num w:numId="40">
    <w:abstractNumId w:val="85"/>
  </w:num>
  <w:num w:numId="41">
    <w:abstractNumId w:val="18"/>
  </w:num>
  <w:num w:numId="42">
    <w:abstractNumId w:val="47"/>
  </w:num>
  <w:num w:numId="43">
    <w:abstractNumId w:val="42"/>
  </w:num>
  <w:num w:numId="44">
    <w:abstractNumId w:val="88"/>
  </w:num>
  <w:num w:numId="45">
    <w:abstractNumId w:val="19"/>
  </w:num>
  <w:num w:numId="46">
    <w:abstractNumId w:val="25"/>
    <w:lvlOverride w:ilvl="0">
      <w:startOverride w:val="5"/>
    </w:lvlOverride>
    <w:lvlOverride w:ilvl="1">
      <w:startOverride w:val="3"/>
    </w:lvlOverride>
  </w:num>
  <w:num w:numId="47">
    <w:abstractNumId w:val="57"/>
  </w:num>
  <w:num w:numId="48">
    <w:abstractNumId w:val="86"/>
  </w:num>
  <w:num w:numId="49">
    <w:abstractNumId w:val="20"/>
  </w:num>
  <w:num w:numId="50">
    <w:abstractNumId w:val="0"/>
  </w:num>
  <w:num w:numId="51">
    <w:abstractNumId w:val="31"/>
  </w:num>
  <w:num w:numId="52">
    <w:abstractNumId w:val="56"/>
  </w:num>
  <w:num w:numId="53">
    <w:abstractNumId w:val="51"/>
  </w:num>
  <w:num w:numId="54">
    <w:abstractNumId w:val="66"/>
  </w:num>
  <w:num w:numId="55">
    <w:abstractNumId w:val="25"/>
  </w:num>
  <w:num w:numId="56">
    <w:abstractNumId w:val="55"/>
  </w:num>
  <w:num w:numId="57">
    <w:abstractNumId w:val="78"/>
  </w:num>
  <w:num w:numId="58">
    <w:abstractNumId w:val="22"/>
  </w:num>
  <w:num w:numId="59">
    <w:abstractNumId w:val="73"/>
  </w:num>
  <w:num w:numId="60">
    <w:abstractNumId w:val="84"/>
  </w:num>
  <w:num w:numId="61">
    <w:abstractNumId w:val="65"/>
  </w:num>
  <w:num w:numId="62">
    <w:abstractNumId w:val="59"/>
  </w:num>
  <w:num w:numId="63">
    <w:abstractNumId w:val="46"/>
  </w:num>
  <w:num w:numId="64">
    <w:abstractNumId w:val="72"/>
  </w:num>
  <w:num w:numId="65">
    <w:abstractNumId w:val="43"/>
  </w:num>
  <w:num w:numId="66">
    <w:abstractNumId w:val="8"/>
  </w:num>
  <w:num w:numId="67">
    <w:abstractNumId w:val="79"/>
  </w:num>
  <w:num w:numId="68">
    <w:abstractNumId w:val="7"/>
  </w:num>
  <w:num w:numId="69">
    <w:abstractNumId w:val="6"/>
  </w:num>
  <w:num w:numId="70">
    <w:abstractNumId w:val="34"/>
  </w:num>
  <w:num w:numId="71">
    <w:abstractNumId w:val="58"/>
  </w:num>
  <w:num w:numId="72">
    <w:abstractNumId w:val="27"/>
  </w:num>
  <w:num w:numId="73">
    <w:abstractNumId w:val="3"/>
  </w:num>
  <w:num w:numId="74">
    <w:abstractNumId w:val="76"/>
  </w:num>
  <w:num w:numId="75">
    <w:abstractNumId w:val="39"/>
  </w:num>
  <w:num w:numId="76">
    <w:abstractNumId w:val="53"/>
  </w:num>
  <w:num w:numId="77">
    <w:abstractNumId w:val="17"/>
  </w:num>
  <w:num w:numId="78">
    <w:abstractNumId w:val="23"/>
  </w:num>
  <w:num w:numId="79">
    <w:abstractNumId w:val="80"/>
  </w:num>
  <w:num w:numId="80">
    <w:abstractNumId w:val="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2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87"/>
  </w:num>
  <w:num w:numId="83">
    <w:abstractNumId w:val="62"/>
  </w:num>
  <w:num w:numId="84">
    <w:abstractNumId w:val="64"/>
  </w:num>
  <w:num w:numId="85">
    <w:abstractNumId w:val="83"/>
  </w:num>
  <w:num w:numId="86">
    <w:abstractNumId w:val="38"/>
  </w:num>
  <w:num w:numId="87">
    <w:abstractNumId w:val="54"/>
  </w:num>
  <w:num w:numId="88">
    <w:abstractNumId w:val="29"/>
  </w:num>
  <w:num w:numId="89">
    <w:abstractNumId w:val="15"/>
  </w:num>
  <w:num w:numId="90">
    <w:abstractNumId w:val="41"/>
  </w:num>
  <w:num w:numId="91">
    <w:abstractNumId w:val="40"/>
  </w:num>
  <w:num w:numId="92">
    <w:abstractNumId w:val="37"/>
  </w:num>
  <w:num w:numId="93">
    <w:abstractNumId w:val="12"/>
  </w:num>
  <w:num w:numId="94">
    <w:abstractNumId w:val="61"/>
  </w:num>
  <w:num w:numId="95">
    <w:abstractNumId w:val="81"/>
  </w:num>
  <w:num w:numId="96">
    <w:abstractNumId w:val="71"/>
  </w:num>
  <w:num w:numId="97">
    <w:abstractNumId w:val="11"/>
  </w:num>
  <w:num w:numId="98">
    <w:abstractNumId w:val="75"/>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170"/>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20BC"/>
    <w:rsid w:val="0000018D"/>
    <w:rsid w:val="000001A6"/>
    <w:rsid w:val="00000822"/>
    <w:rsid w:val="00000C95"/>
    <w:rsid w:val="0000103B"/>
    <w:rsid w:val="00001168"/>
    <w:rsid w:val="00001431"/>
    <w:rsid w:val="000016C7"/>
    <w:rsid w:val="00001A64"/>
    <w:rsid w:val="00001D5C"/>
    <w:rsid w:val="00002AF3"/>
    <w:rsid w:val="00003342"/>
    <w:rsid w:val="00003F41"/>
    <w:rsid w:val="00004037"/>
    <w:rsid w:val="00004132"/>
    <w:rsid w:val="0000430B"/>
    <w:rsid w:val="000045C2"/>
    <w:rsid w:val="0000467D"/>
    <w:rsid w:val="00004756"/>
    <w:rsid w:val="00004DDF"/>
    <w:rsid w:val="00004E5B"/>
    <w:rsid w:val="00005488"/>
    <w:rsid w:val="000054B7"/>
    <w:rsid w:val="00005DA1"/>
    <w:rsid w:val="00005F31"/>
    <w:rsid w:val="00006AA5"/>
    <w:rsid w:val="000072A7"/>
    <w:rsid w:val="00007461"/>
    <w:rsid w:val="00007690"/>
    <w:rsid w:val="000079A2"/>
    <w:rsid w:val="00007A26"/>
    <w:rsid w:val="00010140"/>
    <w:rsid w:val="00010233"/>
    <w:rsid w:val="00010B11"/>
    <w:rsid w:val="00010E9B"/>
    <w:rsid w:val="00011107"/>
    <w:rsid w:val="000111BB"/>
    <w:rsid w:val="0001142C"/>
    <w:rsid w:val="00011486"/>
    <w:rsid w:val="000114D9"/>
    <w:rsid w:val="000116F7"/>
    <w:rsid w:val="0001171B"/>
    <w:rsid w:val="00011821"/>
    <w:rsid w:val="000119AF"/>
    <w:rsid w:val="00011C53"/>
    <w:rsid w:val="00011CDB"/>
    <w:rsid w:val="00011DFD"/>
    <w:rsid w:val="00012201"/>
    <w:rsid w:val="0001226A"/>
    <w:rsid w:val="00012752"/>
    <w:rsid w:val="00013371"/>
    <w:rsid w:val="00013989"/>
    <w:rsid w:val="00014D11"/>
    <w:rsid w:val="000153D2"/>
    <w:rsid w:val="000154AF"/>
    <w:rsid w:val="0001585F"/>
    <w:rsid w:val="00015C7B"/>
    <w:rsid w:val="00015D0A"/>
    <w:rsid w:val="00015FD4"/>
    <w:rsid w:val="0001635C"/>
    <w:rsid w:val="000169B8"/>
    <w:rsid w:val="00016CA8"/>
    <w:rsid w:val="00016FE5"/>
    <w:rsid w:val="000176FC"/>
    <w:rsid w:val="00017AE7"/>
    <w:rsid w:val="00021038"/>
    <w:rsid w:val="0002197E"/>
    <w:rsid w:val="00021B2B"/>
    <w:rsid w:val="00022885"/>
    <w:rsid w:val="000228C9"/>
    <w:rsid w:val="00023102"/>
    <w:rsid w:val="000232A4"/>
    <w:rsid w:val="00023C2B"/>
    <w:rsid w:val="00023E8D"/>
    <w:rsid w:val="000243A0"/>
    <w:rsid w:val="000243A7"/>
    <w:rsid w:val="0002490D"/>
    <w:rsid w:val="00025D87"/>
    <w:rsid w:val="00025F98"/>
    <w:rsid w:val="00026169"/>
    <w:rsid w:val="000266C5"/>
    <w:rsid w:val="0002700F"/>
    <w:rsid w:val="000274E1"/>
    <w:rsid w:val="000274FC"/>
    <w:rsid w:val="00027AD4"/>
    <w:rsid w:val="00030018"/>
    <w:rsid w:val="0003048E"/>
    <w:rsid w:val="00030882"/>
    <w:rsid w:val="00030B50"/>
    <w:rsid w:val="00031420"/>
    <w:rsid w:val="000314EE"/>
    <w:rsid w:val="000319E2"/>
    <w:rsid w:val="00031A68"/>
    <w:rsid w:val="00031E4E"/>
    <w:rsid w:val="00032223"/>
    <w:rsid w:val="000328C5"/>
    <w:rsid w:val="0003370F"/>
    <w:rsid w:val="0003374D"/>
    <w:rsid w:val="00033A13"/>
    <w:rsid w:val="00033F01"/>
    <w:rsid w:val="000344AB"/>
    <w:rsid w:val="00034984"/>
    <w:rsid w:val="00034C01"/>
    <w:rsid w:val="0003535C"/>
    <w:rsid w:val="000357C0"/>
    <w:rsid w:val="00035B85"/>
    <w:rsid w:val="00035CA0"/>
    <w:rsid w:val="00035D35"/>
    <w:rsid w:val="00035E07"/>
    <w:rsid w:val="000368AC"/>
    <w:rsid w:val="000368F9"/>
    <w:rsid w:val="00036920"/>
    <w:rsid w:val="00036A88"/>
    <w:rsid w:val="00036CBB"/>
    <w:rsid w:val="0003747F"/>
    <w:rsid w:val="00037A14"/>
    <w:rsid w:val="00037C6B"/>
    <w:rsid w:val="00037D9A"/>
    <w:rsid w:val="00037DA6"/>
    <w:rsid w:val="00037E30"/>
    <w:rsid w:val="00040F79"/>
    <w:rsid w:val="00041301"/>
    <w:rsid w:val="000415CF"/>
    <w:rsid w:val="0004187C"/>
    <w:rsid w:val="00041B44"/>
    <w:rsid w:val="00041C83"/>
    <w:rsid w:val="00041DB8"/>
    <w:rsid w:val="00041EE9"/>
    <w:rsid w:val="00041FB9"/>
    <w:rsid w:val="0004227F"/>
    <w:rsid w:val="00042991"/>
    <w:rsid w:val="00042E49"/>
    <w:rsid w:val="00043194"/>
    <w:rsid w:val="000433E2"/>
    <w:rsid w:val="000435E9"/>
    <w:rsid w:val="00043FDE"/>
    <w:rsid w:val="00044013"/>
    <w:rsid w:val="0004405E"/>
    <w:rsid w:val="00044F59"/>
    <w:rsid w:val="0004504C"/>
    <w:rsid w:val="000451EE"/>
    <w:rsid w:val="0004651C"/>
    <w:rsid w:val="00046965"/>
    <w:rsid w:val="00046980"/>
    <w:rsid w:val="00046BC8"/>
    <w:rsid w:val="00046EEA"/>
    <w:rsid w:val="00047167"/>
    <w:rsid w:val="00047220"/>
    <w:rsid w:val="000473B4"/>
    <w:rsid w:val="00047615"/>
    <w:rsid w:val="000476B6"/>
    <w:rsid w:val="0004792D"/>
    <w:rsid w:val="000501EB"/>
    <w:rsid w:val="0005046E"/>
    <w:rsid w:val="0005073E"/>
    <w:rsid w:val="0005076D"/>
    <w:rsid w:val="00051128"/>
    <w:rsid w:val="000512C6"/>
    <w:rsid w:val="000517EB"/>
    <w:rsid w:val="000525D9"/>
    <w:rsid w:val="0005271F"/>
    <w:rsid w:val="00052CFA"/>
    <w:rsid w:val="00053409"/>
    <w:rsid w:val="00053F90"/>
    <w:rsid w:val="0005405F"/>
    <w:rsid w:val="000540C6"/>
    <w:rsid w:val="00054592"/>
    <w:rsid w:val="0005461E"/>
    <w:rsid w:val="00054B8E"/>
    <w:rsid w:val="00054D14"/>
    <w:rsid w:val="000556EE"/>
    <w:rsid w:val="00055861"/>
    <w:rsid w:val="00055CE4"/>
    <w:rsid w:val="00055D62"/>
    <w:rsid w:val="00055FA3"/>
    <w:rsid w:val="00056085"/>
    <w:rsid w:val="000569B5"/>
    <w:rsid w:val="00056E70"/>
    <w:rsid w:val="00057154"/>
    <w:rsid w:val="00057237"/>
    <w:rsid w:val="00057239"/>
    <w:rsid w:val="0005792E"/>
    <w:rsid w:val="00057958"/>
    <w:rsid w:val="00057A1F"/>
    <w:rsid w:val="00057B09"/>
    <w:rsid w:val="000603E7"/>
    <w:rsid w:val="00060546"/>
    <w:rsid w:val="00060D27"/>
    <w:rsid w:val="00061072"/>
    <w:rsid w:val="00061206"/>
    <w:rsid w:val="00061671"/>
    <w:rsid w:val="000620BD"/>
    <w:rsid w:val="000623C4"/>
    <w:rsid w:val="00062607"/>
    <w:rsid w:val="000630CC"/>
    <w:rsid w:val="00063E7B"/>
    <w:rsid w:val="00063F55"/>
    <w:rsid w:val="00064032"/>
    <w:rsid w:val="0006411B"/>
    <w:rsid w:val="00064150"/>
    <w:rsid w:val="00064199"/>
    <w:rsid w:val="00064269"/>
    <w:rsid w:val="000645AD"/>
    <w:rsid w:val="00064600"/>
    <w:rsid w:val="000647CC"/>
    <w:rsid w:val="00064815"/>
    <w:rsid w:val="000658E7"/>
    <w:rsid w:val="000660E8"/>
    <w:rsid w:val="00066121"/>
    <w:rsid w:val="0006628B"/>
    <w:rsid w:val="00066DC4"/>
    <w:rsid w:val="00066EDD"/>
    <w:rsid w:val="000671ED"/>
    <w:rsid w:val="00067292"/>
    <w:rsid w:val="0006748C"/>
    <w:rsid w:val="000675D5"/>
    <w:rsid w:val="00067786"/>
    <w:rsid w:val="000701D4"/>
    <w:rsid w:val="00070949"/>
    <w:rsid w:val="00070D1D"/>
    <w:rsid w:val="0007101F"/>
    <w:rsid w:val="00071B35"/>
    <w:rsid w:val="00071FC5"/>
    <w:rsid w:val="000721A1"/>
    <w:rsid w:val="00072595"/>
    <w:rsid w:val="0007274E"/>
    <w:rsid w:val="00072881"/>
    <w:rsid w:val="000729A9"/>
    <w:rsid w:val="00072A4F"/>
    <w:rsid w:val="00072AE8"/>
    <w:rsid w:val="00072B1C"/>
    <w:rsid w:val="00072BB6"/>
    <w:rsid w:val="00073107"/>
    <w:rsid w:val="000731E7"/>
    <w:rsid w:val="000734C4"/>
    <w:rsid w:val="00073808"/>
    <w:rsid w:val="0007454D"/>
    <w:rsid w:val="00074851"/>
    <w:rsid w:val="00074DAD"/>
    <w:rsid w:val="00075598"/>
    <w:rsid w:val="0007587C"/>
    <w:rsid w:val="00075C9F"/>
    <w:rsid w:val="00075D2E"/>
    <w:rsid w:val="0007677B"/>
    <w:rsid w:val="00076BFD"/>
    <w:rsid w:val="000800F1"/>
    <w:rsid w:val="00080187"/>
    <w:rsid w:val="00080728"/>
    <w:rsid w:val="000810BF"/>
    <w:rsid w:val="000815F4"/>
    <w:rsid w:val="000820D1"/>
    <w:rsid w:val="00082A66"/>
    <w:rsid w:val="00082F57"/>
    <w:rsid w:val="00083D53"/>
    <w:rsid w:val="0008423A"/>
    <w:rsid w:val="00084573"/>
    <w:rsid w:val="00084EF8"/>
    <w:rsid w:val="0008535C"/>
    <w:rsid w:val="00085787"/>
    <w:rsid w:val="000857D8"/>
    <w:rsid w:val="00085CC4"/>
    <w:rsid w:val="000862B3"/>
    <w:rsid w:val="000863D2"/>
    <w:rsid w:val="00086EF5"/>
    <w:rsid w:val="00086F70"/>
    <w:rsid w:val="00087096"/>
    <w:rsid w:val="00087B1D"/>
    <w:rsid w:val="00087CC1"/>
    <w:rsid w:val="000903AF"/>
    <w:rsid w:val="00090B78"/>
    <w:rsid w:val="00090C55"/>
    <w:rsid w:val="0009110F"/>
    <w:rsid w:val="00092125"/>
    <w:rsid w:val="0009229D"/>
    <w:rsid w:val="000929F2"/>
    <w:rsid w:val="00092ED6"/>
    <w:rsid w:val="00093031"/>
    <w:rsid w:val="00094BE7"/>
    <w:rsid w:val="00094CC4"/>
    <w:rsid w:val="000950E3"/>
    <w:rsid w:val="00095297"/>
    <w:rsid w:val="00095590"/>
    <w:rsid w:val="0009588A"/>
    <w:rsid w:val="00095AA7"/>
    <w:rsid w:val="0009670D"/>
    <w:rsid w:val="00096885"/>
    <w:rsid w:val="00096BB2"/>
    <w:rsid w:val="00096EF7"/>
    <w:rsid w:val="0009737C"/>
    <w:rsid w:val="000975F7"/>
    <w:rsid w:val="00097D26"/>
    <w:rsid w:val="00097F29"/>
    <w:rsid w:val="000A0008"/>
    <w:rsid w:val="000A0779"/>
    <w:rsid w:val="000A11F4"/>
    <w:rsid w:val="000A1324"/>
    <w:rsid w:val="000A166B"/>
    <w:rsid w:val="000A230D"/>
    <w:rsid w:val="000A273E"/>
    <w:rsid w:val="000A29B3"/>
    <w:rsid w:val="000A2E8F"/>
    <w:rsid w:val="000A2EB9"/>
    <w:rsid w:val="000A352D"/>
    <w:rsid w:val="000A356D"/>
    <w:rsid w:val="000A4344"/>
    <w:rsid w:val="000A4D71"/>
    <w:rsid w:val="000A5A58"/>
    <w:rsid w:val="000A625D"/>
    <w:rsid w:val="000A6261"/>
    <w:rsid w:val="000A6336"/>
    <w:rsid w:val="000A6CB6"/>
    <w:rsid w:val="000A6D1D"/>
    <w:rsid w:val="000A72D0"/>
    <w:rsid w:val="000A7E07"/>
    <w:rsid w:val="000B05B3"/>
    <w:rsid w:val="000B0A89"/>
    <w:rsid w:val="000B0D92"/>
    <w:rsid w:val="000B0E2B"/>
    <w:rsid w:val="000B0F82"/>
    <w:rsid w:val="000B123F"/>
    <w:rsid w:val="000B14E8"/>
    <w:rsid w:val="000B1A2D"/>
    <w:rsid w:val="000B1DB6"/>
    <w:rsid w:val="000B200A"/>
    <w:rsid w:val="000B248C"/>
    <w:rsid w:val="000B2555"/>
    <w:rsid w:val="000B3171"/>
    <w:rsid w:val="000B3174"/>
    <w:rsid w:val="000B3485"/>
    <w:rsid w:val="000B3681"/>
    <w:rsid w:val="000B3727"/>
    <w:rsid w:val="000B3896"/>
    <w:rsid w:val="000B40E4"/>
    <w:rsid w:val="000B4710"/>
    <w:rsid w:val="000B4A9E"/>
    <w:rsid w:val="000B525A"/>
    <w:rsid w:val="000B53F7"/>
    <w:rsid w:val="000B61D4"/>
    <w:rsid w:val="000B6BB5"/>
    <w:rsid w:val="000B6E7E"/>
    <w:rsid w:val="000B6EBD"/>
    <w:rsid w:val="000B7067"/>
    <w:rsid w:val="000B7473"/>
    <w:rsid w:val="000B74FE"/>
    <w:rsid w:val="000B7E42"/>
    <w:rsid w:val="000C08C5"/>
    <w:rsid w:val="000C0B7E"/>
    <w:rsid w:val="000C0F8F"/>
    <w:rsid w:val="000C1250"/>
    <w:rsid w:val="000C1320"/>
    <w:rsid w:val="000C141C"/>
    <w:rsid w:val="000C17A6"/>
    <w:rsid w:val="000C1DDF"/>
    <w:rsid w:val="000C2839"/>
    <w:rsid w:val="000C28FA"/>
    <w:rsid w:val="000C2C1B"/>
    <w:rsid w:val="000C2C61"/>
    <w:rsid w:val="000C2D29"/>
    <w:rsid w:val="000C2F23"/>
    <w:rsid w:val="000C2FDB"/>
    <w:rsid w:val="000C38B3"/>
    <w:rsid w:val="000C3B23"/>
    <w:rsid w:val="000C5306"/>
    <w:rsid w:val="000C5DF1"/>
    <w:rsid w:val="000C5FF8"/>
    <w:rsid w:val="000C608D"/>
    <w:rsid w:val="000C66D1"/>
    <w:rsid w:val="000C6B1D"/>
    <w:rsid w:val="000C78ED"/>
    <w:rsid w:val="000C7C4A"/>
    <w:rsid w:val="000C7EF2"/>
    <w:rsid w:val="000D00D7"/>
    <w:rsid w:val="000D060D"/>
    <w:rsid w:val="000D0800"/>
    <w:rsid w:val="000D0D06"/>
    <w:rsid w:val="000D1564"/>
    <w:rsid w:val="000D163D"/>
    <w:rsid w:val="000D165A"/>
    <w:rsid w:val="000D16C7"/>
    <w:rsid w:val="000D19F7"/>
    <w:rsid w:val="000D1AC4"/>
    <w:rsid w:val="000D1DA1"/>
    <w:rsid w:val="000D1E34"/>
    <w:rsid w:val="000D23C2"/>
    <w:rsid w:val="000D2F89"/>
    <w:rsid w:val="000D350E"/>
    <w:rsid w:val="000D37B7"/>
    <w:rsid w:val="000D3FBD"/>
    <w:rsid w:val="000D47E9"/>
    <w:rsid w:val="000D4E8D"/>
    <w:rsid w:val="000D504E"/>
    <w:rsid w:val="000D5DBB"/>
    <w:rsid w:val="000D617E"/>
    <w:rsid w:val="000D664F"/>
    <w:rsid w:val="000D6969"/>
    <w:rsid w:val="000D6FDD"/>
    <w:rsid w:val="000D7233"/>
    <w:rsid w:val="000D7566"/>
    <w:rsid w:val="000D7651"/>
    <w:rsid w:val="000D7737"/>
    <w:rsid w:val="000D7CB8"/>
    <w:rsid w:val="000D7F0C"/>
    <w:rsid w:val="000E0C88"/>
    <w:rsid w:val="000E0EF6"/>
    <w:rsid w:val="000E1174"/>
    <w:rsid w:val="000E15C0"/>
    <w:rsid w:val="000E1A6B"/>
    <w:rsid w:val="000E1C1D"/>
    <w:rsid w:val="000E1F7B"/>
    <w:rsid w:val="000E2313"/>
    <w:rsid w:val="000E2960"/>
    <w:rsid w:val="000E2ECD"/>
    <w:rsid w:val="000E2EF6"/>
    <w:rsid w:val="000E3033"/>
    <w:rsid w:val="000E33BC"/>
    <w:rsid w:val="000E37B8"/>
    <w:rsid w:val="000E38B7"/>
    <w:rsid w:val="000E39B4"/>
    <w:rsid w:val="000E3BBE"/>
    <w:rsid w:val="000E40C9"/>
    <w:rsid w:val="000E4608"/>
    <w:rsid w:val="000E487F"/>
    <w:rsid w:val="000E49C8"/>
    <w:rsid w:val="000E4CB3"/>
    <w:rsid w:val="000E4E7F"/>
    <w:rsid w:val="000E55CF"/>
    <w:rsid w:val="000E6256"/>
    <w:rsid w:val="000E66F8"/>
    <w:rsid w:val="000E681F"/>
    <w:rsid w:val="000E69C0"/>
    <w:rsid w:val="000E7186"/>
    <w:rsid w:val="000F092F"/>
    <w:rsid w:val="000F121D"/>
    <w:rsid w:val="000F1273"/>
    <w:rsid w:val="000F1370"/>
    <w:rsid w:val="000F1392"/>
    <w:rsid w:val="000F17B9"/>
    <w:rsid w:val="000F20DA"/>
    <w:rsid w:val="000F20F4"/>
    <w:rsid w:val="000F23ED"/>
    <w:rsid w:val="000F24D7"/>
    <w:rsid w:val="000F27A6"/>
    <w:rsid w:val="000F27F2"/>
    <w:rsid w:val="000F29CE"/>
    <w:rsid w:val="000F2EC0"/>
    <w:rsid w:val="000F351D"/>
    <w:rsid w:val="000F35E1"/>
    <w:rsid w:val="000F37B0"/>
    <w:rsid w:val="000F3BBA"/>
    <w:rsid w:val="000F40BF"/>
    <w:rsid w:val="000F4785"/>
    <w:rsid w:val="000F50DC"/>
    <w:rsid w:val="000F5AFB"/>
    <w:rsid w:val="000F5DA1"/>
    <w:rsid w:val="000F5F65"/>
    <w:rsid w:val="000F60F5"/>
    <w:rsid w:val="000F611B"/>
    <w:rsid w:val="000F66C2"/>
    <w:rsid w:val="000F692F"/>
    <w:rsid w:val="000F7706"/>
    <w:rsid w:val="000F7B96"/>
    <w:rsid w:val="000F7BC7"/>
    <w:rsid w:val="000F7C38"/>
    <w:rsid w:val="000F7E80"/>
    <w:rsid w:val="000F7FA5"/>
    <w:rsid w:val="001004E7"/>
    <w:rsid w:val="00100801"/>
    <w:rsid w:val="00100905"/>
    <w:rsid w:val="00101A39"/>
    <w:rsid w:val="001020C1"/>
    <w:rsid w:val="001020CE"/>
    <w:rsid w:val="0010236D"/>
    <w:rsid w:val="0010272D"/>
    <w:rsid w:val="001027D7"/>
    <w:rsid w:val="001029F7"/>
    <w:rsid w:val="00102A13"/>
    <w:rsid w:val="00102B81"/>
    <w:rsid w:val="00103FA3"/>
    <w:rsid w:val="00104670"/>
    <w:rsid w:val="00104E15"/>
    <w:rsid w:val="00104EE0"/>
    <w:rsid w:val="00105F12"/>
    <w:rsid w:val="001061B1"/>
    <w:rsid w:val="00106791"/>
    <w:rsid w:val="001067E7"/>
    <w:rsid w:val="00106A1D"/>
    <w:rsid w:val="00106B56"/>
    <w:rsid w:val="00106FB7"/>
    <w:rsid w:val="0010712A"/>
    <w:rsid w:val="00107898"/>
    <w:rsid w:val="00107AA8"/>
    <w:rsid w:val="001102DA"/>
    <w:rsid w:val="0011071D"/>
    <w:rsid w:val="0011087F"/>
    <w:rsid w:val="00111D86"/>
    <w:rsid w:val="00111E12"/>
    <w:rsid w:val="00111E15"/>
    <w:rsid w:val="00112211"/>
    <w:rsid w:val="001129F7"/>
    <w:rsid w:val="00112E0A"/>
    <w:rsid w:val="00112F31"/>
    <w:rsid w:val="00112F50"/>
    <w:rsid w:val="00112FC3"/>
    <w:rsid w:val="00113348"/>
    <w:rsid w:val="00113DFB"/>
    <w:rsid w:val="00114160"/>
    <w:rsid w:val="001144BD"/>
    <w:rsid w:val="00114758"/>
    <w:rsid w:val="00114F74"/>
    <w:rsid w:val="001156B6"/>
    <w:rsid w:val="00115D2C"/>
    <w:rsid w:val="001160CD"/>
    <w:rsid w:val="0011659A"/>
    <w:rsid w:val="00116826"/>
    <w:rsid w:val="00116A59"/>
    <w:rsid w:val="00116AB3"/>
    <w:rsid w:val="00116F04"/>
    <w:rsid w:val="00120292"/>
    <w:rsid w:val="00120BC7"/>
    <w:rsid w:val="00120E69"/>
    <w:rsid w:val="00122B28"/>
    <w:rsid w:val="00122CC3"/>
    <w:rsid w:val="00122E9C"/>
    <w:rsid w:val="0012310D"/>
    <w:rsid w:val="00123391"/>
    <w:rsid w:val="0012352F"/>
    <w:rsid w:val="001237E7"/>
    <w:rsid w:val="00123EEF"/>
    <w:rsid w:val="001245FF"/>
    <w:rsid w:val="001249CF"/>
    <w:rsid w:val="00124F1B"/>
    <w:rsid w:val="00124FE6"/>
    <w:rsid w:val="00125020"/>
    <w:rsid w:val="001250DF"/>
    <w:rsid w:val="0012596F"/>
    <w:rsid w:val="00125D21"/>
    <w:rsid w:val="00125E89"/>
    <w:rsid w:val="00126099"/>
    <w:rsid w:val="00126334"/>
    <w:rsid w:val="001269B0"/>
    <w:rsid w:val="00126D20"/>
    <w:rsid w:val="001272DA"/>
    <w:rsid w:val="00127390"/>
    <w:rsid w:val="00127A9E"/>
    <w:rsid w:val="00127BAE"/>
    <w:rsid w:val="00127BDF"/>
    <w:rsid w:val="001305CF"/>
    <w:rsid w:val="00130639"/>
    <w:rsid w:val="0013113A"/>
    <w:rsid w:val="00131243"/>
    <w:rsid w:val="00131713"/>
    <w:rsid w:val="00131B1F"/>
    <w:rsid w:val="00131CCA"/>
    <w:rsid w:val="00132386"/>
    <w:rsid w:val="001327EA"/>
    <w:rsid w:val="00132864"/>
    <w:rsid w:val="00132E83"/>
    <w:rsid w:val="00132FEA"/>
    <w:rsid w:val="00133212"/>
    <w:rsid w:val="00134C70"/>
    <w:rsid w:val="0013584D"/>
    <w:rsid w:val="001359C0"/>
    <w:rsid w:val="00135C7B"/>
    <w:rsid w:val="00135DE0"/>
    <w:rsid w:val="001360F0"/>
    <w:rsid w:val="00136863"/>
    <w:rsid w:val="0013699C"/>
    <w:rsid w:val="001369BA"/>
    <w:rsid w:val="00136F57"/>
    <w:rsid w:val="001373DB"/>
    <w:rsid w:val="001376C6"/>
    <w:rsid w:val="00137730"/>
    <w:rsid w:val="00137AC0"/>
    <w:rsid w:val="00137CC9"/>
    <w:rsid w:val="001405EC"/>
    <w:rsid w:val="00140CC6"/>
    <w:rsid w:val="00141807"/>
    <w:rsid w:val="001423F4"/>
    <w:rsid w:val="0014285B"/>
    <w:rsid w:val="00142BB4"/>
    <w:rsid w:val="00142E29"/>
    <w:rsid w:val="00143A3A"/>
    <w:rsid w:val="0014403B"/>
    <w:rsid w:val="00144491"/>
    <w:rsid w:val="00144AE2"/>
    <w:rsid w:val="0014518B"/>
    <w:rsid w:val="001452E8"/>
    <w:rsid w:val="001460E4"/>
    <w:rsid w:val="001462F1"/>
    <w:rsid w:val="0014644E"/>
    <w:rsid w:val="0014653F"/>
    <w:rsid w:val="0014655F"/>
    <w:rsid w:val="00146B92"/>
    <w:rsid w:val="001471E2"/>
    <w:rsid w:val="00147C21"/>
    <w:rsid w:val="00147E8E"/>
    <w:rsid w:val="00150530"/>
    <w:rsid w:val="0015138A"/>
    <w:rsid w:val="00151714"/>
    <w:rsid w:val="00151747"/>
    <w:rsid w:val="0015184A"/>
    <w:rsid w:val="00151DC9"/>
    <w:rsid w:val="001522A4"/>
    <w:rsid w:val="001523EF"/>
    <w:rsid w:val="00152441"/>
    <w:rsid w:val="00152C0E"/>
    <w:rsid w:val="00152D57"/>
    <w:rsid w:val="00153AF2"/>
    <w:rsid w:val="00153E65"/>
    <w:rsid w:val="00154435"/>
    <w:rsid w:val="00154671"/>
    <w:rsid w:val="0015529D"/>
    <w:rsid w:val="00155781"/>
    <w:rsid w:val="00155938"/>
    <w:rsid w:val="00155B7E"/>
    <w:rsid w:val="00155D9B"/>
    <w:rsid w:val="001560F7"/>
    <w:rsid w:val="0015621B"/>
    <w:rsid w:val="00156F1E"/>
    <w:rsid w:val="0015744C"/>
    <w:rsid w:val="00157545"/>
    <w:rsid w:val="00157588"/>
    <w:rsid w:val="001601A3"/>
    <w:rsid w:val="00160204"/>
    <w:rsid w:val="0016043D"/>
    <w:rsid w:val="00160544"/>
    <w:rsid w:val="001609D1"/>
    <w:rsid w:val="00160AF9"/>
    <w:rsid w:val="00160D80"/>
    <w:rsid w:val="00160DAD"/>
    <w:rsid w:val="00160F94"/>
    <w:rsid w:val="00161F10"/>
    <w:rsid w:val="001625BA"/>
    <w:rsid w:val="00162C44"/>
    <w:rsid w:val="001632C8"/>
    <w:rsid w:val="00163438"/>
    <w:rsid w:val="001634D0"/>
    <w:rsid w:val="00163727"/>
    <w:rsid w:val="00164407"/>
    <w:rsid w:val="00164B0B"/>
    <w:rsid w:val="001654B4"/>
    <w:rsid w:val="001654EB"/>
    <w:rsid w:val="00165B51"/>
    <w:rsid w:val="00165C7A"/>
    <w:rsid w:val="00166102"/>
    <w:rsid w:val="001667C4"/>
    <w:rsid w:val="00166C8B"/>
    <w:rsid w:val="00166E7A"/>
    <w:rsid w:val="00167395"/>
    <w:rsid w:val="001673DB"/>
    <w:rsid w:val="001673DC"/>
    <w:rsid w:val="001673E8"/>
    <w:rsid w:val="0016764D"/>
    <w:rsid w:val="0016775A"/>
    <w:rsid w:val="001678D3"/>
    <w:rsid w:val="0017023E"/>
    <w:rsid w:val="0017052F"/>
    <w:rsid w:val="001706BE"/>
    <w:rsid w:val="001708B5"/>
    <w:rsid w:val="00170C19"/>
    <w:rsid w:val="00170CE0"/>
    <w:rsid w:val="00170DB6"/>
    <w:rsid w:val="00170EB7"/>
    <w:rsid w:val="00171375"/>
    <w:rsid w:val="00171384"/>
    <w:rsid w:val="001713B0"/>
    <w:rsid w:val="001714AC"/>
    <w:rsid w:val="00171B62"/>
    <w:rsid w:val="00171BF8"/>
    <w:rsid w:val="001727C7"/>
    <w:rsid w:val="00172B98"/>
    <w:rsid w:val="00172BD8"/>
    <w:rsid w:val="001738A3"/>
    <w:rsid w:val="001738BE"/>
    <w:rsid w:val="00173C8E"/>
    <w:rsid w:val="00173EB5"/>
    <w:rsid w:val="00174031"/>
    <w:rsid w:val="001742D3"/>
    <w:rsid w:val="001743FA"/>
    <w:rsid w:val="001748B2"/>
    <w:rsid w:val="001748D8"/>
    <w:rsid w:val="00174B1A"/>
    <w:rsid w:val="00175357"/>
    <w:rsid w:val="0017582D"/>
    <w:rsid w:val="00175A87"/>
    <w:rsid w:val="00176434"/>
    <w:rsid w:val="00176928"/>
    <w:rsid w:val="00176958"/>
    <w:rsid w:val="00177108"/>
    <w:rsid w:val="00177972"/>
    <w:rsid w:val="00177E78"/>
    <w:rsid w:val="00180313"/>
    <w:rsid w:val="00180E37"/>
    <w:rsid w:val="001814DE"/>
    <w:rsid w:val="00181A96"/>
    <w:rsid w:val="00181E2D"/>
    <w:rsid w:val="0018367C"/>
    <w:rsid w:val="00184283"/>
    <w:rsid w:val="00184A1D"/>
    <w:rsid w:val="00186376"/>
    <w:rsid w:val="00186594"/>
    <w:rsid w:val="0018686F"/>
    <w:rsid w:val="00186F09"/>
    <w:rsid w:val="001874BD"/>
    <w:rsid w:val="00187772"/>
    <w:rsid w:val="00187B18"/>
    <w:rsid w:val="00187E38"/>
    <w:rsid w:val="001904ED"/>
    <w:rsid w:val="0019067A"/>
    <w:rsid w:val="00190E3F"/>
    <w:rsid w:val="001910BF"/>
    <w:rsid w:val="001917C8"/>
    <w:rsid w:val="001918A9"/>
    <w:rsid w:val="00191AA0"/>
    <w:rsid w:val="001924A2"/>
    <w:rsid w:val="00192733"/>
    <w:rsid w:val="001929B6"/>
    <w:rsid w:val="00192CB4"/>
    <w:rsid w:val="00192EDF"/>
    <w:rsid w:val="00192EEB"/>
    <w:rsid w:val="00192FCA"/>
    <w:rsid w:val="001934A9"/>
    <w:rsid w:val="00193553"/>
    <w:rsid w:val="0019357C"/>
    <w:rsid w:val="00193AC2"/>
    <w:rsid w:val="00193F6D"/>
    <w:rsid w:val="00194443"/>
    <w:rsid w:val="00194D41"/>
    <w:rsid w:val="0019545B"/>
    <w:rsid w:val="00195B88"/>
    <w:rsid w:val="00195BC8"/>
    <w:rsid w:val="00195E06"/>
    <w:rsid w:val="001960D2"/>
    <w:rsid w:val="0019638C"/>
    <w:rsid w:val="001965A8"/>
    <w:rsid w:val="00196830"/>
    <w:rsid w:val="00196835"/>
    <w:rsid w:val="00196891"/>
    <w:rsid w:val="00196D16"/>
    <w:rsid w:val="00196EDB"/>
    <w:rsid w:val="00197060"/>
    <w:rsid w:val="00197853"/>
    <w:rsid w:val="001A0002"/>
    <w:rsid w:val="001A0035"/>
    <w:rsid w:val="001A02D4"/>
    <w:rsid w:val="001A0DA6"/>
    <w:rsid w:val="001A1313"/>
    <w:rsid w:val="001A1458"/>
    <w:rsid w:val="001A183D"/>
    <w:rsid w:val="001A21E7"/>
    <w:rsid w:val="001A23B3"/>
    <w:rsid w:val="001A27C1"/>
    <w:rsid w:val="001A288B"/>
    <w:rsid w:val="001A329F"/>
    <w:rsid w:val="001A3717"/>
    <w:rsid w:val="001A39FB"/>
    <w:rsid w:val="001A3B71"/>
    <w:rsid w:val="001A4113"/>
    <w:rsid w:val="001A4340"/>
    <w:rsid w:val="001A47FE"/>
    <w:rsid w:val="001A48AA"/>
    <w:rsid w:val="001A4E51"/>
    <w:rsid w:val="001A4FBA"/>
    <w:rsid w:val="001A518A"/>
    <w:rsid w:val="001A5284"/>
    <w:rsid w:val="001A5C53"/>
    <w:rsid w:val="001A5CA9"/>
    <w:rsid w:val="001A5F1E"/>
    <w:rsid w:val="001A6C6E"/>
    <w:rsid w:val="001A75EF"/>
    <w:rsid w:val="001A7899"/>
    <w:rsid w:val="001A797B"/>
    <w:rsid w:val="001A7C35"/>
    <w:rsid w:val="001A7EA2"/>
    <w:rsid w:val="001B06C2"/>
    <w:rsid w:val="001B08BE"/>
    <w:rsid w:val="001B0BBD"/>
    <w:rsid w:val="001B0E9C"/>
    <w:rsid w:val="001B304E"/>
    <w:rsid w:val="001B401B"/>
    <w:rsid w:val="001B4455"/>
    <w:rsid w:val="001B57CE"/>
    <w:rsid w:val="001B57E4"/>
    <w:rsid w:val="001B5F0C"/>
    <w:rsid w:val="001B5F86"/>
    <w:rsid w:val="001B65FB"/>
    <w:rsid w:val="001B6696"/>
    <w:rsid w:val="001B6CCB"/>
    <w:rsid w:val="001B73D7"/>
    <w:rsid w:val="001B7823"/>
    <w:rsid w:val="001B7F3E"/>
    <w:rsid w:val="001C0270"/>
    <w:rsid w:val="001C0A08"/>
    <w:rsid w:val="001C0B23"/>
    <w:rsid w:val="001C0EF1"/>
    <w:rsid w:val="001C13AC"/>
    <w:rsid w:val="001C1435"/>
    <w:rsid w:val="001C14C4"/>
    <w:rsid w:val="001C1792"/>
    <w:rsid w:val="001C186E"/>
    <w:rsid w:val="001C23C8"/>
    <w:rsid w:val="001C27E8"/>
    <w:rsid w:val="001C29D0"/>
    <w:rsid w:val="001C2A17"/>
    <w:rsid w:val="001C2ABC"/>
    <w:rsid w:val="001C2CCC"/>
    <w:rsid w:val="001C343F"/>
    <w:rsid w:val="001C3AB9"/>
    <w:rsid w:val="001C3E39"/>
    <w:rsid w:val="001C3EB3"/>
    <w:rsid w:val="001C42AB"/>
    <w:rsid w:val="001C48C2"/>
    <w:rsid w:val="001C4B8A"/>
    <w:rsid w:val="001C4DE0"/>
    <w:rsid w:val="001C55F9"/>
    <w:rsid w:val="001C5B73"/>
    <w:rsid w:val="001C5C09"/>
    <w:rsid w:val="001C5DBE"/>
    <w:rsid w:val="001C5EB0"/>
    <w:rsid w:val="001C60F4"/>
    <w:rsid w:val="001C680E"/>
    <w:rsid w:val="001C6DF7"/>
    <w:rsid w:val="001C723D"/>
    <w:rsid w:val="001C7467"/>
    <w:rsid w:val="001C7569"/>
    <w:rsid w:val="001C76E1"/>
    <w:rsid w:val="001C773F"/>
    <w:rsid w:val="001C7DC8"/>
    <w:rsid w:val="001D0593"/>
    <w:rsid w:val="001D08BF"/>
    <w:rsid w:val="001D0BA0"/>
    <w:rsid w:val="001D0BC4"/>
    <w:rsid w:val="001D1847"/>
    <w:rsid w:val="001D1AC1"/>
    <w:rsid w:val="001D203C"/>
    <w:rsid w:val="001D25AA"/>
    <w:rsid w:val="001D2BDC"/>
    <w:rsid w:val="001D2DC1"/>
    <w:rsid w:val="001D31CB"/>
    <w:rsid w:val="001D401E"/>
    <w:rsid w:val="001D4037"/>
    <w:rsid w:val="001D41D2"/>
    <w:rsid w:val="001D4952"/>
    <w:rsid w:val="001D4A11"/>
    <w:rsid w:val="001D4A6D"/>
    <w:rsid w:val="001D4CB9"/>
    <w:rsid w:val="001D5002"/>
    <w:rsid w:val="001D5005"/>
    <w:rsid w:val="001D514B"/>
    <w:rsid w:val="001D5D74"/>
    <w:rsid w:val="001D618D"/>
    <w:rsid w:val="001D6A8F"/>
    <w:rsid w:val="001D6E20"/>
    <w:rsid w:val="001D7087"/>
    <w:rsid w:val="001D759C"/>
    <w:rsid w:val="001E06BA"/>
    <w:rsid w:val="001E0703"/>
    <w:rsid w:val="001E15F9"/>
    <w:rsid w:val="001E202C"/>
    <w:rsid w:val="001E2247"/>
    <w:rsid w:val="001E22C1"/>
    <w:rsid w:val="001E312E"/>
    <w:rsid w:val="001E378D"/>
    <w:rsid w:val="001E3807"/>
    <w:rsid w:val="001E3E8F"/>
    <w:rsid w:val="001E4608"/>
    <w:rsid w:val="001E4871"/>
    <w:rsid w:val="001E500D"/>
    <w:rsid w:val="001E55B9"/>
    <w:rsid w:val="001E597D"/>
    <w:rsid w:val="001E61A7"/>
    <w:rsid w:val="001E637E"/>
    <w:rsid w:val="001E7AAF"/>
    <w:rsid w:val="001E7F38"/>
    <w:rsid w:val="001F03BE"/>
    <w:rsid w:val="001F12FE"/>
    <w:rsid w:val="001F189A"/>
    <w:rsid w:val="001F23A8"/>
    <w:rsid w:val="001F27DE"/>
    <w:rsid w:val="001F2964"/>
    <w:rsid w:val="001F3006"/>
    <w:rsid w:val="001F3103"/>
    <w:rsid w:val="001F313C"/>
    <w:rsid w:val="001F316D"/>
    <w:rsid w:val="001F3730"/>
    <w:rsid w:val="001F38C2"/>
    <w:rsid w:val="001F3C88"/>
    <w:rsid w:val="001F3DF0"/>
    <w:rsid w:val="001F4166"/>
    <w:rsid w:val="001F43B8"/>
    <w:rsid w:val="001F44FD"/>
    <w:rsid w:val="001F47E4"/>
    <w:rsid w:val="001F57BC"/>
    <w:rsid w:val="001F5DE8"/>
    <w:rsid w:val="001F64B8"/>
    <w:rsid w:val="001F6525"/>
    <w:rsid w:val="001F6922"/>
    <w:rsid w:val="001F7D03"/>
    <w:rsid w:val="002000FE"/>
    <w:rsid w:val="00200CE4"/>
    <w:rsid w:val="00201A4B"/>
    <w:rsid w:val="0020210A"/>
    <w:rsid w:val="0020281F"/>
    <w:rsid w:val="002029CD"/>
    <w:rsid w:val="00202A9A"/>
    <w:rsid w:val="00202EF7"/>
    <w:rsid w:val="00203A68"/>
    <w:rsid w:val="00203A70"/>
    <w:rsid w:val="00203B3D"/>
    <w:rsid w:val="00204366"/>
    <w:rsid w:val="002048C5"/>
    <w:rsid w:val="00204D66"/>
    <w:rsid w:val="00204F23"/>
    <w:rsid w:val="002051CB"/>
    <w:rsid w:val="00205738"/>
    <w:rsid w:val="00205B54"/>
    <w:rsid w:val="00205E76"/>
    <w:rsid w:val="00206094"/>
    <w:rsid w:val="002064A4"/>
    <w:rsid w:val="002065D9"/>
    <w:rsid w:val="0020697F"/>
    <w:rsid w:val="00206BC7"/>
    <w:rsid w:val="00206D3C"/>
    <w:rsid w:val="00207A15"/>
    <w:rsid w:val="00207D9B"/>
    <w:rsid w:val="00211135"/>
    <w:rsid w:val="00211466"/>
    <w:rsid w:val="002115AF"/>
    <w:rsid w:val="0021183B"/>
    <w:rsid w:val="00211A21"/>
    <w:rsid w:val="00211AE7"/>
    <w:rsid w:val="002124E5"/>
    <w:rsid w:val="00212539"/>
    <w:rsid w:val="00212790"/>
    <w:rsid w:val="002128EB"/>
    <w:rsid w:val="00212968"/>
    <w:rsid w:val="002129C9"/>
    <w:rsid w:val="00212B23"/>
    <w:rsid w:val="002138E1"/>
    <w:rsid w:val="00213F66"/>
    <w:rsid w:val="0021401F"/>
    <w:rsid w:val="00214432"/>
    <w:rsid w:val="00214FE9"/>
    <w:rsid w:val="00215652"/>
    <w:rsid w:val="00215B50"/>
    <w:rsid w:val="0021611D"/>
    <w:rsid w:val="00216C80"/>
    <w:rsid w:val="00216C9E"/>
    <w:rsid w:val="00216F0D"/>
    <w:rsid w:val="002171F2"/>
    <w:rsid w:val="0021755F"/>
    <w:rsid w:val="0021775C"/>
    <w:rsid w:val="00217C36"/>
    <w:rsid w:val="00217D73"/>
    <w:rsid w:val="00220554"/>
    <w:rsid w:val="0022062E"/>
    <w:rsid w:val="002210C2"/>
    <w:rsid w:val="002215B6"/>
    <w:rsid w:val="00221CFD"/>
    <w:rsid w:val="00222158"/>
    <w:rsid w:val="002221D4"/>
    <w:rsid w:val="002225A5"/>
    <w:rsid w:val="00222629"/>
    <w:rsid w:val="00222999"/>
    <w:rsid w:val="00222B44"/>
    <w:rsid w:val="002231DE"/>
    <w:rsid w:val="00223368"/>
    <w:rsid w:val="002235B2"/>
    <w:rsid w:val="002237AB"/>
    <w:rsid w:val="0022424B"/>
    <w:rsid w:val="002243AA"/>
    <w:rsid w:val="002243B9"/>
    <w:rsid w:val="00224473"/>
    <w:rsid w:val="00224594"/>
    <w:rsid w:val="00224A6B"/>
    <w:rsid w:val="00224A75"/>
    <w:rsid w:val="00224E20"/>
    <w:rsid w:val="00224E69"/>
    <w:rsid w:val="00224ECA"/>
    <w:rsid w:val="0022550C"/>
    <w:rsid w:val="00225643"/>
    <w:rsid w:val="00225D13"/>
    <w:rsid w:val="00225E46"/>
    <w:rsid w:val="00225FA5"/>
    <w:rsid w:val="00226036"/>
    <w:rsid w:val="0022657A"/>
    <w:rsid w:val="00226898"/>
    <w:rsid w:val="00227A78"/>
    <w:rsid w:val="00227F6F"/>
    <w:rsid w:val="00230012"/>
    <w:rsid w:val="00230097"/>
    <w:rsid w:val="002301C5"/>
    <w:rsid w:val="002306AA"/>
    <w:rsid w:val="00230904"/>
    <w:rsid w:val="00230A2E"/>
    <w:rsid w:val="0023234F"/>
    <w:rsid w:val="002329C7"/>
    <w:rsid w:val="00233E53"/>
    <w:rsid w:val="00234EA4"/>
    <w:rsid w:val="0023517B"/>
    <w:rsid w:val="002356B2"/>
    <w:rsid w:val="002356C5"/>
    <w:rsid w:val="00235AA4"/>
    <w:rsid w:val="00236E9F"/>
    <w:rsid w:val="0023739B"/>
    <w:rsid w:val="00237447"/>
    <w:rsid w:val="00237AA2"/>
    <w:rsid w:val="00240348"/>
    <w:rsid w:val="00240527"/>
    <w:rsid w:val="00240552"/>
    <w:rsid w:val="0024055B"/>
    <w:rsid w:val="002409DC"/>
    <w:rsid w:val="00240C64"/>
    <w:rsid w:val="002410DD"/>
    <w:rsid w:val="00241308"/>
    <w:rsid w:val="002415DA"/>
    <w:rsid w:val="0024178F"/>
    <w:rsid w:val="00241A80"/>
    <w:rsid w:val="00241E66"/>
    <w:rsid w:val="00241FB4"/>
    <w:rsid w:val="002426AA"/>
    <w:rsid w:val="002427EB"/>
    <w:rsid w:val="00242B86"/>
    <w:rsid w:val="00242F4C"/>
    <w:rsid w:val="002430D5"/>
    <w:rsid w:val="0024340A"/>
    <w:rsid w:val="002436FE"/>
    <w:rsid w:val="00243941"/>
    <w:rsid w:val="00243A42"/>
    <w:rsid w:val="00243AEE"/>
    <w:rsid w:val="00243DBB"/>
    <w:rsid w:val="002441D5"/>
    <w:rsid w:val="00244B82"/>
    <w:rsid w:val="00244BFD"/>
    <w:rsid w:val="00244C05"/>
    <w:rsid w:val="002454BD"/>
    <w:rsid w:val="00245971"/>
    <w:rsid w:val="00245EBD"/>
    <w:rsid w:val="00245F02"/>
    <w:rsid w:val="00246C25"/>
    <w:rsid w:val="00246CF3"/>
    <w:rsid w:val="002470FD"/>
    <w:rsid w:val="002471BB"/>
    <w:rsid w:val="00247405"/>
    <w:rsid w:val="00247850"/>
    <w:rsid w:val="00247A3F"/>
    <w:rsid w:val="00250125"/>
    <w:rsid w:val="002503DC"/>
    <w:rsid w:val="00250498"/>
    <w:rsid w:val="002505F2"/>
    <w:rsid w:val="002509B4"/>
    <w:rsid w:val="00250A19"/>
    <w:rsid w:val="00251A46"/>
    <w:rsid w:val="00251EA3"/>
    <w:rsid w:val="0025208E"/>
    <w:rsid w:val="002520B6"/>
    <w:rsid w:val="00252723"/>
    <w:rsid w:val="00253317"/>
    <w:rsid w:val="00253821"/>
    <w:rsid w:val="00253A8A"/>
    <w:rsid w:val="00253B68"/>
    <w:rsid w:val="002541BF"/>
    <w:rsid w:val="00255312"/>
    <w:rsid w:val="00255A36"/>
    <w:rsid w:val="00255CA8"/>
    <w:rsid w:val="002567D4"/>
    <w:rsid w:val="00256894"/>
    <w:rsid w:val="002568D9"/>
    <w:rsid w:val="0025699A"/>
    <w:rsid w:val="0025702D"/>
    <w:rsid w:val="00257335"/>
    <w:rsid w:val="00257359"/>
    <w:rsid w:val="00257472"/>
    <w:rsid w:val="00260403"/>
    <w:rsid w:val="00260451"/>
    <w:rsid w:val="002606A3"/>
    <w:rsid w:val="00260792"/>
    <w:rsid w:val="002609EB"/>
    <w:rsid w:val="002614FF"/>
    <w:rsid w:val="00262530"/>
    <w:rsid w:val="002625D2"/>
    <w:rsid w:val="00262B29"/>
    <w:rsid w:val="00262F01"/>
    <w:rsid w:val="002632ED"/>
    <w:rsid w:val="00263986"/>
    <w:rsid w:val="002646E6"/>
    <w:rsid w:val="00264C6B"/>
    <w:rsid w:val="00264D8C"/>
    <w:rsid w:val="00265232"/>
    <w:rsid w:val="00265656"/>
    <w:rsid w:val="0026565B"/>
    <w:rsid w:val="0026614A"/>
    <w:rsid w:val="00266746"/>
    <w:rsid w:val="00266EDA"/>
    <w:rsid w:val="00267EFE"/>
    <w:rsid w:val="0027036F"/>
    <w:rsid w:val="00270549"/>
    <w:rsid w:val="0027064C"/>
    <w:rsid w:val="00270688"/>
    <w:rsid w:val="0027099E"/>
    <w:rsid w:val="00270C6F"/>
    <w:rsid w:val="0027119F"/>
    <w:rsid w:val="00271292"/>
    <w:rsid w:val="00271587"/>
    <w:rsid w:val="002715BA"/>
    <w:rsid w:val="002719A5"/>
    <w:rsid w:val="002719F4"/>
    <w:rsid w:val="002719FA"/>
    <w:rsid w:val="00271C18"/>
    <w:rsid w:val="002723D6"/>
    <w:rsid w:val="002726E5"/>
    <w:rsid w:val="00272E7D"/>
    <w:rsid w:val="00272E86"/>
    <w:rsid w:val="002730D9"/>
    <w:rsid w:val="00273166"/>
    <w:rsid w:val="002735E8"/>
    <w:rsid w:val="00273D3F"/>
    <w:rsid w:val="00274003"/>
    <w:rsid w:val="00274491"/>
    <w:rsid w:val="0027465A"/>
    <w:rsid w:val="002746F6"/>
    <w:rsid w:val="00274931"/>
    <w:rsid w:val="00275177"/>
    <w:rsid w:val="00275286"/>
    <w:rsid w:val="00275856"/>
    <w:rsid w:val="00275862"/>
    <w:rsid w:val="00276335"/>
    <w:rsid w:val="00276682"/>
    <w:rsid w:val="00276D01"/>
    <w:rsid w:val="00277482"/>
    <w:rsid w:val="00277AE5"/>
    <w:rsid w:val="00280834"/>
    <w:rsid w:val="002808B8"/>
    <w:rsid w:val="00280DE8"/>
    <w:rsid w:val="00280EF8"/>
    <w:rsid w:val="00281337"/>
    <w:rsid w:val="00281878"/>
    <w:rsid w:val="00281BB6"/>
    <w:rsid w:val="00281DA7"/>
    <w:rsid w:val="00282C62"/>
    <w:rsid w:val="00282E6C"/>
    <w:rsid w:val="0028327F"/>
    <w:rsid w:val="0028330A"/>
    <w:rsid w:val="0028344F"/>
    <w:rsid w:val="0028366E"/>
    <w:rsid w:val="00283957"/>
    <w:rsid w:val="00283958"/>
    <w:rsid w:val="00283A26"/>
    <w:rsid w:val="00283C3F"/>
    <w:rsid w:val="00283D55"/>
    <w:rsid w:val="002841E8"/>
    <w:rsid w:val="00284B02"/>
    <w:rsid w:val="00284C33"/>
    <w:rsid w:val="00284C35"/>
    <w:rsid w:val="00284CF1"/>
    <w:rsid w:val="00284FF5"/>
    <w:rsid w:val="002854C6"/>
    <w:rsid w:val="00285A84"/>
    <w:rsid w:val="0028642C"/>
    <w:rsid w:val="00286430"/>
    <w:rsid w:val="00286578"/>
    <w:rsid w:val="0028673A"/>
    <w:rsid w:val="002876ED"/>
    <w:rsid w:val="00287A4B"/>
    <w:rsid w:val="00287F52"/>
    <w:rsid w:val="00290529"/>
    <w:rsid w:val="00290AB9"/>
    <w:rsid w:val="002912B5"/>
    <w:rsid w:val="0029156F"/>
    <w:rsid w:val="002918D6"/>
    <w:rsid w:val="00291F4B"/>
    <w:rsid w:val="00291FAE"/>
    <w:rsid w:val="0029256E"/>
    <w:rsid w:val="00292C9E"/>
    <w:rsid w:val="00292CD8"/>
    <w:rsid w:val="00292E82"/>
    <w:rsid w:val="00293594"/>
    <w:rsid w:val="00293CAB"/>
    <w:rsid w:val="00293D2A"/>
    <w:rsid w:val="00293D33"/>
    <w:rsid w:val="00294126"/>
    <w:rsid w:val="00294234"/>
    <w:rsid w:val="00294443"/>
    <w:rsid w:val="002947CA"/>
    <w:rsid w:val="002947CC"/>
    <w:rsid w:val="002959DA"/>
    <w:rsid w:val="002965CC"/>
    <w:rsid w:val="0029703E"/>
    <w:rsid w:val="0029730E"/>
    <w:rsid w:val="00297C4F"/>
    <w:rsid w:val="002A02F9"/>
    <w:rsid w:val="002A1798"/>
    <w:rsid w:val="002A1F7F"/>
    <w:rsid w:val="002A20B2"/>
    <w:rsid w:val="002A2994"/>
    <w:rsid w:val="002A3302"/>
    <w:rsid w:val="002A349F"/>
    <w:rsid w:val="002A3977"/>
    <w:rsid w:val="002A3A2A"/>
    <w:rsid w:val="002A3F81"/>
    <w:rsid w:val="002A40E7"/>
    <w:rsid w:val="002A47E9"/>
    <w:rsid w:val="002A4803"/>
    <w:rsid w:val="002A4962"/>
    <w:rsid w:val="002A4FE0"/>
    <w:rsid w:val="002A5480"/>
    <w:rsid w:val="002A5542"/>
    <w:rsid w:val="002A5791"/>
    <w:rsid w:val="002A5DCC"/>
    <w:rsid w:val="002A6051"/>
    <w:rsid w:val="002A6598"/>
    <w:rsid w:val="002A65C3"/>
    <w:rsid w:val="002A664B"/>
    <w:rsid w:val="002A6A17"/>
    <w:rsid w:val="002A7012"/>
    <w:rsid w:val="002A7E33"/>
    <w:rsid w:val="002B02B0"/>
    <w:rsid w:val="002B0366"/>
    <w:rsid w:val="002B0662"/>
    <w:rsid w:val="002B0B84"/>
    <w:rsid w:val="002B130C"/>
    <w:rsid w:val="002B15FE"/>
    <w:rsid w:val="002B1669"/>
    <w:rsid w:val="002B1792"/>
    <w:rsid w:val="002B1EFF"/>
    <w:rsid w:val="002B2664"/>
    <w:rsid w:val="002B29D0"/>
    <w:rsid w:val="002B2ECA"/>
    <w:rsid w:val="002B3602"/>
    <w:rsid w:val="002B392D"/>
    <w:rsid w:val="002B39F6"/>
    <w:rsid w:val="002B3B86"/>
    <w:rsid w:val="002B3E96"/>
    <w:rsid w:val="002B3EF7"/>
    <w:rsid w:val="002B45C4"/>
    <w:rsid w:val="002B4AD3"/>
    <w:rsid w:val="002B50EC"/>
    <w:rsid w:val="002B543D"/>
    <w:rsid w:val="002B5DC5"/>
    <w:rsid w:val="002B6467"/>
    <w:rsid w:val="002B65F9"/>
    <w:rsid w:val="002B6A5E"/>
    <w:rsid w:val="002B779B"/>
    <w:rsid w:val="002B78E7"/>
    <w:rsid w:val="002B7B11"/>
    <w:rsid w:val="002B7FB2"/>
    <w:rsid w:val="002C0917"/>
    <w:rsid w:val="002C0A18"/>
    <w:rsid w:val="002C0A2A"/>
    <w:rsid w:val="002C1198"/>
    <w:rsid w:val="002C16BB"/>
    <w:rsid w:val="002C17A2"/>
    <w:rsid w:val="002C1A15"/>
    <w:rsid w:val="002C1BCB"/>
    <w:rsid w:val="002C2501"/>
    <w:rsid w:val="002C251F"/>
    <w:rsid w:val="002C299F"/>
    <w:rsid w:val="002C2EDC"/>
    <w:rsid w:val="002C2FB1"/>
    <w:rsid w:val="002C39EA"/>
    <w:rsid w:val="002C3F8F"/>
    <w:rsid w:val="002C47B0"/>
    <w:rsid w:val="002C47F4"/>
    <w:rsid w:val="002C4B07"/>
    <w:rsid w:val="002C4CFB"/>
    <w:rsid w:val="002C501F"/>
    <w:rsid w:val="002C549D"/>
    <w:rsid w:val="002C641F"/>
    <w:rsid w:val="002C7069"/>
    <w:rsid w:val="002C7534"/>
    <w:rsid w:val="002C7EB5"/>
    <w:rsid w:val="002D093E"/>
    <w:rsid w:val="002D0DA3"/>
    <w:rsid w:val="002D0E38"/>
    <w:rsid w:val="002D15F9"/>
    <w:rsid w:val="002D1DDC"/>
    <w:rsid w:val="002D1E35"/>
    <w:rsid w:val="002D1FBF"/>
    <w:rsid w:val="002D28A1"/>
    <w:rsid w:val="002D2960"/>
    <w:rsid w:val="002D3075"/>
    <w:rsid w:val="002D30BD"/>
    <w:rsid w:val="002D33D8"/>
    <w:rsid w:val="002D3971"/>
    <w:rsid w:val="002D3BBE"/>
    <w:rsid w:val="002D4E65"/>
    <w:rsid w:val="002D4FC8"/>
    <w:rsid w:val="002D5A5C"/>
    <w:rsid w:val="002D5C16"/>
    <w:rsid w:val="002D5D01"/>
    <w:rsid w:val="002D6087"/>
    <w:rsid w:val="002D6100"/>
    <w:rsid w:val="002D63CE"/>
    <w:rsid w:val="002D67D8"/>
    <w:rsid w:val="002D6879"/>
    <w:rsid w:val="002D6A3A"/>
    <w:rsid w:val="002D7375"/>
    <w:rsid w:val="002D7571"/>
    <w:rsid w:val="002D7676"/>
    <w:rsid w:val="002D76EE"/>
    <w:rsid w:val="002D7B95"/>
    <w:rsid w:val="002D7DB3"/>
    <w:rsid w:val="002E1220"/>
    <w:rsid w:val="002E1730"/>
    <w:rsid w:val="002E1954"/>
    <w:rsid w:val="002E252D"/>
    <w:rsid w:val="002E2B18"/>
    <w:rsid w:val="002E2B7C"/>
    <w:rsid w:val="002E306C"/>
    <w:rsid w:val="002E378E"/>
    <w:rsid w:val="002E3A7E"/>
    <w:rsid w:val="002E44AF"/>
    <w:rsid w:val="002E4BD1"/>
    <w:rsid w:val="002E4F7C"/>
    <w:rsid w:val="002E50C2"/>
    <w:rsid w:val="002E51BC"/>
    <w:rsid w:val="002E5243"/>
    <w:rsid w:val="002E5605"/>
    <w:rsid w:val="002E5912"/>
    <w:rsid w:val="002E6444"/>
    <w:rsid w:val="002E70F6"/>
    <w:rsid w:val="002E740E"/>
    <w:rsid w:val="002E7501"/>
    <w:rsid w:val="002E7908"/>
    <w:rsid w:val="002E7948"/>
    <w:rsid w:val="002E79C6"/>
    <w:rsid w:val="002E7F97"/>
    <w:rsid w:val="002F0C59"/>
    <w:rsid w:val="002F0D46"/>
    <w:rsid w:val="002F11EF"/>
    <w:rsid w:val="002F2500"/>
    <w:rsid w:val="002F261F"/>
    <w:rsid w:val="002F2B3D"/>
    <w:rsid w:val="002F2C94"/>
    <w:rsid w:val="002F2CE3"/>
    <w:rsid w:val="002F3322"/>
    <w:rsid w:val="002F37C2"/>
    <w:rsid w:val="002F443B"/>
    <w:rsid w:val="002F45A2"/>
    <w:rsid w:val="002F4750"/>
    <w:rsid w:val="002F4A48"/>
    <w:rsid w:val="002F55CD"/>
    <w:rsid w:val="002F5A17"/>
    <w:rsid w:val="002F5DCA"/>
    <w:rsid w:val="002F6087"/>
    <w:rsid w:val="002F6A9C"/>
    <w:rsid w:val="002F6CF6"/>
    <w:rsid w:val="002F702D"/>
    <w:rsid w:val="002F733F"/>
    <w:rsid w:val="002F7AAE"/>
    <w:rsid w:val="0030014F"/>
    <w:rsid w:val="00301FD5"/>
    <w:rsid w:val="00302375"/>
    <w:rsid w:val="003023EF"/>
    <w:rsid w:val="003031F4"/>
    <w:rsid w:val="003033DE"/>
    <w:rsid w:val="00304279"/>
    <w:rsid w:val="003049D3"/>
    <w:rsid w:val="003049E3"/>
    <w:rsid w:val="0030505D"/>
    <w:rsid w:val="003053F8"/>
    <w:rsid w:val="003059AD"/>
    <w:rsid w:val="00306172"/>
    <w:rsid w:val="00306C3B"/>
    <w:rsid w:val="00306E39"/>
    <w:rsid w:val="00306E8C"/>
    <w:rsid w:val="003074DB"/>
    <w:rsid w:val="00307704"/>
    <w:rsid w:val="003079C3"/>
    <w:rsid w:val="00307F2C"/>
    <w:rsid w:val="00310264"/>
    <w:rsid w:val="00310FF5"/>
    <w:rsid w:val="0031177E"/>
    <w:rsid w:val="00311A21"/>
    <w:rsid w:val="00311A2D"/>
    <w:rsid w:val="00311BC4"/>
    <w:rsid w:val="00312615"/>
    <w:rsid w:val="0031310A"/>
    <w:rsid w:val="00313811"/>
    <w:rsid w:val="0031381F"/>
    <w:rsid w:val="00313EF6"/>
    <w:rsid w:val="0031407B"/>
    <w:rsid w:val="00314088"/>
    <w:rsid w:val="00314497"/>
    <w:rsid w:val="00314833"/>
    <w:rsid w:val="00314BF6"/>
    <w:rsid w:val="003150A0"/>
    <w:rsid w:val="00315289"/>
    <w:rsid w:val="00315470"/>
    <w:rsid w:val="003155E1"/>
    <w:rsid w:val="00315AC2"/>
    <w:rsid w:val="00315B56"/>
    <w:rsid w:val="00315B62"/>
    <w:rsid w:val="0031604F"/>
    <w:rsid w:val="003162C2"/>
    <w:rsid w:val="00316466"/>
    <w:rsid w:val="003166A1"/>
    <w:rsid w:val="00316C08"/>
    <w:rsid w:val="00316D15"/>
    <w:rsid w:val="00317486"/>
    <w:rsid w:val="003174F4"/>
    <w:rsid w:val="0031789B"/>
    <w:rsid w:val="003179B1"/>
    <w:rsid w:val="003179C3"/>
    <w:rsid w:val="003201D8"/>
    <w:rsid w:val="00320A50"/>
    <w:rsid w:val="00320B29"/>
    <w:rsid w:val="00320E22"/>
    <w:rsid w:val="00321120"/>
    <w:rsid w:val="00321260"/>
    <w:rsid w:val="00321370"/>
    <w:rsid w:val="003216DE"/>
    <w:rsid w:val="00321A5A"/>
    <w:rsid w:val="00321E3A"/>
    <w:rsid w:val="00322A13"/>
    <w:rsid w:val="00322AB8"/>
    <w:rsid w:val="00322F22"/>
    <w:rsid w:val="003233C5"/>
    <w:rsid w:val="0032346D"/>
    <w:rsid w:val="0032356D"/>
    <w:rsid w:val="0032435E"/>
    <w:rsid w:val="00324397"/>
    <w:rsid w:val="003244F4"/>
    <w:rsid w:val="00324F25"/>
    <w:rsid w:val="00325DDD"/>
    <w:rsid w:val="00325EEF"/>
    <w:rsid w:val="00325FB0"/>
    <w:rsid w:val="0032636A"/>
    <w:rsid w:val="003268D8"/>
    <w:rsid w:val="00326D76"/>
    <w:rsid w:val="00326E2E"/>
    <w:rsid w:val="0032715B"/>
    <w:rsid w:val="00327862"/>
    <w:rsid w:val="0032798F"/>
    <w:rsid w:val="00327C27"/>
    <w:rsid w:val="00327D56"/>
    <w:rsid w:val="00327E9C"/>
    <w:rsid w:val="00327F2F"/>
    <w:rsid w:val="00327FF3"/>
    <w:rsid w:val="003300C8"/>
    <w:rsid w:val="00330BC8"/>
    <w:rsid w:val="00333937"/>
    <w:rsid w:val="003344DB"/>
    <w:rsid w:val="0033498D"/>
    <w:rsid w:val="00334A0F"/>
    <w:rsid w:val="00334AE6"/>
    <w:rsid w:val="00334AEA"/>
    <w:rsid w:val="00334ED1"/>
    <w:rsid w:val="00335239"/>
    <w:rsid w:val="003353A4"/>
    <w:rsid w:val="00335AE0"/>
    <w:rsid w:val="0033601A"/>
    <w:rsid w:val="003362B6"/>
    <w:rsid w:val="00336BA4"/>
    <w:rsid w:val="00336CAC"/>
    <w:rsid w:val="00336DD1"/>
    <w:rsid w:val="0033721B"/>
    <w:rsid w:val="003377BD"/>
    <w:rsid w:val="003377FC"/>
    <w:rsid w:val="00337E08"/>
    <w:rsid w:val="003400D8"/>
    <w:rsid w:val="003400FA"/>
    <w:rsid w:val="00340487"/>
    <w:rsid w:val="003409C0"/>
    <w:rsid w:val="003411EE"/>
    <w:rsid w:val="003414D4"/>
    <w:rsid w:val="003416F6"/>
    <w:rsid w:val="00341773"/>
    <w:rsid w:val="00341B40"/>
    <w:rsid w:val="00341BF6"/>
    <w:rsid w:val="00341D48"/>
    <w:rsid w:val="00341DC6"/>
    <w:rsid w:val="0034260F"/>
    <w:rsid w:val="00342715"/>
    <w:rsid w:val="003429ED"/>
    <w:rsid w:val="00342F2A"/>
    <w:rsid w:val="00343115"/>
    <w:rsid w:val="00343419"/>
    <w:rsid w:val="0034400E"/>
    <w:rsid w:val="00344CA8"/>
    <w:rsid w:val="003450FC"/>
    <w:rsid w:val="00345290"/>
    <w:rsid w:val="003460AC"/>
    <w:rsid w:val="00346171"/>
    <w:rsid w:val="0034638A"/>
    <w:rsid w:val="00346405"/>
    <w:rsid w:val="00346A96"/>
    <w:rsid w:val="00346AC2"/>
    <w:rsid w:val="003470AD"/>
    <w:rsid w:val="00347670"/>
    <w:rsid w:val="00347942"/>
    <w:rsid w:val="00347FF4"/>
    <w:rsid w:val="00350673"/>
    <w:rsid w:val="003508D5"/>
    <w:rsid w:val="003509D1"/>
    <w:rsid w:val="00350C6C"/>
    <w:rsid w:val="00350EB8"/>
    <w:rsid w:val="0035116E"/>
    <w:rsid w:val="0035134D"/>
    <w:rsid w:val="00351913"/>
    <w:rsid w:val="00351971"/>
    <w:rsid w:val="00351A5A"/>
    <w:rsid w:val="00351A5B"/>
    <w:rsid w:val="003523C8"/>
    <w:rsid w:val="003524BB"/>
    <w:rsid w:val="003526C2"/>
    <w:rsid w:val="003527C5"/>
    <w:rsid w:val="00352E83"/>
    <w:rsid w:val="00352EC5"/>
    <w:rsid w:val="00352FFB"/>
    <w:rsid w:val="0035322C"/>
    <w:rsid w:val="00354A7B"/>
    <w:rsid w:val="00354F28"/>
    <w:rsid w:val="00354FBA"/>
    <w:rsid w:val="003552D3"/>
    <w:rsid w:val="00355367"/>
    <w:rsid w:val="003557E8"/>
    <w:rsid w:val="00355A7D"/>
    <w:rsid w:val="003563C8"/>
    <w:rsid w:val="003570C4"/>
    <w:rsid w:val="00357720"/>
    <w:rsid w:val="00357CF8"/>
    <w:rsid w:val="00360367"/>
    <w:rsid w:val="003603C1"/>
    <w:rsid w:val="0036062C"/>
    <w:rsid w:val="00360CBD"/>
    <w:rsid w:val="0036140A"/>
    <w:rsid w:val="003618F6"/>
    <w:rsid w:val="00361B4B"/>
    <w:rsid w:val="00361D5E"/>
    <w:rsid w:val="00361E46"/>
    <w:rsid w:val="00361E51"/>
    <w:rsid w:val="003621D0"/>
    <w:rsid w:val="00362591"/>
    <w:rsid w:val="00362B84"/>
    <w:rsid w:val="003634D9"/>
    <w:rsid w:val="00364033"/>
    <w:rsid w:val="00364649"/>
    <w:rsid w:val="003652F0"/>
    <w:rsid w:val="003657DE"/>
    <w:rsid w:val="00365ADC"/>
    <w:rsid w:val="00365B72"/>
    <w:rsid w:val="003662C5"/>
    <w:rsid w:val="003668C8"/>
    <w:rsid w:val="00366E51"/>
    <w:rsid w:val="00366FCA"/>
    <w:rsid w:val="00367069"/>
    <w:rsid w:val="003678B1"/>
    <w:rsid w:val="003678C2"/>
    <w:rsid w:val="00367C69"/>
    <w:rsid w:val="003703F6"/>
    <w:rsid w:val="00370B78"/>
    <w:rsid w:val="00370DE5"/>
    <w:rsid w:val="00371F71"/>
    <w:rsid w:val="003723E5"/>
    <w:rsid w:val="00372459"/>
    <w:rsid w:val="00372A3C"/>
    <w:rsid w:val="00372B0E"/>
    <w:rsid w:val="00373A0C"/>
    <w:rsid w:val="00373A8F"/>
    <w:rsid w:val="00373B8A"/>
    <w:rsid w:val="00373D58"/>
    <w:rsid w:val="00373E50"/>
    <w:rsid w:val="0037424E"/>
    <w:rsid w:val="00374348"/>
    <w:rsid w:val="0037465B"/>
    <w:rsid w:val="00374BB7"/>
    <w:rsid w:val="003758CE"/>
    <w:rsid w:val="003758DE"/>
    <w:rsid w:val="003759BB"/>
    <w:rsid w:val="00375D33"/>
    <w:rsid w:val="00375E46"/>
    <w:rsid w:val="003763A1"/>
    <w:rsid w:val="003766B6"/>
    <w:rsid w:val="00376FDF"/>
    <w:rsid w:val="00377509"/>
    <w:rsid w:val="00377848"/>
    <w:rsid w:val="003803FF"/>
    <w:rsid w:val="00380B1E"/>
    <w:rsid w:val="003814FA"/>
    <w:rsid w:val="00381522"/>
    <w:rsid w:val="003815E4"/>
    <w:rsid w:val="00381BB2"/>
    <w:rsid w:val="00381C9D"/>
    <w:rsid w:val="00381D92"/>
    <w:rsid w:val="0038244A"/>
    <w:rsid w:val="00382B48"/>
    <w:rsid w:val="00383017"/>
    <w:rsid w:val="003837E6"/>
    <w:rsid w:val="00383D22"/>
    <w:rsid w:val="0038421C"/>
    <w:rsid w:val="00384294"/>
    <w:rsid w:val="003842D8"/>
    <w:rsid w:val="003843F4"/>
    <w:rsid w:val="00384547"/>
    <w:rsid w:val="00384588"/>
    <w:rsid w:val="00384B24"/>
    <w:rsid w:val="00384E58"/>
    <w:rsid w:val="00384ECB"/>
    <w:rsid w:val="00385A9E"/>
    <w:rsid w:val="00385D71"/>
    <w:rsid w:val="00385F0C"/>
    <w:rsid w:val="00385F9A"/>
    <w:rsid w:val="0038633D"/>
    <w:rsid w:val="00386A78"/>
    <w:rsid w:val="00386DA9"/>
    <w:rsid w:val="00386F3A"/>
    <w:rsid w:val="00387406"/>
    <w:rsid w:val="00387689"/>
    <w:rsid w:val="003876D3"/>
    <w:rsid w:val="00387AD8"/>
    <w:rsid w:val="00390142"/>
    <w:rsid w:val="00390665"/>
    <w:rsid w:val="00390B14"/>
    <w:rsid w:val="00390D29"/>
    <w:rsid w:val="003916BF"/>
    <w:rsid w:val="00391901"/>
    <w:rsid w:val="00391D2A"/>
    <w:rsid w:val="00391ECB"/>
    <w:rsid w:val="003929B5"/>
    <w:rsid w:val="00392A18"/>
    <w:rsid w:val="00392D83"/>
    <w:rsid w:val="00392F58"/>
    <w:rsid w:val="00393104"/>
    <w:rsid w:val="003946D1"/>
    <w:rsid w:val="00394B52"/>
    <w:rsid w:val="00394CD8"/>
    <w:rsid w:val="00394CDE"/>
    <w:rsid w:val="00394FD2"/>
    <w:rsid w:val="003950CC"/>
    <w:rsid w:val="00395D8E"/>
    <w:rsid w:val="00396898"/>
    <w:rsid w:val="00396E29"/>
    <w:rsid w:val="00396F51"/>
    <w:rsid w:val="003977D6"/>
    <w:rsid w:val="003977F9"/>
    <w:rsid w:val="0039787C"/>
    <w:rsid w:val="003978C8"/>
    <w:rsid w:val="00397957"/>
    <w:rsid w:val="00397D7D"/>
    <w:rsid w:val="003A0054"/>
    <w:rsid w:val="003A08BF"/>
    <w:rsid w:val="003A0910"/>
    <w:rsid w:val="003A0B9E"/>
    <w:rsid w:val="003A139F"/>
    <w:rsid w:val="003A1529"/>
    <w:rsid w:val="003A1CB9"/>
    <w:rsid w:val="003A2ABD"/>
    <w:rsid w:val="003A2D4F"/>
    <w:rsid w:val="003A332D"/>
    <w:rsid w:val="003A3441"/>
    <w:rsid w:val="003A3606"/>
    <w:rsid w:val="003A43AA"/>
    <w:rsid w:val="003A50E2"/>
    <w:rsid w:val="003A5418"/>
    <w:rsid w:val="003A5593"/>
    <w:rsid w:val="003A5797"/>
    <w:rsid w:val="003A59AB"/>
    <w:rsid w:val="003A5CA1"/>
    <w:rsid w:val="003A650C"/>
    <w:rsid w:val="003A65BE"/>
    <w:rsid w:val="003A7045"/>
    <w:rsid w:val="003A77F3"/>
    <w:rsid w:val="003A79A5"/>
    <w:rsid w:val="003B0A1B"/>
    <w:rsid w:val="003B1683"/>
    <w:rsid w:val="003B1894"/>
    <w:rsid w:val="003B1F98"/>
    <w:rsid w:val="003B1FFA"/>
    <w:rsid w:val="003B2C21"/>
    <w:rsid w:val="003B2E71"/>
    <w:rsid w:val="003B4385"/>
    <w:rsid w:val="003B4940"/>
    <w:rsid w:val="003B4AB6"/>
    <w:rsid w:val="003B51D1"/>
    <w:rsid w:val="003B5583"/>
    <w:rsid w:val="003B56A6"/>
    <w:rsid w:val="003B5E3C"/>
    <w:rsid w:val="003B6545"/>
    <w:rsid w:val="003B6731"/>
    <w:rsid w:val="003B6879"/>
    <w:rsid w:val="003B700F"/>
    <w:rsid w:val="003B7476"/>
    <w:rsid w:val="003B7C1A"/>
    <w:rsid w:val="003C04B6"/>
    <w:rsid w:val="003C0D13"/>
    <w:rsid w:val="003C0D77"/>
    <w:rsid w:val="003C14C3"/>
    <w:rsid w:val="003C2249"/>
    <w:rsid w:val="003C2339"/>
    <w:rsid w:val="003C23B0"/>
    <w:rsid w:val="003C29F6"/>
    <w:rsid w:val="003C2FBB"/>
    <w:rsid w:val="003C3426"/>
    <w:rsid w:val="003C35C4"/>
    <w:rsid w:val="003C385C"/>
    <w:rsid w:val="003C396B"/>
    <w:rsid w:val="003C3BE7"/>
    <w:rsid w:val="003C3CBA"/>
    <w:rsid w:val="003C4793"/>
    <w:rsid w:val="003C4BFD"/>
    <w:rsid w:val="003C4E9A"/>
    <w:rsid w:val="003C5C02"/>
    <w:rsid w:val="003C5FD1"/>
    <w:rsid w:val="003C6241"/>
    <w:rsid w:val="003C6435"/>
    <w:rsid w:val="003C647C"/>
    <w:rsid w:val="003C6724"/>
    <w:rsid w:val="003C688C"/>
    <w:rsid w:val="003C7511"/>
    <w:rsid w:val="003C78F2"/>
    <w:rsid w:val="003C7C8C"/>
    <w:rsid w:val="003D0D4F"/>
    <w:rsid w:val="003D1664"/>
    <w:rsid w:val="003D2634"/>
    <w:rsid w:val="003D26F2"/>
    <w:rsid w:val="003D2730"/>
    <w:rsid w:val="003D2AAC"/>
    <w:rsid w:val="003D2C09"/>
    <w:rsid w:val="003D38E5"/>
    <w:rsid w:val="003D45F1"/>
    <w:rsid w:val="003D469A"/>
    <w:rsid w:val="003D494C"/>
    <w:rsid w:val="003D4B90"/>
    <w:rsid w:val="003D4E5C"/>
    <w:rsid w:val="003D5699"/>
    <w:rsid w:val="003D570A"/>
    <w:rsid w:val="003D59B4"/>
    <w:rsid w:val="003D5C88"/>
    <w:rsid w:val="003D5DB7"/>
    <w:rsid w:val="003D622F"/>
    <w:rsid w:val="003D64BD"/>
    <w:rsid w:val="003D6774"/>
    <w:rsid w:val="003D6834"/>
    <w:rsid w:val="003D6A6D"/>
    <w:rsid w:val="003D6FCC"/>
    <w:rsid w:val="003D7646"/>
    <w:rsid w:val="003E00C3"/>
    <w:rsid w:val="003E059D"/>
    <w:rsid w:val="003E05D8"/>
    <w:rsid w:val="003E0F0A"/>
    <w:rsid w:val="003E0F43"/>
    <w:rsid w:val="003E1261"/>
    <w:rsid w:val="003E1407"/>
    <w:rsid w:val="003E17FE"/>
    <w:rsid w:val="003E1887"/>
    <w:rsid w:val="003E18DC"/>
    <w:rsid w:val="003E1FCD"/>
    <w:rsid w:val="003E1FF5"/>
    <w:rsid w:val="003E29FD"/>
    <w:rsid w:val="003E2CA6"/>
    <w:rsid w:val="003E2D3F"/>
    <w:rsid w:val="003E3194"/>
    <w:rsid w:val="003E34F7"/>
    <w:rsid w:val="003E35BE"/>
    <w:rsid w:val="003E3A8D"/>
    <w:rsid w:val="003E3AF3"/>
    <w:rsid w:val="003E3C3A"/>
    <w:rsid w:val="003E4005"/>
    <w:rsid w:val="003E4041"/>
    <w:rsid w:val="003E43C0"/>
    <w:rsid w:val="003E4C2F"/>
    <w:rsid w:val="003E51AA"/>
    <w:rsid w:val="003E54E5"/>
    <w:rsid w:val="003E56CA"/>
    <w:rsid w:val="003E5A91"/>
    <w:rsid w:val="003E5D21"/>
    <w:rsid w:val="003E636E"/>
    <w:rsid w:val="003E6441"/>
    <w:rsid w:val="003E6D1A"/>
    <w:rsid w:val="003E71D3"/>
    <w:rsid w:val="003E7A69"/>
    <w:rsid w:val="003E7C8A"/>
    <w:rsid w:val="003F0DEF"/>
    <w:rsid w:val="003F0F7B"/>
    <w:rsid w:val="003F0FE4"/>
    <w:rsid w:val="003F13D6"/>
    <w:rsid w:val="003F1726"/>
    <w:rsid w:val="003F1A06"/>
    <w:rsid w:val="003F1B5A"/>
    <w:rsid w:val="003F1B85"/>
    <w:rsid w:val="003F2623"/>
    <w:rsid w:val="003F269C"/>
    <w:rsid w:val="003F2AC5"/>
    <w:rsid w:val="003F2BA0"/>
    <w:rsid w:val="003F302F"/>
    <w:rsid w:val="003F3292"/>
    <w:rsid w:val="003F3294"/>
    <w:rsid w:val="003F35D6"/>
    <w:rsid w:val="003F39B0"/>
    <w:rsid w:val="003F3DF0"/>
    <w:rsid w:val="003F3E87"/>
    <w:rsid w:val="003F40E7"/>
    <w:rsid w:val="003F40E9"/>
    <w:rsid w:val="003F4831"/>
    <w:rsid w:val="003F486F"/>
    <w:rsid w:val="003F4885"/>
    <w:rsid w:val="003F4A47"/>
    <w:rsid w:val="003F543C"/>
    <w:rsid w:val="003F5E34"/>
    <w:rsid w:val="003F632E"/>
    <w:rsid w:val="003F6CAF"/>
    <w:rsid w:val="003F70E9"/>
    <w:rsid w:val="003F71CE"/>
    <w:rsid w:val="003F789D"/>
    <w:rsid w:val="0040020E"/>
    <w:rsid w:val="004005E1"/>
    <w:rsid w:val="00400934"/>
    <w:rsid w:val="00400C94"/>
    <w:rsid w:val="0040134A"/>
    <w:rsid w:val="00401797"/>
    <w:rsid w:val="00401FD8"/>
    <w:rsid w:val="00402341"/>
    <w:rsid w:val="00402FCE"/>
    <w:rsid w:val="00403670"/>
    <w:rsid w:val="00403C44"/>
    <w:rsid w:val="00403C66"/>
    <w:rsid w:val="00404086"/>
    <w:rsid w:val="00404942"/>
    <w:rsid w:val="00404DB9"/>
    <w:rsid w:val="00405114"/>
    <w:rsid w:val="0040531A"/>
    <w:rsid w:val="00405688"/>
    <w:rsid w:val="0040578C"/>
    <w:rsid w:val="00405CFB"/>
    <w:rsid w:val="0040666D"/>
    <w:rsid w:val="004067FE"/>
    <w:rsid w:val="00406A36"/>
    <w:rsid w:val="00406C10"/>
    <w:rsid w:val="004079B5"/>
    <w:rsid w:val="004101BC"/>
    <w:rsid w:val="00410D1B"/>
    <w:rsid w:val="00410F48"/>
    <w:rsid w:val="00411080"/>
    <w:rsid w:val="00411A5C"/>
    <w:rsid w:val="00411D17"/>
    <w:rsid w:val="00411DBC"/>
    <w:rsid w:val="00411EE0"/>
    <w:rsid w:val="00412BCE"/>
    <w:rsid w:val="00412C8D"/>
    <w:rsid w:val="00413A65"/>
    <w:rsid w:val="004142C1"/>
    <w:rsid w:val="004145D0"/>
    <w:rsid w:val="004146A8"/>
    <w:rsid w:val="00414C69"/>
    <w:rsid w:val="00414D81"/>
    <w:rsid w:val="004152C4"/>
    <w:rsid w:val="00415644"/>
    <w:rsid w:val="004156A7"/>
    <w:rsid w:val="00415E1A"/>
    <w:rsid w:val="00416A7A"/>
    <w:rsid w:val="00416A87"/>
    <w:rsid w:val="00416F10"/>
    <w:rsid w:val="00416FE0"/>
    <w:rsid w:val="0041718F"/>
    <w:rsid w:val="0041733C"/>
    <w:rsid w:val="00417C06"/>
    <w:rsid w:val="00417EAA"/>
    <w:rsid w:val="00422155"/>
    <w:rsid w:val="004222AD"/>
    <w:rsid w:val="00422689"/>
    <w:rsid w:val="00422799"/>
    <w:rsid w:val="00422E94"/>
    <w:rsid w:val="0042316D"/>
    <w:rsid w:val="004239F4"/>
    <w:rsid w:val="00423ED9"/>
    <w:rsid w:val="004240BE"/>
    <w:rsid w:val="0042452A"/>
    <w:rsid w:val="004248C5"/>
    <w:rsid w:val="00424C86"/>
    <w:rsid w:val="00424EC1"/>
    <w:rsid w:val="0042521C"/>
    <w:rsid w:val="00425D4C"/>
    <w:rsid w:val="00425F21"/>
    <w:rsid w:val="0042609B"/>
    <w:rsid w:val="00426484"/>
    <w:rsid w:val="00426698"/>
    <w:rsid w:val="00427626"/>
    <w:rsid w:val="00427EEF"/>
    <w:rsid w:val="0043088B"/>
    <w:rsid w:val="00430A95"/>
    <w:rsid w:val="00430EE3"/>
    <w:rsid w:val="0043103B"/>
    <w:rsid w:val="004310AE"/>
    <w:rsid w:val="00431CF6"/>
    <w:rsid w:val="0043225F"/>
    <w:rsid w:val="0043233F"/>
    <w:rsid w:val="004327D6"/>
    <w:rsid w:val="00432AB1"/>
    <w:rsid w:val="00432D01"/>
    <w:rsid w:val="00433123"/>
    <w:rsid w:val="004335F3"/>
    <w:rsid w:val="004344C0"/>
    <w:rsid w:val="00434C0C"/>
    <w:rsid w:val="00434CC6"/>
    <w:rsid w:val="00434ED9"/>
    <w:rsid w:val="004351CA"/>
    <w:rsid w:val="00435450"/>
    <w:rsid w:val="0043556B"/>
    <w:rsid w:val="00435F0F"/>
    <w:rsid w:val="004361FE"/>
    <w:rsid w:val="0043629B"/>
    <w:rsid w:val="004364AE"/>
    <w:rsid w:val="004364EE"/>
    <w:rsid w:val="00436802"/>
    <w:rsid w:val="00437055"/>
    <w:rsid w:val="00437F87"/>
    <w:rsid w:val="00440466"/>
    <w:rsid w:val="00440648"/>
    <w:rsid w:val="00440D77"/>
    <w:rsid w:val="00440E60"/>
    <w:rsid w:val="00440FE8"/>
    <w:rsid w:val="004413F8"/>
    <w:rsid w:val="004416CE"/>
    <w:rsid w:val="004417FD"/>
    <w:rsid w:val="00441A63"/>
    <w:rsid w:val="00441D9D"/>
    <w:rsid w:val="004423ED"/>
    <w:rsid w:val="00442779"/>
    <w:rsid w:val="004427A4"/>
    <w:rsid w:val="004433E4"/>
    <w:rsid w:val="0044369B"/>
    <w:rsid w:val="00443976"/>
    <w:rsid w:val="00443C6D"/>
    <w:rsid w:val="00443F6C"/>
    <w:rsid w:val="0044414B"/>
    <w:rsid w:val="004442CE"/>
    <w:rsid w:val="004449A4"/>
    <w:rsid w:val="00444C28"/>
    <w:rsid w:val="00444F69"/>
    <w:rsid w:val="0044534C"/>
    <w:rsid w:val="00445A53"/>
    <w:rsid w:val="00445AFA"/>
    <w:rsid w:val="00445B44"/>
    <w:rsid w:val="00445E06"/>
    <w:rsid w:val="00446116"/>
    <w:rsid w:val="0044641A"/>
    <w:rsid w:val="00446FDB"/>
    <w:rsid w:val="004474D1"/>
    <w:rsid w:val="004474F8"/>
    <w:rsid w:val="004505BB"/>
    <w:rsid w:val="00450854"/>
    <w:rsid w:val="004513BC"/>
    <w:rsid w:val="00451C67"/>
    <w:rsid w:val="00453290"/>
    <w:rsid w:val="00453549"/>
    <w:rsid w:val="00453816"/>
    <w:rsid w:val="00453C7B"/>
    <w:rsid w:val="004546C3"/>
    <w:rsid w:val="00454B4E"/>
    <w:rsid w:val="00454C5C"/>
    <w:rsid w:val="00454D76"/>
    <w:rsid w:val="0045589B"/>
    <w:rsid w:val="00455AA9"/>
    <w:rsid w:val="00456602"/>
    <w:rsid w:val="00456648"/>
    <w:rsid w:val="004568C9"/>
    <w:rsid w:val="00457E8A"/>
    <w:rsid w:val="004604BB"/>
    <w:rsid w:val="004616D0"/>
    <w:rsid w:val="00462127"/>
    <w:rsid w:val="004627ED"/>
    <w:rsid w:val="00462A7B"/>
    <w:rsid w:val="00462B90"/>
    <w:rsid w:val="004635FB"/>
    <w:rsid w:val="00463AF0"/>
    <w:rsid w:val="00464088"/>
    <w:rsid w:val="0046414C"/>
    <w:rsid w:val="00464434"/>
    <w:rsid w:val="00464A64"/>
    <w:rsid w:val="00464FF5"/>
    <w:rsid w:val="00465316"/>
    <w:rsid w:val="004657CE"/>
    <w:rsid w:val="00465804"/>
    <w:rsid w:val="00466E21"/>
    <w:rsid w:val="00467FB1"/>
    <w:rsid w:val="0047012F"/>
    <w:rsid w:val="0047086E"/>
    <w:rsid w:val="00470C0D"/>
    <w:rsid w:val="00470E33"/>
    <w:rsid w:val="004711F7"/>
    <w:rsid w:val="004712CB"/>
    <w:rsid w:val="00471639"/>
    <w:rsid w:val="00471855"/>
    <w:rsid w:val="00471B73"/>
    <w:rsid w:val="00471CF1"/>
    <w:rsid w:val="00471F79"/>
    <w:rsid w:val="0047312D"/>
    <w:rsid w:val="004733EF"/>
    <w:rsid w:val="004736C1"/>
    <w:rsid w:val="004738CD"/>
    <w:rsid w:val="0047429A"/>
    <w:rsid w:val="00474889"/>
    <w:rsid w:val="00474A2D"/>
    <w:rsid w:val="00474B3F"/>
    <w:rsid w:val="00475138"/>
    <w:rsid w:val="00475903"/>
    <w:rsid w:val="004762FB"/>
    <w:rsid w:val="00476435"/>
    <w:rsid w:val="00476612"/>
    <w:rsid w:val="004766C6"/>
    <w:rsid w:val="00476872"/>
    <w:rsid w:val="00476C6D"/>
    <w:rsid w:val="00476E09"/>
    <w:rsid w:val="00477107"/>
    <w:rsid w:val="004771A5"/>
    <w:rsid w:val="00477CAA"/>
    <w:rsid w:val="00477E04"/>
    <w:rsid w:val="00477EAE"/>
    <w:rsid w:val="004803DF"/>
    <w:rsid w:val="0048059F"/>
    <w:rsid w:val="00480F8B"/>
    <w:rsid w:val="004811BB"/>
    <w:rsid w:val="00481481"/>
    <w:rsid w:val="00481734"/>
    <w:rsid w:val="00481EDE"/>
    <w:rsid w:val="00481FD4"/>
    <w:rsid w:val="004828B5"/>
    <w:rsid w:val="00483250"/>
    <w:rsid w:val="0048386E"/>
    <w:rsid w:val="0048405E"/>
    <w:rsid w:val="00484313"/>
    <w:rsid w:val="0048445B"/>
    <w:rsid w:val="00484866"/>
    <w:rsid w:val="00484DBB"/>
    <w:rsid w:val="00484E13"/>
    <w:rsid w:val="0048519C"/>
    <w:rsid w:val="00485679"/>
    <w:rsid w:val="00485815"/>
    <w:rsid w:val="0048581B"/>
    <w:rsid w:val="00486014"/>
    <w:rsid w:val="0048639C"/>
    <w:rsid w:val="00486A83"/>
    <w:rsid w:val="00486ED7"/>
    <w:rsid w:val="004877A9"/>
    <w:rsid w:val="004879C2"/>
    <w:rsid w:val="00487B01"/>
    <w:rsid w:val="00487DA5"/>
    <w:rsid w:val="00490E20"/>
    <w:rsid w:val="00491232"/>
    <w:rsid w:val="00491B3D"/>
    <w:rsid w:val="00491D40"/>
    <w:rsid w:val="00491DF5"/>
    <w:rsid w:val="00491F44"/>
    <w:rsid w:val="004920C2"/>
    <w:rsid w:val="00492D0B"/>
    <w:rsid w:val="00492E4F"/>
    <w:rsid w:val="00493104"/>
    <w:rsid w:val="00493572"/>
    <w:rsid w:val="00493944"/>
    <w:rsid w:val="00493BDD"/>
    <w:rsid w:val="00493CF4"/>
    <w:rsid w:val="0049480D"/>
    <w:rsid w:val="00494B53"/>
    <w:rsid w:val="004950F2"/>
    <w:rsid w:val="004953D3"/>
    <w:rsid w:val="00495BB8"/>
    <w:rsid w:val="00495EB1"/>
    <w:rsid w:val="00495ED6"/>
    <w:rsid w:val="00496744"/>
    <w:rsid w:val="00496CBC"/>
    <w:rsid w:val="00496DA9"/>
    <w:rsid w:val="00497645"/>
    <w:rsid w:val="0049784F"/>
    <w:rsid w:val="00497B8A"/>
    <w:rsid w:val="004A0761"/>
    <w:rsid w:val="004A09A4"/>
    <w:rsid w:val="004A0A38"/>
    <w:rsid w:val="004A0AC2"/>
    <w:rsid w:val="004A0CA3"/>
    <w:rsid w:val="004A0D20"/>
    <w:rsid w:val="004A0D68"/>
    <w:rsid w:val="004A0E6D"/>
    <w:rsid w:val="004A0FB2"/>
    <w:rsid w:val="004A1607"/>
    <w:rsid w:val="004A1733"/>
    <w:rsid w:val="004A248B"/>
    <w:rsid w:val="004A2814"/>
    <w:rsid w:val="004A2882"/>
    <w:rsid w:val="004A29CF"/>
    <w:rsid w:val="004A2A96"/>
    <w:rsid w:val="004A2B8B"/>
    <w:rsid w:val="004A2EF3"/>
    <w:rsid w:val="004A3462"/>
    <w:rsid w:val="004A3484"/>
    <w:rsid w:val="004A37B8"/>
    <w:rsid w:val="004A3C3F"/>
    <w:rsid w:val="004A41B3"/>
    <w:rsid w:val="004A4332"/>
    <w:rsid w:val="004A4859"/>
    <w:rsid w:val="004A4FC6"/>
    <w:rsid w:val="004A5886"/>
    <w:rsid w:val="004A5F2F"/>
    <w:rsid w:val="004A6C16"/>
    <w:rsid w:val="004A6EE7"/>
    <w:rsid w:val="004A7622"/>
    <w:rsid w:val="004A7628"/>
    <w:rsid w:val="004A777E"/>
    <w:rsid w:val="004A7ABD"/>
    <w:rsid w:val="004B068C"/>
    <w:rsid w:val="004B0AE8"/>
    <w:rsid w:val="004B0C50"/>
    <w:rsid w:val="004B0F53"/>
    <w:rsid w:val="004B151B"/>
    <w:rsid w:val="004B15A4"/>
    <w:rsid w:val="004B18DD"/>
    <w:rsid w:val="004B190E"/>
    <w:rsid w:val="004B1917"/>
    <w:rsid w:val="004B1F3C"/>
    <w:rsid w:val="004B203B"/>
    <w:rsid w:val="004B2054"/>
    <w:rsid w:val="004B2F26"/>
    <w:rsid w:val="004B30A4"/>
    <w:rsid w:val="004B3419"/>
    <w:rsid w:val="004B34D3"/>
    <w:rsid w:val="004B3E31"/>
    <w:rsid w:val="004B3F42"/>
    <w:rsid w:val="004B4309"/>
    <w:rsid w:val="004B4751"/>
    <w:rsid w:val="004B4DD7"/>
    <w:rsid w:val="004B4E9F"/>
    <w:rsid w:val="004B5548"/>
    <w:rsid w:val="004B58A9"/>
    <w:rsid w:val="004B598E"/>
    <w:rsid w:val="004B6093"/>
    <w:rsid w:val="004B68B9"/>
    <w:rsid w:val="004B68BB"/>
    <w:rsid w:val="004B6B7D"/>
    <w:rsid w:val="004B6D24"/>
    <w:rsid w:val="004B7753"/>
    <w:rsid w:val="004C0A45"/>
    <w:rsid w:val="004C1098"/>
    <w:rsid w:val="004C1163"/>
    <w:rsid w:val="004C122E"/>
    <w:rsid w:val="004C12C1"/>
    <w:rsid w:val="004C157A"/>
    <w:rsid w:val="004C1ED7"/>
    <w:rsid w:val="004C2DD5"/>
    <w:rsid w:val="004C335C"/>
    <w:rsid w:val="004C37E6"/>
    <w:rsid w:val="004C3DCC"/>
    <w:rsid w:val="004C44E3"/>
    <w:rsid w:val="004C4FB4"/>
    <w:rsid w:val="004C545D"/>
    <w:rsid w:val="004C5978"/>
    <w:rsid w:val="004C59F0"/>
    <w:rsid w:val="004C6071"/>
    <w:rsid w:val="004C60DA"/>
    <w:rsid w:val="004C6773"/>
    <w:rsid w:val="004C6A93"/>
    <w:rsid w:val="004C6ACE"/>
    <w:rsid w:val="004C6F8E"/>
    <w:rsid w:val="004C7389"/>
    <w:rsid w:val="004C774B"/>
    <w:rsid w:val="004C7B4B"/>
    <w:rsid w:val="004C7D9F"/>
    <w:rsid w:val="004C7F03"/>
    <w:rsid w:val="004D0720"/>
    <w:rsid w:val="004D08B8"/>
    <w:rsid w:val="004D13BC"/>
    <w:rsid w:val="004D1442"/>
    <w:rsid w:val="004D15F1"/>
    <w:rsid w:val="004D1E4D"/>
    <w:rsid w:val="004D2029"/>
    <w:rsid w:val="004D21C9"/>
    <w:rsid w:val="004D2406"/>
    <w:rsid w:val="004D25FD"/>
    <w:rsid w:val="004D283B"/>
    <w:rsid w:val="004D2AE8"/>
    <w:rsid w:val="004D34A7"/>
    <w:rsid w:val="004D3BE7"/>
    <w:rsid w:val="004D3F38"/>
    <w:rsid w:val="004D4A17"/>
    <w:rsid w:val="004D4ACE"/>
    <w:rsid w:val="004D5110"/>
    <w:rsid w:val="004D5259"/>
    <w:rsid w:val="004D562F"/>
    <w:rsid w:val="004D5679"/>
    <w:rsid w:val="004D5962"/>
    <w:rsid w:val="004D5ACD"/>
    <w:rsid w:val="004D5B3A"/>
    <w:rsid w:val="004D5D03"/>
    <w:rsid w:val="004D604E"/>
    <w:rsid w:val="004D6871"/>
    <w:rsid w:val="004D6A6F"/>
    <w:rsid w:val="004D6BCE"/>
    <w:rsid w:val="004D7489"/>
    <w:rsid w:val="004D7950"/>
    <w:rsid w:val="004D7FFC"/>
    <w:rsid w:val="004E011A"/>
    <w:rsid w:val="004E01C0"/>
    <w:rsid w:val="004E0322"/>
    <w:rsid w:val="004E068E"/>
    <w:rsid w:val="004E092C"/>
    <w:rsid w:val="004E1266"/>
    <w:rsid w:val="004E12E1"/>
    <w:rsid w:val="004E1438"/>
    <w:rsid w:val="004E14A4"/>
    <w:rsid w:val="004E18B5"/>
    <w:rsid w:val="004E1BD5"/>
    <w:rsid w:val="004E1F42"/>
    <w:rsid w:val="004E2528"/>
    <w:rsid w:val="004E2932"/>
    <w:rsid w:val="004E2D54"/>
    <w:rsid w:val="004E33FE"/>
    <w:rsid w:val="004E4482"/>
    <w:rsid w:val="004E4719"/>
    <w:rsid w:val="004E47BC"/>
    <w:rsid w:val="004E4810"/>
    <w:rsid w:val="004E4A1A"/>
    <w:rsid w:val="004E4A28"/>
    <w:rsid w:val="004E4BA6"/>
    <w:rsid w:val="004E4EA7"/>
    <w:rsid w:val="004E4F73"/>
    <w:rsid w:val="004E5541"/>
    <w:rsid w:val="004E5683"/>
    <w:rsid w:val="004E56FE"/>
    <w:rsid w:val="004E59B1"/>
    <w:rsid w:val="004E6315"/>
    <w:rsid w:val="004E69CF"/>
    <w:rsid w:val="004E703B"/>
    <w:rsid w:val="004E743B"/>
    <w:rsid w:val="004E7D07"/>
    <w:rsid w:val="004E7DA8"/>
    <w:rsid w:val="004F0043"/>
    <w:rsid w:val="004F033A"/>
    <w:rsid w:val="004F12E8"/>
    <w:rsid w:val="004F1812"/>
    <w:rsid w:val="004F19FB"/>
    <w:rsid w:val="004F1AEF"/>
    <w:rsid w:val="004F1D9F"/>
    <w:rsid w:val="004F2116"/>
    <w:rsid w:val="004F2E6C"/>
    <w:rsid w:val="004F2F2F"/>
    <w:rsid w:val="004F330F"/>
    <w:rsid w:val="004F3467"/>
    <w:rsid w:val="004F34E4"/>
    <w:rsid w:val="004F374F"/>
    <w:rsid w:val="004F3781"/>
    <w:rsid w:val="004F3970"/>
    <w:rsid w:val="004F47A2"/>
    <w:rsid w:val="004F49CF"/>
    <w:rsid w:val="004F4C8A"/>
    <w:rsid w:val="004F4CCF"/>
    <w:rsid w:val="004F4E5B"/>
    <w:rsid w:val="004F5137"/>
    <w:rsid w:val="004F5171"/>
    <w:rsid w:val="004F53A3"/>
    <w:rsid w:val="004F55CE"/>
    <w:rsid w:val="004F5C4C"/>
    <w:rsid w:val="004F5E9D"/>
    <w:rsid w:val="004F6027"/>
    <w:rsid w:val="004F636D"/>
    <w:rsid w:val="004F66B8"/>
    <w:rsid w:val="004F685C"/>
    <w:rsid w:val="004F697B"/>
    <w:rsid w:val="004F6CB8"/>
    <w:rsid w:val="004F6FE0"/>
    <w:rsid w:val="004F75A5"/>
    <w:rsid w:val="0050128D"/>
    <w:rsid w:val="0050147F"/>
    <w:rsid w:val="00501530"/>
    <w:rsid w:val="0050167D"/>
    <w:rsid w:val="0050183F"/>
    <w:rsid w:val="005021AF"/>
    <w:rsid w:val="00502291"/>
    <w:rsid w:val="00502397"/>
    <w:rsid w:val="00502421"/>
    <w:rsid w:val="00502804"/>
    <w:rsid w:val="005031BC"/>
    <w:rsid w:val="00504049"/>
    <w:rsid w:val="005042FD"/>
    <w:rsid w:val="005043A9"/>
    <w:rsid w:val="00504490"/>
    <w:rsid w:val="00504769"/>
    <w:rsid w:val="005047C4"/>
    <w:rsid w:val="005048E0"/>
    <w:rsid w:val="00504910"/>
    <w:rsid w:val="00505652"/>
    <w:rsid w:val="00505872"/>
    <w:rsid w:val="00505989"/>
    <w:rsid w:val="00505AAA"/>
    <w:rsid w:val="00505B54"/>
    <w:rsid w:val="0050609D"/>
    <w:rsid w:val="00506F15"/>
    <w:rsid w:val="005076DC"/>
    <w:rsid w:val="00507800"/>
    <w:rsid w:val="005078C3"/>
    <w:rsid w:val="00507C5C"/>
    <w:rsid w:val="00510BA2"/>
    <w:rsid w:val="00510DFB"/>
    <w:rsid w:val="00511BBE"/>
    <w:rsid w:val="00511CEA"/>
    <w:rsid w:val="00511DA3"/>
    <w:rsid w:val="00511F39"/>
    <w:rsid w:val="005123EA"/>
    <w:rsid w:val="005124BE"/>
    <w:rsid w:val="005125CA"/>
    <w:rsid w:val="00513104"/>
    <w:rsid w:val="005132C6"/>
    <w:rsid w:val="005134F2"/>
    <w:rsid w:val="00513568"/>
    <w:rsid w:val="005135EC"/>
    <w:rsid w:val="00513C28"/>
    <w:rsid w:val="005144BE"/>
    <w:rsid w:val="00514BF9"/>
    <w:rsid w:val="00514C6C"/>
    <w:rsid w:val="00514DC0"/>
    <w:rsid w:val="00514FC2"/>
    <w:rsid w:val="00515862"/>
    <w:rsid w:val="00515DDD"/>
    <w:rsid w:val="00516ADB"/>
    <w:rsid w:val="00516CEB"/>
    <w:rsid w:val="005172DE"/>
    <w:rsid w:val="00517468"/>
    <w:rsid w:val="0051773C"/>
    <w:rsid w:val="00520223"/>
    <w:rsid w:val="005202C2"/>
    <w:rsid w:val="00520C80"/>
    <w:rsid w:val="00521326"/>
    <w:rsid w:val="00521412"/>
    <w:rsid w:val="00521422"/>
    <w:rsid w:val="005222A8"/>
    <w:rsid w:val="00522898"/>
    <w:rsid w:val="005229D8"/>
    <w:rsid w:val="00522D9D"/>
    <w:rsid w:val="005230EA"/>
    <w:rsid w:val="005237B5"/>
    <w:rsid w:val="00523957"/>
    <w:rsid w:val="00523A27"/>
    <w:rsid w:val="00523C7F"/>
    <w:rsid w:val="005243C8"/>
    <w:rsid w:val="00524585"/>
    <w:rsid w:val="00524A48"/>
    <w:rsid w:val="00524FD4"/>
    <w:rsid w:val="00525F5E"/>
    <w:rsid w:val="005268D2"/>
    <w:rsid w:val="00527786"/>
    <w:rsid w:val="00530083"/>
    <w:rsid w:val="00530204"/>
    <w:rsid w:val="0053021A"/>
    <w:rsid w:val="00530811"/>
    <w:rsid w:val="00531ACE"/>
    <w:rsid w:val="00531D38"/>
    <w:rsid w:val="0053220B"/>
    <w:rsid w:val="005322E5"/>
    <w:rsid w:val="0053266D"/>
    <w:rsid w:val="00532912"/>
    <w:rsid w:val="00532B2E"/>
    <w:rsid w:val="005333B6"/>
    <w:rsid w:val="005333D6"/>
    <w:rsid w:val="005336E1"/>
    <w:rsid w:val="005340F0"/>
    <w:rsid w:val="005346A0"/>
    <w:rsid w:val="00534EE9"/>
    <w:rsid w:val="00535164"/>
    <w:rsid w:val="00535A9E"/>
    <w:rsid w:val="00535F65"/>
    <w:rsid w:val="00536269"/>
    <w:rsid w:val="005362BD"/>
    <w:rsid w:val="00536F62"/>
    <w:rsid w:val="00537652"/>
    <w:rsid w:val="00537BD7"/>
    <w:rsid w:val="00537EB7"/>
    <w:rsid w:val="00540B18"/>
    <w:rsid w:val="00540F03"/>
    <w:rsid w:val="00541282"/>
    <w:rsid w:val="0054166C"/>
    <w:rsid w:val="005416EF"/>
    <w:rsid w:val="00541BC7"/>
    <w:rsid w:val="00541DC2"/>
    <w:rsid w:val="00542237"/>
    <w:rsid w:val="00542516"/>
    <w:rsid w:val="00542BE4"/>
    <w:rsid w:val="00542CB8"/>
    <w:rsid w:val="00542E18"/>
    <w:rsid w:val="00543056"/>
    <w:rsid w:val="005434A2"/>
    <w:rsid w:val="005437D9"/>
    <w:rsid w:val="00543879"/>
    <w:rsid w:val="005438F0"/>
    <w:rsid w:val="00543D42"/>
    <w:rsid w:val="00544105"/>
    <w:rsid w:val="00544933"/>
    <w:rsid w:val="00544E12"/>
    <w:rsid w:val="0054528D"/>
    <w:rsid w:val="00545570"/>
    <w:rsid w:val="00545839"/>
    <w:rsid w:val="00545926"/>
    <w:rsid w:val="00545ACD"/>
    <w:rsid w:val="00545BF8"/>
    <w:rsid w:val="00546135"/>
    <w:rsid w:val="00546676"/>
    <w:rsid w:val="00546679"/>
    <w:rsid w:val="00546E85"/>
    <w:rsid w:val="005473F4"/>
    <w:rsid w:val="0054751F"/>
    <w:rsid w:val="005478D0"/>
    <w:rsid w:val="00550379"/>
    <w:rsid w:val="00550783"/>
    <w:rsid w:val="00550A27"/>
    <w:rsid w:val="00550B2C"/>
    <w:rsid w:val="00550BBC"/>
    <w:rsid w:val="00551319"/>
    <w:rsid w:val="0055145B"/>
    <w:rsid w:val="0055203B"/>
    <w:rsid w:val="00552C2C"/>
    <w:rsid w:val="00553A55"/>
    <w:rsid w:val="005541FE"/>
    <w:rsid w:val="0055436C"/>
    <w:rsid w:val="005546E0"/>
    <w:rsid w:val="00554E9F"/>
    <w:rsid w:val="00555C70"/>
    <w:rsid w:val="00555CB0"/>
    <w:rsid w:val="005564E7"/>
    <w:rsid w:val="0055655A"/>
    <w:rsid w:val="00556797"/>
    <w:rsid w:val="005567CB"/>
    <w:rsid w:val="00556E85"/>
    <w:rsid w:val="005572FD"/>
    <w:rsid w:val="00557324"/>
    <w:rsid w:val="00557931"/>
    <w:rsid w:val="00557DB4"/>
    <w:rsid w:val="00557EE2"/>
    <w:rsid w:val="0056010F"/>
    <w:rsid w:val="005608CE"/>
    <w:rsid w:val="00560A33"/>
    <w:rsid w:val="00560C2C"/>
    <w:rsid w:val="00560DAA"/>
    <w:rsid w:val="0056172F"/>
    <w:rsid w:val="00562C5C"/>
    <w:rsid w:val="005637F2"/>
    <w:rsid w:val="00563A4C"/>
    <w:rsid w:val="00563A63"/>
    <w:rsid w:val="00563DA6"/>
    <w:rsid w:val="00563DD3"/>
    <w:rsid w:val="00563ED8"/>
    <w:rsid w:val="005642BD"/>
    <w:rsid w:val="0056478F"/>
    <w:rsid w:val="005648B2"/>
    <w:rsid w:val="00564C5E"/>
    <w:rsid w:val="0056517C"/>
    <w:rsid w:val="0056534A"/>
    <w:rsid w:val="005656D5"/>
    <w:rsid w:val="00565854"/>
    <w:rsid w:val="00565B23"/>
    <w:rsid w:val="00565BA4"/>
    <w:rsid w:val="00565E6F"/>
    <w:rsid w:val="00566091"/>
    <w:rsid w:val="005662CE"/>
    <w:rsid w:val="00566470"/>
    <w:rsid w:val="00566992"/>
    <w:rsid w:val="00566DCF"/>
    <w:rsid w:val="00567192"/>
    <w:rsid w:val="0056727D"/>
    <w:rsid w:val="00567506"/>
    <w:rsid w:val="00567921"/>
    <w:rsid w:val="00570D82"/>
    <w:rsid w:val="005714DE"/>
    <w:rsid w:val="00571E08"/>
    <w:rsid w:val="00572462"/>
    <w:rsid w:val="0057252E"/>
    <w:rsid w:val="00572A39"/>
    <w:rsid w:val="00572D88"/>
    <w:rsid w:val="0057398E"/>
    <w:rsid w:val="00573B19"/>
    <w:rsid w:val="00574158"/>
    <w:rsid w:val="00574D23"/>
    <w:rsid w:val="00574FE5"/>
    <w:rsid w:val="0057533F"/>
    <w:rsid w:val="005755CB"/>
    <w:rsid w:val="00576028"/>
    <w:rsid w:val="005766FB"/>
    <w:rsid w:val="00576A0B"/>
    <w:rsid w:val="00576C3F"/>
    <w:rsid w:val="005778CB"/>
    <w:rsid w:val="00577C1C"/>
    <w:rsid w:val="005802C1"/>
    <w:rsid w:val="00580F73"/>
    <w:rsid w:val="005817EE"/>
    <w:rsid w:val="00582524"/>
    <w:rsid w:val="005829BB"/>
    <w:rsid w:val="00583151"/>
    <w:rsid w:val="005835CC"/>
    <w:rsid w:val="005840AE"/>
    <w:rsid w:val="0058444A"/>
    <w:rsid w:val="00584A9E"/>
    <w:rsid w:val="00584AF2"/>
    <w:rsid w:val="00584FDD"/>
    <w:rsid w:val="00585CD5"/>
    <w:rsid w:val="005869F1"/>
    <w:rsid w:val="00586AFE"/>
    <w:rsid w:val="00586C36"/>
    <w:rsid w:val="00587055"/>
    <w:rsid w:val="005872E3"/>
    <w:rsid w:val="005878A6"/>
    <w:rsid w:val="005905A1"/>
    <w:rsid w:val="00590674"/>
    <w:rsid w:val="00590CC4"/>
    <w:rsid w:val="00591DA7"/>
    <w:rsid w:val="00591F1A"/>
    <w:rsid w:val="00592202"/>
    <w:rsid w:val="00592400"/>
    <w:rsid w:val="00592944"/>
    <w:rsid w:val="00592CAF"/>
    <w:rsid w:val="0059428F"/>
    <w:rsid w:val="0059433A"/>
    <w:rsid w:val="00594609"/>
    <w:rsid w:val="00594864"/>
    <w:rsid w:val="00594C6E"/>
    <w:rsid w:val="00595438"/>
    <w:rsid w:val="00595CD4"/>
    <w:rsid w:val="00596174"/>
    <w:rsid w:val="00596195"/>
    <w:rsid w:val="005961DB"/>
    <w:rsid w:val="005962AD"/>
    <w:rsid w:val="00596381"/>
    <w:rsid w:val="005965C7"/>
    <w:rsid w:val="005965D9"/>
    <w:rsid w:val="005966FD"/>
    <w:rsid w:val="005969FB"/>
    <w:rsid w:val="00596A41"/>
    <w:rsid w:val="00596BE9"/>
    <w:rsid w:val="00596C1D"/>
    <w:rsid w:val="00596CD7"/>
    <w:rsid w:val="00597183"/>
    <w:rsid w:val="00597AA6"/>
    <w:rsid w:val="00597D29"/>
    <w:rsid w:val="005A00A7"/>
    <w:rsid w:val="005A028F"/>
    <w:rsid w:val="005A06C7"/>
    <w:rsid w:val="005A0FA9"/>
    <w:rsid w:val="005A123B"/>
    <w:rsid w:val="005A1EE2"/>
    <w:rsid w:val="005A201A"/>
    <w:rsid w:val="005A22D7"/>
    <w:rsid w:val="005A2687"/>
    <w:rsid w:val="005A31EC"/>
    <w:rsid w:val="005A3886"/>
    <w:rsid w:val="005A3CD4"/>
    <w:rsid w:val="005A3D6A"/>
    <w:rsid w:val="005A3EB7"/>
    <w:rsid w:val="005A41CC"/>
    <w:rsid w:val="005A4C85"/>
    <w:rsid w:val="005A4D88"/>
    <w:rsid w:val="005A53DF"/>
    <w:rsid w:val="005A59E1"/>
    <w:rsid w:val="005A6533"/>
    <w:rsid w:val="005A68B5"/>
    <w:rsid w:val="005A6BDF"/>
    <w:rsid w:val="005A6D17"/>
    <w:rsid w:val="005A6E64"/>
    <w:rsid w:val="005A7046"/>
    <w:rsid w:val="005A77C4"/>
    <w:rsid w:val="005A7892"/>
    <w:rsid w:val="005A7FBA"/>
    <w:rsid w:val="005B078B"/>
    <w:rsid w:val="005B185A"/>
    <w:rsid w:val="005B1C50"/>
    <w:rsid w:val="005B1FC6"/>
    <w:rsid w:val="005B2040"/>
    <w:rsid w:val="005B207A"/>
    <w:rsid w:val="005B20F0"/>
    <w:rsid w:val="005B234C"/>
    <w:rsid w:val="005B245C"/>
    <w:rsid w:val="005B2590"/>
    <w:rsid w:val="005B2BC3"/>
    <w:rsid w:val="005B2EA7"/>
    <w:rsid w:val="005B3290"/>
    <w:rsid w:val="005B33F0"/>
    <w:rsid w:val="005B35A9"/>
    <w:rsid w:val="005B3665"/>
    <w:rsid w:val="005B3B7F"/>
    <w:rsid w:val="005B3C65"/>
    <w:rsid w:val="005B3DE2"/>
    <w:rsid w:val="005B406F"/>
    <w:rsid w:val="005B41AC"/>
    <w:rsid w:val="005B4556"/>
    <w:rsid w:val="005B48C8"/>
    <w:rsid w:val="005B4D88"/>
    <w:rsid w:val="005B5B9E"/>
    <w:rsid w:val="005B6348"/>
    <w:rsid w:val="005B6414"/>
    <w:rsid w:val="005B641A"/>
    <w:rsid w:val="005B6665"/>
    <w:rsid w:val="005B6BC4"/>
    <w:rsid w:val="005B6DAD"/>
    <w:rsid w:val="005B6E24"/>
    <w:rsid w:val="005B6E57"/>
    <w:rsid w:val="005B70AA"/>
    <w:rsid w:val="005B7BC5"/>
    <w:rsid w:val="005C0A41"/>
    <w:rsid w:val="005C1399"/>
    <w:rsid w:val="005C13F0"/>
    <w:rsid w:val="005C1655"/>
    <w:rsid w:val="005C196E"/>
    <w:rsid w:val="005C3135"/>
    <w:rsid w:val="005C34EB"/>
    <w:rsid w:val="005C39CC"/>
    <w:rsid w:val="005C3A3E"/>
    <w:rsid w:val="005C3EC3"/>
    <w:rsid w:val="005C4177"/>
    <w:rsid w:val="005C4334"/>
    <w:rsid w:val="005C4557"/>
    <w:rsid w:val="005C521D"/>
    <w:rsid w:val="005C5986"/>
    <w:rsid w:val="005C6090"/>
    <w:rsid w:val="005C6635"/>
    <w:rsid w:val="005C665D"/>
    <w:rsid w:val="005C6B31"/>
    <w:rsid w:val="005C7243"/>
    <w:rsid w:val="005C7741"/>
    <w:rsid w:val="005C77A4"/>
    <w:rsid w:val="005D203E"/>
    <w:rsid w:val="005D29F5"/>
    <w:rsid w:val="005D301E"/>
    <w:rsid w:val="005D32ED"/>
    <w:rsid w:val="005D3D26"/>
    <w:rsid w:val="005D3F46"/>
    <w:rsid w:val="005D4125"/>
    <w:rsid w:val="005D4B88"/>
    <w:rsid w:val="005D4CF3"/>
    <w:rsid w:val="005D4F69"/>
    <w:rsid w:val="005D4FC0"/>
    <w:rsid w:val="005D5025"/>
    <w:rsid w:val="005D536B"/>
    <w:rsid w:val="005D57B8"/>
    <w:rsid w:val="005D57BC"/>
    <w:rsid w:val="005D586D"/>
    <w:rsid w:val="005D6167"/>
    <w:rsid w:val="005D62E9"/>
    <w:rsid w:val="005D6356"/>
    <w:rsid w:val="005D691D"/>
    <w:rsid w:val="005D6A28"/>
    <w:rsid w:val="005D6D34"/>
    <w:rsid w:val="005D6EAB"/>
    <w:rsid w:val="005D7550"/>
    <w:rsid w:val="005D778C"/>
    <w:rsid w:val="005D7B5D"/>
    <w:rsid w:val="005D7C2D"/>
    <w:rsid w:val="005E0227"/>
    <w:rsid w:val="005E034C"/>
    <w:rsid w:val="005E0933"/>
    <w:rsid w:val="005E09C9"/>
    <w:rsid w:val="005E0BBA"/>
    <w:rsid w:val="005E0C61"/>
    <w:rsid w:val="005E1185"/>
    <w:rsid w:val="005E123D"/>
    <w:rsid w:val="005E13C9"/>
    <w:rsid w:val="005E1834"/>
    <w:rsid w:val="005E18A9"/>
    <w:rsid w:val="005E18D8"/>
    <w:rsid w:val="005E2131"/>
    <w:rsid w:val="005E272B"/>
    <w:rsid w:val="005E288D"/>
    <w:rsid w:val="005E2BA5"/>
    <w:rsid w:val="005E2F2D"/>
    <w:rsid w:val="005E3C65"/>
    <w:rsid w:val="005E3E90"/>
    <w:rsid w:val="005E586F"/>
    <w:rsid w:val="005E591C"/>
    <w:rsid w:val="005E5C22"/>
    <w:rsid w:val="005E60AA"/>
    <w:rsid w:val="005E6E76"/>
    <w:rsid w:val="005E7595"/>
    <w:rsid w:val="005E786E"/>
    <w:rsid w:val="005E7DA4"/>
    <w:rsid w:val="005F0108"/>
    <w:rsid w:val="005F032C"/>
    <w:rsid w:val="005F0526"/>
    <w:rsid w:val="005F13C8"/>
    <w:rsid w:val="005F1517"/>
    <w:rsid w:val="005F1813"/>
    <w:rsid w:val="005F2137"/>
    <w:rsid w:val="005F2623"/>
    <w:rsid w:val="005F26E2"/>
    <w:rsid w:val="005F2889"/>
    <w:rsid w:val="005F3062"/>
    <w:rsid w:val="005F312A"/>
    <w:rsid w:val="005F342B"/>
    <w:rsid w:val="005F3577"/>
    <w:rsid w:val="005F3F3D"/>
    <w:rsid w:val="005F400F"/>
    <w:rsid w:val="005F4507"/>
    <w:rsid w:val="005F4A5D"/>
    <w:rsid w:val="005F5106"/>
    <w:rsid w:val="005F6356"/>
    <w:rsid w:val="005F682E"/>
    <w:rsid w:val="005F6E8F"/>
    <w:rsid w:val="005F6F2E"/>
    <w:rsid w:val="005F78E1"/>
    <w:rsid w:val="005F7E50"/>
    <w:rsid w:val="005F7ED7"/>
    <w:rsid w:val="006000C1"/>
    <w:rsid w:val="006003CC"/>
    <w:rsid w:val="006004BA"/>
    <w:rsid w:val="006005CC"/>
    <w:rsid w:val="00600B15"/>
    <w:rsid w:val="00600E19"/>
    <w:rsid w:val="00601031"/>
    <w:rsid w:val="006016CF"/>
    <w:rsid w:val="006018D6"/>
    <w:rsid w:val="00601995"/>
    <w:rsid w:val="00601D97"/>
    <w:rsid w:val="00601FFD"/>
    <w:rsid w:val="00602364"/>
    <w:rsid w:val="006023BA"/>
    <w:rsid w:val="0060251E"/>
    <w:rsid w:val="00602AC7"/>
    <w:rsid w:val="00602DEC"/>
    <w:rsid w:val="00603923"/>
    <w:rsid w:val="00603C07"/>
    <w:rsid w:val="00604022"/>
    <w:rsid w:val="006045D9"/>
    <w:rsid w:val="00604828"/>
    <w:rsid w:val="00605BC3"/>
    <w:rsid w:val="006063D4"/>
    <w:rsid w:val="00606FF5"/>
    <w:rsid w:val="0060746A"/>
    <w:rsid w:val="006075B7"/>
    <w:rsid w:val="00607872"/>
    <w:rsid w:val="00607890"/>
    <w:rsid w:val="00607CF1"/>
    <w:rsid w:val="0061082A"/>
    <w:rsid w:val="00610A68"/>
    <w:rsid w:val="006110ED"/>
    <w:rsid w:val="00611B11"/>
    <w:rsid w:val="00611CCD"/>
    <w:rsid w:val="00611EA3"/>
    <w:rsid w:val="00612014"/>
    <w:rsid w:val="00612317"/>
    <w:rsid w:val="00612851"/>
    <w:rsid w:val="006128D8"/>
    <w:rsid w:val="00612B56"/>
    <w:rsid w:val="0061340C"/>
    <w:rsid w:val="00613542"/>
    <w:rsid w:val="00613813"/>
    <w:rsid w:val="00613910"/>
    <w:rsid w:val="006141D3"/>
    <w:rsid w:val="006143CC"/>
    <w:rsid w:val="00614858"/>
    <w:rsid w:val="00614FF2"/>
    <w:rsid w:val="00615123"/>
    <w:rsid w:val="0061574B"/>
    <w:rsid w:val="0061581E"/>
    <w:rsid w:val="00615DC7"/>
    <w:rsid w:val="00615F66"/>
    <w:rsid w:val="00616805"/>
    <w:rsid w:val="00616823"/>
    <w:rsid w:val="00616846"/>
    <w:rsid w:val="0061698C"/>
    <w:rsid w:val="00616FD2"/>
    <w:rsid w:val="00617827"/>
    <w:rsid w:val="00620455"/>
    <w:rsid w:val="0062052C"/>
    <w:rsid w:val="006205FD"/>
    <w:rsid w:val="006209DC"/>
    <w:rsid w:val="00620A00"/>
    <w:rsid w:val="00620D58"/>
    <w:rsid w:val="006218E6"/>
    <w:rsid w:val="00621E07"/>
    <w:rsid w:val="006225CC"/>
    <w:rsid w:val="00622A1A"/>
    <w:rsid w:val="00622AEB"/>
    <w:rsid w:val="00623493"/>
    <w:rsid w:val="00623D53"/>
    <w:rsid w:val="00623EF0"/>
    <w:rsid w:val="006241B0"/>
    <w:rsid w:val="006243BD"/>
    <w:rsid w:val="0062449B"/>
    <w:rsid w:val="0062460C"/>
    <w:rsid w:val="00624955"/>
    <w:rsid w:val="006251B0"/>
    <w:rsid w:val="0062546A"/>
    <w:rsid w:val="00625580"/>
    <w:rsid w:val="006257D9"/>
    <w:rsid w:val="006258FD"/>
    <w:rsid w:val="00625C2F"/>
    <w:rsid w:val="00625F0C"/>
    <w:rsid w:val="00626EFB"/>
    <w:rsid w:val="00627341"/>
    <w:rsid w:val="00627354"/>
    <w:rsid w:val="00627611"/>
    <w:rsid w:val="00627ABC"/>
    <w:rsid w:val="00627B89"/>
    <w:rsid w:val="00627E39"/>
    <w:rsid w:val="0063039D"/>
    <w:rsid w:val="006310D5"/>
    <w:rsid w:val="006310E5"/>
    <w:rsid w:val="00631F22"/>
    <w:rsid w:val="00632139"/>
    <w:rsid w:val="00632DF0"/>
    <w:rsid w:val="00633198"/>
    <w:rsid w:val="006331F8"/>
    <w:rsid w:val="00633627"/>
    <w:rsid w:val="0063363A"/>
    <w:rsid w:val="00633DE1"/>
    <w:rsid w:val="00634225"/>
    <w:rsid w:val="006346AB"/>
    <w:rsid w:val="00634B6E"/>
    <w:rsid w:val="00634D33"/>
    <w:rsid w:val="0063522E"/>
    <w:rsid w:val="00635D32"/>
    <w:rsid w:val="006360DC"/>
    <w:rsid w:val="006363AA"/>
    <w:rsid w:val="006363D4"/>
    <w:rsid w:val="006365EF"/>
    <w:rsid w:val="006369BA"/>
    <w:rsid w:val="00636E48"/>
    <w:rsid w:val="00637475"/>
    <w:rsid w:val="00640267"/>
    <w:rsid w:val="00640CF7"/>
    <w:rsid w:val="00641803"/>
    <w:rsid w:val="006419E2"/>
    <w:rsid w:val="00642251"/>
    <w:rsid w:val="0064261A"/>
    <w:rsid w:val="00642AA1"/>
    <w:rsid w:val="00642DA8"/>
    <w:rsid w:val="00643390"/>
    <w:rsid w:val="00643B67"/>
    <w:rsid w:val="00643C63"/>
    <w:rsid w:val="00644702"/>
    <w:rsid w:val="00644A71"/>
    <w:rsid w:val="00644C48"/>
    <w:rsid w:val="006453D8"/>
    <w:rsid w:val="0064578E"/>
    <w:rsid w:val="00645988"/>
    <w:rsid w:val="00645BD4"/>
    <w:rsid w:val="006468C0"/>
    <w:rsid w:val="006479E3"/>
    <w:rsid w:val="00647A9B"/>
    <w:rsid w:val="00647FAF"/>
    <w:rsid w:val="0065037B"/>
    <w:rsid w:val="00650F1E"/>
    <w:rsid w:val="00651651"/>
    <w:rsid w:val="0065188A"/>
    <w:rsid w:val="00651A02"/>
    <w:rsid w:val="00651B44"/>
    <w:rsid w:val="00652088"/>
    <w:rsid w:val="0065239A"/>
    <w:rsid w:val="006528B8"/>
    <w:rsid w:val="00652A7D"/>
    <w:rsid w:val="00652F2A"/>
    <w:rsid w:val="00653C28"/>
    <w:rsid w:val="00653F40"/>
    <w:rsid w:val="00654028"/>
    <w:rsid w:val="00654375"/>
    <w:rsid w:val="0065451A"/>
    <w:rsid w:val="00654551"/>
    <w:rsid w:val="006545BC"/>
    <w:rsid w:val="006546E2"/>
    <w:rsid w:val="006547BD"/>
    <w:rsid w:val="00654883"/>
    <w:rsid w:val="00654EDB"/>
    <w:rsid w:val="006555F4"/>
    <w:rsid w:val="006556C9"/>
    <w:rsid w:val="00655CE8"/>
    <w:rsid w:val="006560A1"/>
    <w:rsid w:val="0065613D"/>
    <w:rsid w:val="00656519"/>
    <w:rsid w:val="0065671B"/>
    <w:rsid w:val="0065677E"/>
    <w:rsid w:val="00656890"/>
    <w:rsid w:val="00656CE2"/>
    <w:rsid w:val="0065791D"/>
    <w:rsid w:val="00657E2F"/>
    <w:rsid w:val="00657FE0"/>
    <w:rsid w:val="006606B5"/>
    <w:rsid w:val="00660E4B"/>
    <w:rsid w:val="00660F7B"/>
    <w:rsid w:val="00661109"/>
    <w:rsid w:val="006611F6"/>
    <w:rsid w:val="00661423"/>
    <w:rsid w:val="00661662"/>
    <w:rsid w:val="006619A4"/>
    <w:rsid w:val="006619BF"/>
    <w:rsid w:val="00661D10"/>
    <w:rsid w:val="00661EAA"/>
    <w:rsid w:val="006623D2"/>
    <w:rsid w:val="006626B8"/>
    <w:rsid w:val="006629BC"/>
    <w:rsid w:val="00662E7F"/>
    <w:rsid w:val="00662FF9"/>
    <w:rsid w:val="006633BD"/>
    <w:rsid w:val="006636FB"/>
    <w:rsid w:val="00663879"/>
    <w:rsid w:val="00663939"/>
    <w:rsid w:val="006642D7"/>
    <w:rsid w:val="00664495"/>
    <w:rsid w:val="00664E23"/>
    <w:rsid w:val="00665660"/>
    <w:rsid w:val="006659A6"/>
    <w:rsid w:val="0066644E"/>
    <w:rsid w:val="006668F8"/>
    <w:rsid w:val="00667263"/>
    <w:rsid w:val="00667BEE"/>
    <w:rsid w:val="00667BF7"/>
    <w:rsid w:val="00670102"/>
    <w:rsid w:val="00670173"/>
    <w:rsid w:val="006705FD"/>
    <w:rsid w:val="00670768"/>
    <w:rsid w:val="006707E3"/>
    <w:rsid w:val="006707E5"/>
    <w:rsid w:val="006709C9"/>
    <w:rsid w:val="00670E26"/>
    <w:rsid w:val="00670EBA"/>
    <w:rsid w:val="00671B88"/>
    <w:rsid w:val="00671E26"/>
    <w:rsid w:val="00672ED2"/>
    <w:rsid w:val="0067313B"/>
    <w:rsid w:val="00673278"/>
    <w:rsid w:val="00673B91"/>
    <w:rsid w:val="00674443"/>
    <w:rsid w:val="00674630"/>
    <w:rsid w:val="0067482C"/>
    <w:rsid w:val="00674A96"/>
    <w:rsid w:val="006750AA"/>
    <w:rsid w:val="006756DA"/>
    <w:rsid w:val="00675ADF"/>
    <w:rsid w:val="006763D5"/>
    <w:rsid w:val="00676C11"/>
    <w:rsid w:val="006775AE"/>
    <w:rsid w:val="00677C1F"/>
    <w:rsid w:val="00677C4D"/>
    <w:rsid w:val="006801AF"/>
    <w:rsid w:val="006802FB"/>
    <w:rsid w:val="00680B81"/>
    <w:rsid w:val="00680E13"/>
    <w:rsid w:val="00680E20"/>
    <w:rsid w:val="00680EA4"/>
    <w:rsid w:val="00680F4F"/>
    <w:rsid w:val="0068190F"/>
    <w:rsid w:val="00681A6B"/>
    <w:rsid w:val="00681AFA"/>
    <w:rsid w:val="006821B1"/>
    <w:rsid w:val="00682365"/>
    <w:rsid w:val="00682490"/>
    <w:rsid w:val="00682565"/>
    <w:rsid w:val="006828F5"/>
    <w:rsid w:val="0068296A"/>
    <w:rsid w:val="0068318E"/>
    <w:rsid w:val="0068327C"/>
    <w:rsid w:val="00683363"/>
    <w:rsid w:val="00683BE0"/>
    <w:rsid w:val="0068402A"/>
    <w:rsid w:val="00684262"/>
    <w:rsid w:val="00684606"/>
    <w:rsid w:val="00684F18"/>
    <w:rsid w:val="00685C1A"/>
    <w:rsid w:val="00686127"/>
    <w:rsid w:val="00686DDC"/>
    <w:rsid w:val="006870FE"/>
    <w:rsid w:val="006872EC"/>
    <w:rsid w:val="006878DF"/>
    <w:rsid w:val="0068799A"/>
    <w:rsid w:val="00687C1C"/>
    <w:rsid w:val="00687EF4"/>
    <w:rsid w:val="00687F39"/>
    <w:rsid w:val="00687FE4"/>
    <w:rsid w:val="00690479"/>
    <w:rsid w:val="006908CC"/>
    <w:rsid w:val="00690E85"/>
    <w:rsid w:val="00690EA2"/>
    <w:rsid w:val="0069117F"/>
    <w:rsid w:val="006913C0"/>
    <w:rsid w:val="00691D54"/>
    <w:rsid w:val="00691E4F"/>
    <w:rsid w:val="00691EE7"/>
    <w:rsid w:val="00692BF3"/>
    <w:rsid w:val="00692DE0"/>
    <w:rsid w:val="00692F7C"/>
    <w:rsid w:val="00693242"/>
    <w:rsid w:val="0069348B"/>
    <w:rsid w:val="006935FD"/>
    <w:rsid w:val="0069433B"/>
    <w:rsid w:val="00694759"/>
    <w:rsid w:val="00694912"/>
    <w:rsid w:val="00694AF6"/>
    <w:rsid w:val="00695429"/>
    <w:rsid w:val="00695B6F"/>
    <w:rsid w:val="006967BC"/>
    <w:rsid w:val="00696F30"/>
    <w:rsid w:val="00697A6F"/>
    <w:rsid w:val="00697AC6"/>
    <w:rsid w:val="00697DD9"/>
    <w:rsid w:val="006A0450"/>
    <w:rsid w:val="006A06AD"/>
    <w:rsid w:val="006A0853"/>
    <w:rsid w:val="006A0A68"/>
    <w:rsid w:val="006A0CF9"/>
    <w:rsid w:val="006A11F2"/>
    <w:rsid w:val="006A187D"/>
    <w:rsid w:val="006A1983"/>
    <w:rsid w:val="006A1D3A"/>
    <w:rsid w:val="006A3C78"/>
    <w:rsid w:val="006A3D2E"/>
    <w:rsid w:val="006A3F7C"/>
    <w:rsid w:val="006A406F"/>
    <w:rsid w:val="006A51E6"/>
    <w:rsid w:val="006A5508"/>
    <w:rsid w:val="006A552C"/>
    <w:rsid w:val="006A5629"/>
    <w:rsid w:val="006A5D8F"/>
    <w:rsid w:val="006A5EC9"/>
    <w:rsid w:val="006A64AE"/>
    <w:rsid w:val="006A64FC"/>
    <w:rsid w:val="006A6520"/>
    <w:rsid w:val="006A6ACB"/>
    <w:rsid w:val="006A7291"/>
    <w:rsid w:val="006A72E8"/>
    <w:rsid w:val="006B049B"/>
    <w:rsid w:val="006B06BB"/>
    <w:rsid w:val="006B09AB"/>
    <w:rsid w:val="006B10E6"/>
    <w:rsid w:val="006B14E2"/>
    <w:rsid w:val="006B1626"/>
    <w:rsid w:val="006B1F1B"/>
    <w:rsid w:val="006B1F63"/>
    <w:rsid w:val="006B206E"/>
    <w:rsid w:val="006B2571"/>
    <w:rsid w:val="006B26FC"/>
    <w:rsid w:val="006B2ABA"/>
    <w:rsid w:val="006B2B15"/>
    <w:rsid w:val="006B30E9"/>
    <w:rsid w:val="006B31C6"/>
    <w:rsid w:val="006B3B5E"/>
    <w:rsid w:val="006B3CEE"/>
    <w:rsid w:val="006B3E7B"/>
    <w:rsid w:val="006B4192"/>
    <w:rsid w:val="006B424F"/>
    <w:rsid w:val="006B4363"/>
    <w:rsid w:val="006B4B17"/>
    <w:rsid w:val="006B4B7B"/>
    <w:rsid w:val="006B4B95"/>
    <w:rsid w:val="006B51B2"/>
    <w:rsid w:val="006B548A"/>
    <w:rsid w:val="006B5753"/>
    <w:rsid w:val="006B5F43"/>
    <w:rsid w:val="006B61F0"/>
    <w:rsid w:val="006B7DA9"/>
    <w:rsid w:val="006B7E82"/>
    <w:rsid w:val="006C0609"/>
    <w:rsid w:val="006C10D4"/>
    <w:rsid w:val="006C20AC"/>
    <w:rsid w:val="006C2251"/>
    <w:rsid w:val="006C2CA9"/>
    <w:rsid w:val="006C2DFF"/>
    <w:rsid w:val="006C2E6A"/>
    <w:rsid w:val="006C31B8"/>
    <w:rsid w:val="006C3235"/>
    <w:rsid w:val="006C323A"/>
    <w:rsid w:val="006C3A4D"/>
    <w:rsid w:val="006C3A81"/>
    <w:rsid w:val="006C3CCF"/>
    <w:rsid w:val="006C4291"/>
    <w:rsid w:val="006C4ACE"/>
    <w:rsid w:val="006C4B60"/>
    <w:rsid w:val="006C5711"/>
    <w:rsid w:val="006C59A2"/>
    <w:rsid w:val="006C5E0C"/>
    <w:rsid w:val="006C5F8C"/>
    <w:rsid w:val="006C6118"/>
    <w:rsid w:val="006C67F9"/>
    <w:rsid w:val="006C7079"/>
    <w:rsid w:val="006C7376"/>
    <w:rsid w:val="006C76B2"/>
    <w:rsid w:val="006C7D27"/>
    <w:rsid w:val="006D0A79"/>
    <w:rsid w:val="006D0AE5"/>
    <w:rsid w:val="006D0E09"/>
    <w:rsid w:val="006D14EB"/>
    <w:rsid w:val="006D152D"/>
    <w:rsid w:val="006D2308"/>
    <w:rsid w:val="006D233E"/>
    <w:rsid w:val="006D25FB"/>
    <w:rsid w:val="006D2BF1"/>
    <w:rsid w:val="006D2EAA"/>
    <w:rsid w:val="006D3168"/>
    <w:rsid w:val="006D3234"/>
    <w:rsid w:val="006D3509"/>
    <w:rsid w:val="006D37DB"/>
    <w:rsid w:val="006D397E"/>
    <w:rsid w:val="006D3D2E"/>
    <w:rsid w:val="006D3E68"/>
    <w:rsid w:val="006D4CE6"/>
    <w:rsid w:val="006D4DAD"/>
    <w:rsid w:val="006D4E85"/>
    <w:rsid w:val="006D4F5B"/>
    <w:rsid w:val="006D50E6"/>
    <w:rsid w:val="006D59A8"/>
    <w:rsid w:val="006D5A62"/>
    <w:rsid w:val="006D5BC3"/>
    <w:rsid w:val="006D5FC5"/>
    <w:rsid w:val="006D6408"/>
    <w:rsid w:val="006D689A"/>
    <w:rsid w:val="006D6F33"/>
    <w:rsid w:val="006D7181"/>
    <w:rsid w:val="006D7453"/>
    <w:rsid w:val="006D7608"/>
    <w:rsid w:val="006D76B6"/>
    <w:rsid w:val="006D78B0"/>
    <w:rsid w:val="006E058B"/>
    <w:rsid w:val="006E0B4B"/>
    <w:rsid w:val="006E0EE7"/>
    <w:rsid w:val="006E17F2"/>
    <w:rsid w:val="006E1D67"/>
    <w:rsid w:val="006E2AE6"/>
    <w:rsid w:val="006E31C7"/>
    <w:rsid w:val="006E3287"/>
    <w:rsid w:val="006E330D"/>
    <w:rsid w:val="006E354A"/>
    <w:rsid w:val="006E393D"/>
    <w:rsid w:val="006E3C0C"/>
    <w:rsid w:val="006E45C8"/>
    <w:rsid w:val="006E48F1"/>
    <w:rsid w:val="006E4B98"/>
    <w:rsid w:val="006E53C8"/>
    <w:rsid w:val="006E55C0"/>
    <w:rsid w:val="006E55E7"/>
    <w:rsid w:val="006E571B"/>
    <w:rsid w:val="006E5C30"/>
    <w:rsid w:val="006E5FF8"/>
    <w:rsid w:val="006E6303"/>
    <w:rsid w:val="006E6956"/>
    <w:rsid w:val="006E6D45"/>
    <w:rsid w:val="006E6E1D"/>
    <w:rsid w:val="006E7925"/>
    <w:rsid w:val="006F00FD"/>
    <w:rsid w:val="006F08DA"/>
    <w:rsid w:val="006F118E"/>
    <w:rsid w:val="006F2304"/>
    <w:rsid w:val="006F2F7B"/>
    <w:rsid w:val="006F3966"/>
    <w:rsid w:val="006F3D75"/>
    <w:rsid w:val="006F3EA2"/>
    <w:rsid w:val="006F3FC7"/>
    <w:rsid w:val="006F416D"/>
    <w:rsid w:val="006F4A4B"/>
    <w:rsid w:val="006F524A"/>
    <w:rsid w:val="006F5A10"/>
    <w:rsid w:val="006F5B0A"/>
    <w:rsid w:val="006F5D51"/>
    <w:rsid w:val="006F60C2"/>
    <w:rsid w:val="006F6773"/>
    <w:rsid w:val="006F6B56"/>
    <w:rsid w:val="006F7220"/>
    <w:rsid w:val="006F736F"/>
    <w:rsid w:val="006F7FB3"/>
    <w:rsid w:val="0070040C"/>
    <w:rsid w:val="0070052D"/>
    <w:rsid w:val="00700C47"/>
    <w:rsid w:val="007017F4"/>
    <w:rsid w:val="00701BBC"/>
    <w:rsid w:val="00701D2E"/>
    <w:rsid w:val="00703359"/>
    <w:rsid w:val="007041FB"/>
    <w:rsid w:val="00704516"/>
    <w:rsid w:val="00704885"/>
    <w:rsid w:val="00704FF2"/>
    <w:rsid w:val="00705526"/>
    <w:rsid w:val="00705743"/>
    <w:rsid w:val="0070592E"/>
    <w:rsid w:val="0070593A"/>
    <w:rsid w:val="0070596C"/>
    <w:rsid w:val="00706469"/>
    <w:rsid w:val="00706776"/>
    <w:rsid w:val="0070720E"/>
    <w:rsid w:val="007075BA"/>
    <w:rsid w:val="00707A57"/>
    <w:rsid w:val="00707D28"/>
    <w:rsid w:val="00707FB0"/>
    <w:rsid w:val="00710744"/>
    <w:rsid w:val="007108E2"/>
    <w:rsid w:val="00710C49"/>
    <w:rsid w:val="00710C7E"/>
    <w:rsid w:val="00711184"/>
    <w:rsid w:val="00711246"/>
    <w:rsid w:val="00711415"/>
    <w:rsid w:val="00712233"/>
    <w:rsid w:val="00712317"/>
    <w:rsid w:val="00712E71"/>
    <w:rsid w:val="00714308"/>
    <w:rsid w:val="00714500"/>
    <w:rsid w:val="00714995"/>
    <w:rsid w:val="007158FE"/>
    <w:rsid w:val="00715A42"/>
    <w:rsid w:val="00715B39"/>
    <w:rsid w:val="0071623D"/>
    <w:rsid w:val="00716C71"/>
    <w:rsid w:val="00716E17"/>
    <w:rsid w:val="00717000"/>
    <w:rsid w:val="00717505"/>
    <w:rsid w:val="0071755C"/>
    <w:rsid w:val="007177C5"/>
    <w:rsid w:val="00717A90"/>
    <w:rsid w:val="00717E7D"/>
    <w:rsid w:val="00717F06"/>
    <w:rsid w:val="007207E0"/>
    <w:rsid w:val="0072083B"/>
    <w:rsid w:val="00720B74"/>
    <w:rsid w:val="00720D0E"/>
    <w:rsid w:val="00720DE2"/>
    <w:rsid w:val="00721237"/>
    <w:rsid w:val="007214C8"/>
    <w:rsid w:val="0072184F"/>
    <w:rsid w:val="00721A0E"/>
    <w:rsid w:val="00721CB6"/>
    <w:rsid w:val="00721D5A"/>
    <w:rsid w:val="00721DDD"/>
    <w:rsid w:val="0072228D"/>
    <w:rsid w:val="00722493"/>
    <w:rsid w:val="00722A2D"/>
    <w:rsid w:val="00722BAB"/>
    <w:rsid w:val="00722C75"/>
    <w:rsid w:val="00722E40"/>
    <w:rsid w:val="007233A8"/>
    <w:rsid w:val="007234C0"/>
    <w:rsid w:val="007238E1"/>
    <w:rsid w:val="00723964"/>
    <w:rsid w:val="00724210"/>
    <w:rsid w:val="007248DF"/>
    <w:rsid w:val="00724A8A"/>
    <w:rsid w:val="00724D33"/>
    <w:rsid w:val="00725525"/>
    <w:rsid w:val="00726086"/>
    <w:rsid w:val="007266FC"/>
    <w:rsid w:val="007268F5"/>
    <w:rsid w:val="00727EC3"/>
    <w:rsid w:val="00730A83"/>
    <w:rsid w:val="007310D8"/>
    <w:rsid w:val="0073178D"/>
    <w:rsid w:val="007319CC"/>
    <w:rsid w:val="00731B6A"/>
    <w:rsid w:val="00731C06"/>
    <w:rsid w:val="00731C2B"/>
    <w:rsid w:val="00731D21"/>
    <w:rsid w:val="00731D8C"/>
    <w:rsid w:val="007328F8"/>
    <w:rsid w:val="00732AC8"/>
    <w:rsid w:val="00732B5D"/>
    <w:rsid w:val="00732E49"/>
    <w:rsid w:val="00732FA9"/>
    <w:rsid w:val="0073305F"/>
    <w:rsid w:val="00733941"/>
    <w:rsid w:val="00733E8D"/>
    <w:rsid w:val="0073405B"/>
    <w:rsid w:val="00734168"/>
    <w:rsid w:val="00734245"/>
    <w:rsid w:val="007342BF"/>
    <w:rsid w:val="0073456C"/>
    <w:rsid w:val="007349D8"/>
    <w:rsid w:val="00734BB6"/>
    <w:rsid w:val="007350B5"/>
    <w:rsid w:val="00735294"/>
    <w:rsid w:val="007353EE"/>
    <w:rsid w:val="0073604C"/>
    <w:rsid w:val="00736697"/>
    <w:rsid w:val="0073689E"/>
    <w:rsid w:val="007370DB"/>
    <w:rsid w:val="007373D8"/>
    <w:rsid w:val="0073768A"/>
    <w:rsid w:val="007379B1"/>
    <w:rsid w:val="00737A02"/>
    <w:rsid w:val="00737D55"/>
    <w:rsid w:val="007400CB"/>
    <w:rsid w:val="007401A5"/>
    <w:rsid w:val="00740405"/>
    <w:rsid w:val="00740A92"/>
    <w:rsid w:val="00740EE5"/>
    <w:rsid w:val="00741456"/>
    <w:rsid w:val="00741966"/>
    <w:rsid w:val="00741B90"/>
    <w:rsid w:val="00742100"/>
    <w:rsid w:val="00742518"/>
    <w:rsid w:val="0074257E"/>
    <w:rsid w:val="00742AF4"/>
    <w:rsid w:val="007436B5"/>
    <w:rsid w:val="00744005"/>
    <w:rsid w:val="0074400B"/>
    <w:rsid w:val="00744602"/>
    <w:rsid w:val="007449A9"/>
    <w:rsid w:val="007455A6"/>
    <w:rsid w:val="00746336"/>
    <w:rsid w:val="00746494"/>
    <w:rsid w:val="007468F0"/>
    <w:rsid w:val="00746E71"/>
    <w:rsid w:val="00746F11"/>
    <w:rsid w:val="0074707C"/>
    <w:rsid w:val="00747186"/>
    <w:rsid w:val="007472C2"/>
    <w:rsid w:val="007478E0"/>
    <w:rsid w:val="00747A37"/>
    <w:rsid w:val="00747A7E"/>
    <w:rsid w:val="00747C33"/>
    <w:rsid w:val="00747E43"/>
    <w:rsid w:val="007503B7"/>
    <w:rsid w:val="0075045C"/>
    <w:rsid w:val="0075092E"/>
    <w:rsid w:val="00750B46"/>
    <w:rsid w:val="00750C8F"/>
    <w:rsid w:val="00751038"/>
    <w:rsid w:val="007513EF"/>
    <w:rsid w:val="00751A8E"/>
    <w:rsid w:val="00751BAA"/>
    <w:rsid w:val="00751DF6"/>
    <w:rsid w:val="0075200A"/>
    <w:rsid w:val="007524C4"/>
    <w:rsid w:val="007527BD"/>
    <w:rsid w:val="00752F98"/>
    <w:rsid w:val="00753251"/>
    <w:rsid w:val="007533AB"/>
    <w:rsid w:val="007536FF"/>
    <w:rsid w:val="007540D7"/>
    <w:rsid w:val="00754CB5"/>
    <w:rsid w:val="007554B1"/>
    <w:rsid w:val="0075578E"/>
    <w:rsid w:val="007558AE"/>
    <w:rsid w:val="00756265"/>
    <w:rsid w:val="00756B10"/>
    <w:rsid w:val="0075733A"/>
    <w:rsid w:val="00757DA2"/>
    <w:rsid w:val="00757F5D"/>
    <w:rsid w:val="00760156"/>
    <w:rsid w:val="0076053D"/>
    <w:rsid w:val="00761781"/>
    <w:rsid w:val="00762667"/>
    <w:rsid w:val="00762AE0"/>
    <w:rsid w:val="00763885"/>
    <w:rsid w:val="007638E2"/>
    <w:rsid w:val="00763A2B"/>
    <w:rsid w:val="00763F63"/>
    <w:rsid w:val="007646EE"/>
    <w:rsid w:val="0076514E"/>
    <w:rsid w:val="00765630"/>
    <w:rsid w:val="00765B1D"/>
    <w:rsid w:val="00765BAB"/>
    <w:rsid w:val="0076610A"/>
    <w:rsid w:val="007666B9"/>
    <w:rsid w:val="00766B57"/>
    <w:rsid w:val="007671E6"/>
    <w:rsid w:val="00767446"/>
    <w:rsid w:val="007679B1"/>
    <w:rsid w:val="00770446"/>
    <w:rsid w:val="00770852"/>
    <w:rsid w:val="00770962"/>
    <w:rsid w:val="00770E2B"/>
    <w:rsid w:val="00770E9A"/>
    <w:rsid w:val="00770EF5"/>
    <w:rsid w:val="007711CE"/>
    <w:rsid w:val="00771218"/>
    <w:rsid w:val="00771516"/>
    <w:rsid w:val="007718DA"/>
    <w:rsid w:val="007719C1"/>
    <w:rsid w:val="00771AE8"/>
    <w:rsid w:val="00771BFC"/>
    <w:rsid w:val="00771C7F"/>
    <w:rsid w:val="00771D22"/>
    <w:rsid w:val="00771F58"/>
    <w:rsid w:val="00772ABC"/>
    <w:rsid w:val="00772B1B"/>
    <w:rsid w:val="00772C7C"/>
    <w:rsid w:val="00772DE4"/>
    <w:rsid w:val="007730AE"/>
    <w:rsid w:val="00773100"/>
    <w:rsid w:val="007734ED"/>
    <w:rsid w:val="00773668"/>
    <w:rsid w:val="00773881"/>
    <w:rsid w:val="00773CF4"/>
    <w:rsid w:val="007743C2"/>
    <w:rsid w:val="0077468A"/>
    <w:rsid w:val="00774ECE"/>
    <w:rsid w:val="00774F80"/>
    <w:rsid w:val="00775042"/>
    <w:rsid w:val="00775077"/>
    <w:rsid w:val="00775317"/>
    <w:rsid w:val="00775374"/>
    <w:rsid w:val="007754E1"/>
    <w:rsid w:val="00775CED"/>
    <w:rsid w:val="00775D94"/>
    <w:rsid w:val="0077623B"/>
    <w:rsid w:val="00776A7F"/>
    <w:rsid w:val="00777106"/>
    <w:rsid w:val="00777997"/>
    <w:rsid w:val="007803DD"/>
    <w:rsid w:val="00780B81"/>
    <w:rsid w:val="007813FB"/>
    <w:rsid w:val="00781A49"/>
    <w:rsid w:val="00781CF1"/>
    <w:rsid w:val="00782E5A"/>
    <w:rsid w:val="00782E8C"/>
    <w:rsid w:val="007838C0"/>
    <w:rsid w:val="00783A00"/>
    <w:rsid w:val="00783BE8"/>
    <w:rsid w:val="00783EF4"/>
    <w:rsid w:val="00784489"/>
    <w:rsid w:val="00784782"/>
    <w:rsid w:val="00784A8F"/>
    <w:rsid w:val="0078512F"/>
    <w:rsid w:val="007851C3"/>
    <w:rsid w:val="007852A9"/>
    <w:rsid w:val="00785502"/>
    <w:rsid w:val="00785BBF"/>
    <w:rsid w:val="00785D85"/>
    <w:rsid w:val="00786117"/>
    <w:rsid w:val="00786509"/>
    <w:rsid w:val="007866C8"/>
    <w:rsid w:val="007874C3"/>
    <w:rsid w:val="0078751E"/>
    <w:rsid w:val="00787B6C"/>
    <w:rsid w:val="00790C3A"/>
    <w:rsid w:val="00790C46"/>
    <w:rsid w:val="00790D86"/>
    <w:rsid w:val="007917A5"/>
    <w:rsid w:val="007918B3"/>
    <w:rsid w:val="00791C58"/>
    <w:rsid w:val="00791F90"/>
    <w:rsid w:val="00792361"/>
    <w:rsid w:val="00792B85"/>
    <w:rsid w:val="00792FA4"/>
    <w:rsid w:val="00793557"/>
    <w:rsid w:val="00793C81"/>
    <w:rsid w:val="00793C90"/>
    <w:rsid w:val="007944E6"/>
    <w:rsid w:val="00794592"/>
    <w:rsid w:val="00794683"/>
    <w:rsid w:val="00794733"/>
    <w:rsid w:val="00794B22"/>
    <w:rsid w:val="00795219"/>
    <w:rsid w:val="00795386"/>
    <w:rsid w:val="00795472"/>
    <w:rsid w:val="00795C1E"/>
    <w:rsid w:val="00795DAC"/>
    <w:rsid w:val="00795E41"/>
    <w:rsid w:val="007962A1"/>
    <w:rsid w:val="007962CD"/>
    <w:rsid w:val="007964AF"/>
    <w:rsid w:val="00796595"/>
    <w:rsid w:val="00796BA5"/>
    <w:rsid w:val="007973FD"/>
    <w:rsid w:val="0079751D"/>
    <w:rsid w:val="0079763D"/>
    <w:rsid w:val="00797A31"/>
    <w:rsid w:val="007A0664"/>
    <w:rsid w:val="007A1289"/>
    <w:rsid w:val="007A1300"/>
    <w:rsid w:val="007A14A3"/>
    <w:rsid w:val="007A157A"/>
    <w:rsid w:val="007A18A5"/>
    <w:rsid w:val="007A26CF"/>
    <w:rsid w:val="007A26D9"/>
    <w:rsid w:val="007A2DBC"/>
    <w:rsid w:val="007A2E2E"/>
    <w:rsid w:val="007A2F01"/>
    <w:rsid w:val="007A3ADF"/>
    <w:rsid w:val="007A43A8"/>
    <w:rsid w:val="007A46FB"/>
    <w:rsid w:val="007A4960"/>
    <w:rsid w:val="007A5377"/>
    <w:rsid w:val="007A58AE"/>
    <w:rsid w:val="007A5BAA"/>
    <w:rsid w:val="007A6453"/>
    <w:rsid w:val="007A6594"/>
    <w:rsid w:val="007A66C9"/>
    <w:rsid w:val="007A69E3"/>
    <w:rsid w:val="007A6F12"/>
    <w:rsid w:val="007A70ED"/>
    <w:rsid w:val="007A739B"/>
    <w:rsid w:val="007A74AE"/>
    <w:rsid w:val="007A7DC6"/>
    <w:rsid w:val="007B0938"/>
    <w:rsid w:val="007B1260"/>
    <w:rsid w:val="007B144B"/>
    <w:rsid w:val="007B15DD"/>
    <w:rsid w:val="007B1600"/>
    <w:rsid w:val="007B19D4"/>
    <w:rsid w:val="007B1CF7"/>
    <w:rsid w:val="007B1DE1"/>
    <w:rsid w:val="007B2722"/>
    <w:rsid w:val="007B27EA"/>
    <w:rsid w:val="007B2EC9"/>
    <w:rsid w:val="007B33A1"/>
    <w:rsid w:val="007B4304"/>
    <w:rsid w:val="007B47BE"/>
    <w:rsid w:val="007B4827"/>
    <w:rsid w:val="007B4CD8"/>
    <w:rsid w:val="007B5684"/>
    <w:rsid w:val="007B57FB"/>
    <w:rsid w:val="007B586E"/>
    <w:rsid w:val="007B58B3"/>
    <w:rsid w:val="007B6263"/>
    <w:rsid w:val="007B70A0"/>
    <w:rsid w:val="007C03CB"/>
    <w:rsid w:val="007C0A24"/>
    <w:rsid w:val="007C0CCB"/>
    <w:rsid w:val="007C1083"/>
    <w:rsid w:val="007C120D"/>
    <w:rsid w:val="007C1213"/>
    <w:rsid w:val="007C1222"/>
    <w:rsid w:val="007C16CB"/>
    <w:rsid w:val="007C1705"/>
    <w:rsid w:val="007C1786"/>
    <w:rsid w:val="007C1821"/>
    <w:rsid w:val="007C1A9E"/>
    <w:rsid w:val="007C2012"/>
    <w:rsid w:val="007C2E93"/>
    <w:rsid w:val="007C3E83"/>
    <w:rsid w:val="007C4318"/>
    <w:rsid w:val="007C4F28"/>
    <w:rsid w:val="007C4F9E"/>
    <w:rsid w:val="007C50BC"/>
    <w:rsid w:val="007C5E1D"/>
    <w:rsid w:val="007C61A2"/>
    <w:rsid w:val="007C6510"/>
    <w:rsid w:val="007C659E"/>
    <w:rsid w:val="007C6645"/>
    <w:rsid w:val="007C6667"/>
    <w:rsid w:val="007C67F0"/>
    <w:rsid w:val="007C6A4F"/>
    <w:rsid w:val="007C6B3D"/>
    <w:rsid w:val="007C7160"/>
    <w:rsid w:val="007C752A"/>
    <w:rsid w:val="007C7EA9"/>
    <w:rsid w:val="007D0EA2"/>
    <w:rsid w:val="007D1164"/>
    <w:rsid w:val="007D11A4"/>
    <w:rsid w:val="007D1515"/>
    <w:rsid w:val="007D162E"/>
    <w:rsid w:val="007D16CD"/>
    <w:rsid w:val="007D24A1"/>
    <w:rsid w:val="007D2DDF"/>
    <w:rsid w:val="007D3163"/>
    <w:rsid w:val="007D3199"/>
    <w:rsid w:val="007D3796"/>
    <w:rsid w:val="007D4491"/>
    <w:rsid w:val="007D4F3D"/>
    <w:rsid w:val="007D5E2D"/>
    <w:rsid w:val="007D5FC5"/>
    <w:rsid w:val="007D645F"/>
    <w:rsid w:val="007D64E3"/>
    <w:rsid w:val="007D6ACD"/>
    <w:rsid w:val="007D7D4E"/>
    <w:rsid w:val="007D7DEB"/>
    <w:rsid w:val="007E08D5"/>
    <w:rsid w:val="007E1012"/>
    <w:rsid w:val="007E1070"/>
    <w:rsid w:val="007E1562"/>
    <w:rsid w:val="007E15E1"/>
    <w:rsid w:val="007E176C"/>
    <w:rsid w:val="007E1DDE"/>
    <w:rsid w:val="007E1F7A"/>
    <w:rsid w:val="007E208D"/>
    <w:rsid w:val="007E236A"/>
    <w:rsid w:val="007E249E"/>
    <w:rsid w:val="007E28A0"/>
    <w:rsid w:val="007E2CBA"/>
    <w:rsid w:val="007E2CD1"/>
    <w:rsid w:val="007E376D"/>
    <w:rsid w:val="007E4207"/>
    <w:rsid w:val="007E4911"/>
    <w:rsid w:val="007E504A"/>
    <w:rsid w:val="007E5486"/>
    <w:rsid w:val="007E5629"/>
    <w:rsid w:val="007E56DF"/>
    <w:rsid w:val="007E5755"/>
    <w:rsid w:val="007E62D1"/>
    <w:rsid w:val="007E6326"/>
    <w:rsid w:val="007E69BD"/>
    <w:rsid w:val="007E6A3E"/>
    <w:rsid w:val="007E6C96"/>
    <w:rsid w:val="007E6F18"/>
    <w:rsid w:val="007E6F5D"/>
    <w:rsid w:val="007E6F6F"/>
    <w:rsid w:val="007E73A1"/>
    <w:rsid w:val="007E76C3"/>
    <w:rsid w:val="007E780A"/>
    <w:rsid w:val="007E7D92"/>
    <w:rsid w:val="007E7F54"/>
    <w:rsid w:val="007E7F79"/>
    <w:rsid w:val="007F0D92"/>
    <w:rsid w:val="007F11A5"/>
    <w:rsid w:val="007F1AE7"/>
    <w:rsid w:val="007F2303"/>
    <w:rsid w:val="007F235E"/>
    <w:rsid w:val="007F269B"/>
    <w:rsid w:val="007F2789"/>
    <w:rsid w:val="007F27B1"/>
    <w:rsid w:val="007F29B6"/>
    <w:rsid w:val="007F2B30"/>
    <w:rsid w:val="007F2BBF"/>
    <w:rsid w:val="007F2CED"/>
    <w:rsid w:val="007F2D29"/>
    <w:rsid w:val="007F3344"/>
    <w:rsid w:val="007F3454"/>
    <w:rsid w:val="007F369A"/>
    <w:rsid w:val="007F3933"/>
    <w:rsid w:val="007F393D"/>
    <w:rsid w:val="007F4262"/>
    <w:rsid w:val="007F467B"/>
    <w:rsid w:val="007F47CE"/>
    <w:rsid w:val="007F49A2"/>
    <w:rsid w:val="007F4AEE"/>
    <w:rsid w:val="007F50F3"/>
    <w:rsid w:val="007F60A9"/>
    <w:rsid w:val="007F651C"/>
    <w:rsid w:val="007F6AAD"/>
    <w:rsid w:val="007F7205"/>
    <w:rsid w:val="007F73C4"/>
    <w:rsid w:val="007F77D3"/>
    <w:rsid w:val="007F7B15"/>
    <w:rsid w:val="007F7EBE"/>
    <w:rsid w:val="008011BB"/>
    <w:rsid w:val="008012A9"/>
    <w:rsid w:val="008017D1"/>
    <w:rsid w:val="00801840"/>
    <w:rsid w:val="00801A1F"/>
    <w:rsid w:val="00801F56"/>
    <w:rsid w:val="008025FD"/>
    <w:rsid w:val="0080276E"/>
    <w:rsid w:val="0080295F"/>
    <w:rsid w:val="0080297E"/>
    <w:rsid w:val="00802FE5"/>
    <w:rsid w:val="008037E7"/>
    <w:rsid w:val="00803CED"/>
    <w:rsid w:val="008042FC"/>
    <w:rsid w:val="00804527"/>
    <w:rsid w:val="00804F19"/>
    <w:rsid w:val="00804FF2"/>
    <w:rsid w:val="008053D4"/>
    <w:rsid w:val="0080550A"/>
    <w:rsid w:val="00805526"/>
    <w:rsid w:val="00805639"/>
    <w:rsid w:val="00805792"/>
    <w:rsid w:val="0080580E"/>
    <w:rsid w:val="00805D44"/>
    <w:rsid w:val="00806404"/>
    <w:rsid w:val="00806519"/>
    <w:rsid w:val="00806804"/>
    <w:rsid w:val="00806A92"/>
    <w:rsid w:val="00806AFD"/>
    <w:rsid w:val="00807507"/>
    <w:rsid w:val="008078DA"/>
    <w:rsid w:val="00807D60"/>
    <w:rsid w:val="00807DCF"/>
    <w:rsid w:val="00810113"/>
    <w:rsid w:val="00810C12"/>
    <w:rsid w:val="00811C65"/>
    <w:rsid w:val="00811F54"/>
    <w:rsid w:val="008123CB"/>
    <w:rsid w:val="008129FB"/>
    <w:rsid w:val="00812BA5"/>
    <w:rsid w:val="008130B0"/>
    <w:rsid w:val="00813DD0"/>
    <w:rsid w:val="00813EED"/>
    <w:rsid w:val="0081423B"/>
    <w:rsid w:val="00814713"/>
    <w:rsid w:val="00814780"/>
    <w:rsid w:val="008147CC"/>
    <w:rsid w:val="00815010"/>
    <w:rsid w:val="00815039"/>
    <w:rsid w:val="008151EE"/>
    <w:rsid w:val="008152EE"/>
    <w:rsid w:val="00815E08"/>
    <w:rsid w:val="00815E86"/>
    <w:rsid w:val="00816D9B"/>
    <w:rsid w:val="00817285"/>
    <w:rsid w:val="00817534"/>
    <w:rsid w:val="00817566"/>
    <w:rsid w:val="00817743"/>
    <w:rsid w:val="00817AF9"/>
    <w:rsid w:val="008200B7"/>
    <w:rsid w:val="008203C4"/>
    <w:rsid w:val="008207D3"/>
    <w:rsid w:val="008209F2"/>
    <w:rsid w:val="00820A95"/>
    <w:rsid w:val="00821A94"/>
    <w:rsid w:val="00821F5F"/>
    <w:rsid w:val="0082254A"/>
    <w:rsid w:val="00822A39"/>
    <w:rsid w:val="00823015"/>
    <w:rsid w:val="00823F0F"/>
    <w:rsid w:val="00823F1B"/>
    <w:rsid w:val="008246EB"/>
    <w:rsid w:val="00824F0D"/>
    <w:rsid w:val="0082510A"/>
    <w:rsid w:val="008259A2"/>
    <w:rsid w:val="00825C4B"/>
    <w:rsid w:val="00825F60"/>
    <w:rsid w:val="008260E7"/>
    <w:rsid w:val="008262BB"/>
    <w:rsid w:val="0082705B"/>
    <w:rsid w:val="008276C4"/>
    <w:rsid w:val="00827AF3"/>
    <w:rsid w:val="0083067F"/>
    <w:rsid w:val="008306FF"/>
    <w:rsid w:val="00830867"/>
    <w:rsid w:val="00830B43"/>
    <w:rsid w:val="00830E1F"/>
    <w:rsid w:val="00830F36"/>
    <w:rsid w:val="00830F76"/>
    <w:rsid w:val="008310A9"/>
    <w:rsid w:val="008311E0"/>
    <w:rsid w:val="008313F3"/>
    <w:rsid w:val="00831526"/>
    <w:rsid w:val="00832249"/>
    <w:rsid w:val="00832AAA"/>
    <w:rsid w:val="00833327"/>
    <w:rsid w:val="00833532"/>
    <w:rsid w:val="008339B4"/>
    <w:rsid w:val="00834511"/>
    <w:rsid w:val="00834C38"/>
    <w:rsid w:val="008356BB"/>
    <w:rsid w:val="00835EA7"/>
    <w:rsid w:val="00835FFE"/>
    <w:rsid w:val="00836102"/>
    <w:rsid w:val="008376F0"/>
    <w:rsid w:val="00837DC6"/>
    <w:rsid w:val="0084058A"/>
    <w:rsid w:val="00840C6E"/>
    <w:rsid w:val="00840E1C"/>
    <w:rsid w:val="00841457"/>
    <w:rsid w:val="00841E67"/>
    <w:rsid w:val="00842941"/>
    <w:rsid w:val="00842D16"/>
    <w:rsid w:val="00843540"/>
    <w:rsid w:val="008435C0"/>
    <w:rsid w:val="00843AE8"/>
    <w:rsid w:val="00843B33"/>
    <w:rsid w:val="00843C68"/>
    <w:rsid w:val="0084403B"/>
    <w:rsid w:val="00844152"/>
    <w:rsid w:val="00844BED"/>
    <w:rsid w:val="008450E4"/>
    <w:rsid w:val="00845131"/>
    <w:rsid w:val="00845B68"/>
    <w:rsid w:val="00846F71"/>
    <w:rsid w:val="008477EA"/>
    <w:rsid w:val="008477F4"/>
    <w:rsid w:val="0084784E"/>
    <w:rsid w:val="00847C61"/>
    <w:rsid w:val="00847D5C"/>
    <w:rsid w:val="0085159B"/>
    <w:rsid w:val="00851730"/>
    <w:rsid w:val="00851880"/>
    <w:rsid w:val="00852561"/>
    <w:rsid w:val="00852CE2"/>
    <w:rsid w:val="008531D0"/>
    <w:rsid w:val="0085365F"/>
    <w:rsid w:val="00854C7C"/>
    <w:rsid w:val="00854E6D"/>
    <w:rsid w:val="0085504B"/>
    <w:rsid w:val="00855734"/>
    <w:rsid w:val="0085591C"/>
    <w:rsid w:val="0085595D"/>
    <w:rsid w:val="00855B42"/>
    <w:rsid w:val="00855C0C"/>
    <w:rsid w:val="00856310"/>
    <w:rsid w:val="0085636B"/>
    <w:rsid w:val="008568FF"/>
    <w:rsid w:val="00857311"/>
    <w:rsid w:val="0086002E"/>
    <w:rsid w:val="00860154"/>
    <w:rsid w:val="00860776"/>
    <w:rsid w:val="00861885"/>
    <w:rsid w:val="00861972"/>
    <w:rsid w:val="00861A7B"/>
    <w:rsid w:val="00861AB0"/>
    <w:rsid w:val="0086251E"/>
    <w:rsid w:val="00862843"/>
    <w:rsid w:val="0086287E"/>
    <w:rsid w:val="00862D29"/>
    <w:rsid w:val="008633E9"/>
    <w:rsid w:val="00863480"/>
    <w:rsid w:val="0086393E"/>
    <w:rsid w:val="008642C2"/>
    <w:rsid w:val="008642E8"/>
    <w:rsid w:val="0086433F"/>
    <w:rsid w:val="00864BFA"/>
    <w:rsid w:val="00865561"/>
    <w:rsid w:val="008658E2"/>
    <w:rsid w:val="00865D95"/>
    <w:rsid w:val="008660F0"/>
    <w:rsid w:val="00866169"/>
    <w:rsid w:val="008663F9"/>
    <w:rsid w:val="0086645A"/>
    <w:rsid w:val="008672C8"/>
    <w:rsid w:val="00867344"/>
    <w:rsid w:val="00867576"/>
    <w:rsid w:val="008678D9"/>
    <w:rsid w:val="00867B31"/>
    <w:rsid w:val="00870055"/>
    <w:rsid w:val="00870427"/>
    <w:rsid w:val="00870447"/>
    <w:rsid w:val="00870B1A"/>
    <w:rsid w:val="0087112E"/>
    <w:rsid w:val="008713A3"/>
    <w:rsid w:val="008714C1"/>
    <w:rsid w:val="0087203C"/>
    <w:rsid w:val="00872142"/>
    <w:rsid w:val="00872190"/>
    <w:rsid w:val="00872BF9"/>
    <w:rsid w:val="00872CBC"/>
    <w:rsid w:val="008739D6"/>
    <w:rsid w:val="00873B8F"/>
    <w:rsid w:val="00873C7D"/>
    <w:rsid w:val="0087423F"/>
    <w:rsid w:val="0087470E"/>
    <w:rsid w:val="00875089"/>
    <w:rsid w:val="008750A9"/>
    <w:rsid w:val="0087515E"/>
    <w:rsid w:val="00875540"/>
    <w:rsid w:val="008755EC"/>
    <w:rsid w:val="00875864"/>
    <w:rsid w:val="008759C2"/>
    <w:rsid w:val="00875B65"/>
    <w:rsid w:val="00875D8A"/>
    <w:rsid w:val="00875F25"/>
    <w:rsid w:val="00876095"/>
    <w:rsid w:val="008763E5"/>
    <w:rsid w:val="00876CA7"/>
    <w:rsid w:val="00876D59"/>
    <w:rsid w:val="00877432"/>
    <w:rsid w:val="00877D8D"/>
    <w:rsid w:val="008801FD"/>
    <w:rsid w:val="00880509"/>
    <w:rsid w:val="008806C2"/>
    <w:rsid w:val="00880A85"/>
    <w:rsid w:val="00880DB1"/>
    <w:rsid w:val="00881538"/>
    <w:rsid w:val="008815C5"/>
    <w:rsid w:val="008818F2"/>
    <w:rsid w:val="00881A3D"/>
    <w:rsid w:val="0088207F"/>
    <w:rsid w:val="008820D4"/>
    <w:rsid w:val="0088224F"/>
    <w:rsid w:val="008824A2"/>
    <w:rsid w:val="00882553"/>
    <w:rsid w:val="00882685"/>
    <w:rsid w:val="008828AB"/>
    <w:rsid w:val="00882A2C"/>
    <w:rsid w:val="00883167"/>
    <w:rsid w:val="00884534"/>
    <w:rsid w:val="00884604"/>
    <w:rsid w:val="008846F1"/>
    <w:rsid w:val="0088485B"/>
    <w:rsid w:val="00884AD8"/>
    <w:rsid w:val="00884BE2"/>
    <w:rsid w:val="00884C10"/>
    <w:rsid w:val="008851A8"/>
    <w:rsid w:val="008853C3"/>
    <w:rsid w:val="00885688"/>
    <w:rsid w:val="00885BD9"/>
    <w:rsid w:val="00885DD5"/>
    <w:rsid w:val="00886106"/>
    <w:rsid w:val="0088624C"/>
    <w:rsid w:val="008864B8"/>
    <w:rsid w:val="00886E06"/>
    <w:rsid w:val="008902F4"/>
    <w:rsid w:val="008904BE"/>
    <w:rsid w:val="00890583"/>
    <w:rsid w:val="00890A7E"/>
    <w:rsid w:val="00890B76"/>
    <w:rsid w:val="00890E6A"/>
    <w:rsid w:val="00890ED3"/>
    <w:rsid w:val="008916EC"/>
    <w:rsid w:val="00892141"/>
    <w:rsid w:val="008925D4"/>
    <w:rsid w:val="00892DBA"/>
    <w:rsid w:val="0089324D"/>
    <w:rsid w:val="008933E6"/>
    <w:rsid w:val="008938F3"/>
    <w:rsid w:val="00893C3B"/>
    <w:rsid w:val="00893E23"/>
    <w:rsid w:val="00894BC5"/>
    <w:rsid w:val="008954C2"/>
    <w:rsid w:val="00895ED0"/>
    <w:rsid w:val="00895FF2"/>
    <w:rsid w:val="008960C0"/>
    <w:rsid w:val="00896645"/>
    <w:rsid w:val="00896897"/>
    <w:rsid w:val="00896D0F"/>
    <w:rsid w:val="00897532"/>
    <w:rsid w:val="00897716"/>
    <w:rsid w:val="00897AEA"/>
    <w:rsid w:val="00897CFB"/>
    <w:rsid w:val="008A0A40"/>
    <w:rsid w:val="008A0EF0"/>
    <w:rsid w:val="008A18BB"/>
    <w:rsid w:val="008A19DB"/>
    <w:rsid w:val="008A1CCF"/>
    <w:rsid w:val="008A1F38"/>
    <w:rsid w:val="008A2045"/>
    <w:rsid w:val="008A238A"/>
    <w:rsid w:val="008A2814"/>
    <w:rsid w:val="008A2B55"/>
    <w:rsid w:val="008A34D6"/>
    <w:rsid w:val="008A3A23"/>
    <w:rsid w:val="008A3F47"/>
    <w:rsid w:val="008A43B0"/>
    <w:rsid w:val="008A43EB"/>
    <w:rsid w:val="008A4790"/>
    <w:rsid w:val="008A4880"/>
    <w:rsid w:val="008A48BC"/>
    <w:rsid w:val="008A4B98"/>
    <w:rsid w:val="008A4CCA"/>
    <w:rsid w:val="008A5372"/>
    <w:rsid w:val="008A5609"/>
    <w:rsid w:val="008A56C7"/>
    <w:rsid w:val="008A59B2"/>
    <w:rsid w:val="008A59BC"/>
    <w:rsid w:val="008A5C4E"/>
    <w:rsid w:val="008A5D02"/>
    <w:rsid w:val="008A6133"/>
    <w:rsid w:val="008A65DF"/>
    <w:rsid w:val="008A74F3"/>
    <w:rsid w:val="008A779B"/>
    <w:rsid w:val="008B00AF"/>
    <w:rsid w:val="008B0111"/>
    <w:rsid w:val="008B04DF"/>
    <w:rsid w:val="008B054F"/>
    <w:rsid w:val="008B0A2B"/>
    <w:rsid w:val="008B137A"/>
    <w:rsid w:val="008B1B58"/>
    <w:rsid w:val="008B1CDD"/>
    <w:rsid w:val="008B2083"/>
    <w:rsid w:val="008B3399"/>
    <w:rsid w:val="008B35B2"/>
    <w:rsid w:val="008B35D8"/>
    <w:rsid w:val="008B3B02"/>
    <w:rsid w:val="008B3E3F"/>
    <w:rsid w:val="008B4875"/>
    <w:rsid w:val="008B4B5F"/>
    <w:rsid w:val="008B4C6F"/>
    <w:rsid w:val="008B5410"/>
    <w:rsid w:val="008B5447"/>
    <w:rsid w:val="008B60E5"/>
    <w:rsid w:val="008B61B8"/>
    <w:rsid w:val="008B6230"/>
    <w:rsid w:val="008B629C"/>
    <w:rsid w:val="008B62DC"/>
    <w:rsid w:val="008B6989"/>
    <w:rsid w:val="008B6A04"/>
    <w:rsid w:val="008B6C82"/>
    <w:rsid w:val="008B6ED7"/>
    <w:rsid w:val="008B739A"/>
    <w:rsid w:val="008B7A0C"/>
    <w:rsid w:val="008C0319"/>
    <w:rsid w:val="008C0849"/>
    <w:rsid w:val="008C0C9C"/>
    <w:rsid w:val="008C1A2A"/>
    <w:rsid w:val="008C1CAB"/>
    <w:rsid w:val="008C1E0C"/>
    <w:rsid w:val="008C1FB3"/>
    <w:rsid w:val="008C201C"/>
    <w:rsid w:val="008C22A6"/>
    <w:rsid w:val="008C23D7"/>
    <w:rsid w:val="008C2FE5"/>
    <w:rsid w:val="008C327C"/>
    <w:rsid w:val="008C33CD"/>
    <w:rsid w:val="008C35A8"/>
    <w:rsid w:val="008C3FE8"/>
    <w:rsid w:val="008C40F8"/>
    <w:rsid w:val="008C4141"/>
    <w:rsid w:val="008C4771"/>
    <w:rsid w:val="008C47A3"/>
    <w:rsid w:val="008C4D35"/>
    <w:rsid w:val="008C524C"/>
    <w:rsid w:val="008C54A3"/>
    <w:rsid w:val="008C5690"/>
    <w:rsid w:val="008C5695"/>
    <w:rsid w:val="008C5BFE"/>
    <w:rsid w:val="008C5FBE"/>
    <w:rsid w:val="008C6284"/>
    <w:rsid w:val="008C630B"/>
    <w:rsid w:val="008C6318"/>
    <w:rsid w:val="008C6610"/>
    <w:rsid w:val="008C685E"/>
    <w:rsid w:val="008C6A40"/>
    <w:rsid w:val="008C6D99"/>
    <w:rsid w:val="008C7AB3"/>
    <w:rsid w:val="008C7E57"/>
    <w:rsid w:val="008C7EC9"/>
    <w:rsid w:val="008D0160"/>
    <w:rsid w:val="008D02FB"/>
    <w:rsid w:val="008D13B1"/>
    <w:rsid w:val="008D36E8"/>
    <w:rsid w:val="008D3879"/>
    <w:rsid w:val="008D4733"/>
    <w:rsid w:val="008D4B0A"/>
    <w:rsid w:val="008D4BEE"/>
    <w:rsid w:val="008D5B02"/>
    <w:rsid w:val="008D5B5E"/>
    <w:rsid w:val="008D6138"/>
    <w:rsid w:val="008D623F"/>
    <w:rsid w:val="008D670F"/>
    <w:rsid w:val="008D67F3"/>
    <w:rsid w:val="008D687F"/>
    <w:rsid w:val="008D6D2C"/>
    <w:rsid w:val="008D6E89"/>
    <w:rsid w:val="008D73E0"/>
    <w:rsid w:val="008D78EF"/>
    <w:rsid w:val="008D7C8F"/>
    <w:rsid w:val="008E0304"/>
    <w:rsid w:val="008E061F"/>
    <w:rsid w:val="008E0F94"/>
    <w:rsid w:val="008E108D"/>
    <w:rsid w:val="008E1BD5"/>
    <w:rsid w:val="008E1CA8"/>
    <w:rsid w:val="008E1CCA"/>
    <w:rsid w:val="008E1EDD"/>
    <w:rsid w:val="008E1F63"/>
    <w:rsid w:val="008E2037"/>
    <w:rsid w:val="008E220E"/>
    <w:rsid w:val="008E22E6"/>
    <w:rsid w:val="008E22EF"/>
    <w:rsid w:val="008E252E"/>
    <w:rsid w:val="008E2931"/>
    <w:rsid w:val="008E2EA4"/>
    <w:rsid w:val="008E2EE3"/>
    <w:rsid w:val="008E2F63"/>
    <w:rsid w:val="008E3388"/>
    <w:rsid w:val="008E3BE3"/>
    <w:rsid w:val="008E3C97"/>
    <w:rsid w:val="008E4069"/>
    <w:rsid w:val="008E4962"/>
    <w:rsid w:val="008E49C9"/>
    <w:rsid w:val="008E5257"/>
    <w:rsid w:val="008E5578"/>
    <w:rsid w:val="008E5E8A"/>
    <w:rsid w:val="008E5E8E"/>
    <w:rsid w:val="008E609E"/>
    <w:rsid w:val="008E703A"/>
    <w:rsid w:val="008E71CD"/>
    <w:rsid w:val="008E7BE7"/>
    <w:rsid w:val="008E7C9A"/>
    <w:rsid w:val="008E7D82"/>
    <w:rsid w:val="008E7D9F"/>
    <w:rsid w:val="008F03B3"/>
    <w:rsid w:val="008F04DD"/>
    <w:rsid w:val="008F0566"/>
    <w:rsid w:val="008F079B"/>
    <w:rsid w:val="008F0B38"/>
    <w:rsid w:val="008F248D"/>
    <w:rsid w:val="008F2812"/>
    <w:rsid w:val="008F2F71"/>
    <w:rsid w:val="008F31B3"/>
    <w:rsid w:val="008F3418"/>
    <w:rsid w:val="008F3A80"/>
    <w:rsid w:val="008F44F6"/>
    <w:rsid w:val="008F4AC1"/>
    <w:rsid w:val="008F5043"/>
    <w:rsid w:val="008F55D5"/>
    <w:rsid w:val="008F57DC"/>
    <w:rsid w:val="008F592C"/>
    <w:rsid w:val="008F59E5"/>
    <w:rsid w:val="008F59F8"/>
    <w:rsid w:val="008F5C16"/>
    <w:rsid w:val="008F5D70"/>
    <w:rsid w:val="008F6575"/>
    <w:rsid w:val="008F718C"/>
    <w:rsid w:val="009006A4"/>
    <w:rsid w:val="009007A8"/>
    <w:rsid w:val="0090097D"/>
    <w:rsid w:val="00900A5F"/>
    <w:rsid w:val="009018AC"/>
    <w:rsid w:val="00901B4A"/>
    <w:rsid w:val="00901F63"/>
    <w:rsid w:val="009025B9"/>
    <w:rsid w:val="00902AC2"/>
    <w:rsid w:val="00902D48"/>
    <w:rsid w:val="00903977"/>
    <w:rsid w:val="00903ABF"/>
    <w:rsid w:val="00903F7E"/>
    <w:rsid w:val="00904D5A"/>
    <w:rsid w:val="0090533F"/>
    <w:rsid w:val="00905349"/>
    <w:rsid w:val="00905C97"/>
    <w:rsid w:val="00906B34"/>
    <w:rsid w:val="00907879"/>
    <w:rsid w:val="0091079B"/>
    <w:rsid w:val="0091086C"/>
    <w:rsid w:val="00910CB3"/>
    <w:rsid w:val="00910E0E"/>
    <w:rsid w:val="0091144F"/>
    <w:rsid w:val="0091147B"/>
    <w:rsid w:val="00911EEA"/>
    <w:rsid w:val="009121EE"/>
    <w:rsid w:val="009127AC"/>
    <w:rsid w:val="00912BF5"/>
    <w:rsid w:val="00912E68"/>
    <w:rsid w:val="009132ED"/>
    <w:rsid w:val="0091364A"/>
    <w:rsid w:val="00913B3F"/>
    <w:rsid w:val="00913D5F"/>
    <w:rsid w:val="00913E7F"/>
    <w:rsid w:val="00914278"/>
    <w:rsid w:val="009144FC"/>
    <w:rsid w:val="00914594"/>
    <w:rsid w:val="00914658"/>
    <w:rsid w:val="00914963"/>
    <w:rsid w:val="00914A3C"/>
    <w:rsid w:val="00914E7E"/>
    <w:rsid w:val="00915183"/>
    <w:rsid w:val="0091534F"/>
    <w:rsid w:val="00915406"/>
    <w:rsid w:val="00915CD5"/>
    <w:rsid w:val="009160EE"/>
    <w:rsid w:val="00916116"/>
    <w:rsid w:val="00916B14"/>
    <w:rsid w:val="00916E68"/>
    <w:rsid w:val="00917070"/>
    <w:rsid w:val="0091713A"/>
    <w:rsid w:val="00917329"/>
    <w:rsid w:val="009176D7"/>
    <w:rsid w:val="00917DC7"/>
    <w:rsid w:val="0092026D"/>
    <w:rsid w:val="00920A69"/>
    <w:rsid w:val="00920B8E"/>
    <w:rsid w:val="009215A7"/>
    <w:rsid w:val="009216B8"/>
    <w:rsid w:val="009220AD"/>
    <w:rsid w:val="00922329"/>
    <w:rsid w:val="0092247A"/>
    <w:rsid w:val="0092266D"/>
    <w:rsid w:val="009233E8"/>
    <w:rsid w:val="00923C6E"/>
    <w:rsid w:val="00923DBB"/>
    <w:rsid w:val="00923FBB"/>
    <w:rsid w:val="0092410B"/>
    <w:rsid w:val="00924272"/>
    <w:rsid w:val="0092437C"/>
    <w:rsid w:val="00924D3C"/>
    <w:rsid w:val="00924E30"/>
    <w:rsid w:val="00925001"/>
    <w:rsid w:val="00925048"/>
    <w:rsid w:val="00925668"/>
    <w:rsid w:val="00925685"/>
    <w:rsid w:val="009258A1"/>
    <w:rsid w:val="00925917"/>
    <w:rsid w:val="00925A03"/>
    <w:rsid w:val="00925CB2"/>
    <w:rsid w:val="00925D31"/>
    <w:rsid w:val="009267F1"/>
    <w:rsid w:val="009269CC"/>
    <w:rsid w:val="00926BEC"/>
    <w:rsid w:val="0092770D"/>
    <w:rsid w:val="009301FA"/>
    <w:rsid w:val="009303A5"/>
    <w:rsid w:val="009303FD"/>
    <w:rsid w:val="00930834"/>
    <w:rsid w:val="00930AC7"/>
    <w:rsid w:val="00930C7F"/>
    <w:rsid w:val="00930D62"/>
    <w:rsid w:val="00932C0C"/>
    <w:rsid w:val="00932FA5"/>
    <w:rsid w:val="0093353C"/>
    <w:rsid w:val="009338C1"/>
    <w:rsid w:val="0093484B"/>
    <w:rsid w:val="00934A31"/>
    <w:rsid w:val="00934BD3"/>
    <w:rsid w:val="00935A99"/>
    <w:rsid w:val="009361C9"/>
    <w:rsid w:val="00936FDA"/>
    <w:rsid w:val="00937C11"/>
    <w:rsid w:val="00937D8C"/>
    <w:rsid w:val="00940163"/>
    <w:rsid w:val="00940193"/>
    <w:rsid w:val="0094067E"/>
    <w:rsid w:val="00940816"/>
    <w:rsid w:val="00940C12"/>
    <w:rsid w:val="00941920"/>
    <w:rsid w:val="00942178"/>
    <w:rsid w:val="00942663"/>
    <w:rsid w:val="009426E1"/>
    <w:rsid w:val="00942AB7"/>
    <w:rsid w:val="009435D0"/>
    <w:rsid w:val="00943791"/>
    <w:rsid w:val="009438C1"/>
    <w:rsid w:val="00943EED"/>
    <w:rsid w:val="00944038"/>
    <w:rsid w:val="009444DD"/>
    <w:rsid w:val="009444FE"/>
    <w:rsid w:val="009446A1"/>
    <w:rsid w:val="00944708"/>
    <w:rsid w:val="00944724"/>
    <w:rsid w:val="0094472C"/>
    <w:rsid w:val="00944861"/>
    <w:rsid w:val="00945416"/>
    <w:rsid w:val="009454B0"/>
    <w:rsid w:val="009457AF"/>
    <w:rsid w:val="00946543"/>
    <w:rsid w:val="0094694C"/>
    <w:rsid w:val="00947048"/>
    <w:rsid w:val="009474E1"/>
    <w:rsid w:val="00947F55"/>
    <w:rsid w:val="00950527"/>
    <w:rsid w:val="009505CD"/>
    <w:rsid w:val="00950C27"/>
    <w:rsid w:val="00950C9E"/>
    <w:rsid w:val="00951F2A"/>
    <w:rsid w:val="0095233F"/>
    <w:rsid w:val="0095259B"/>
    <w:rsid w:val="00952805"/>
    <w:rsid w:val="00952C41"/>
    <w:rsid w:val="00952F31"/>
    <w:rsid w:val="00953A81"/>
    <w:rsid w:val="00953BB1"/>
    <w:rsid w:val="00953E49"/>
    <w:rsid w:val="00954A5C"/>
    <w:rsid w:val="00954A8D"/>
    <w:rsid w:val="00955986"/>
    <w:rsid w:val="009562AF"/>
    <w:rsid w:val="00957EFA"/>
    <w:rsid w:val="0096075B"/>
    <w:rsid w:val="00960A9C"/>
    <w:rsid w:val="00960F0D"/>
    <w:rsid w:val="00960FA4"/>
    <w:rsid w:val="0096149C"/>
    <w:rsid w:val="009616ED"/>
    <w:rsid w:val="00961E17"/>
    <w:rsid w:val="00961ECA"/>
    <w:rsid w:val="0096285A"/>
    <w:rsid w:val="009628A7"/>
    <w:rsid w:val="00962A67"/>
    <w:rsid w:val="00962FA4"/>
    <w:rsid w:val="00963168"/>
    <w:rsid w:val="00963197"/>
    <w:rsid w:val="009637A0"/>
    <w:rsid w:val="009646CB"/>
    <w:rsid w:val="009647E1"/>
    <w:rsid w:val="009658CA"/>
    <w:rsid w:val="00965CAA"/>
    <w:rsid w:val="0096642F"/>
    <w:rsid w:val="00966C14"/>
    <w:rsid w:val="00966F11"/>
    <w:rsid w:val="0096743E"/>
    <w:rsid w:val="00967E0A"/>
    <w:rsid w:val="00970247"/>
    <w:rsid w:val="0097125B"/>
    <w:rsid w:val="0097134E"/>
    <w:rsid w:val="009716E8"/>
    <w:rsid w:val="009720E3"/>
    <w:rsid w:val="0097280D"/>
    <w:rsid w:val="00972852"/>
    <w:rsid w:val="0097331F"/>
    <w:rsid w:val="00973D45"/>
    <w:rsid w:val="00974754"/>
    <w:rsid w:val="009748DF"/>
    <w:rsid w:val="00974C7C"/>
    <w:rsid w:val="00974F4E"/>
    <w:rsid w:val="00975055"/>
    <w:rsid w:val="009750E2"/>
    <w:rsid w:val="00975126"/>
    <w:rsid w:val="00975377"/>
    <w:rsid w:val="0097559A"/>
    <w:rsid w:val="009759C8"/>
    <w:rsid w:val="009761BB"/>
    <w:rsid w:val="009769B6"/>
    <w:rsid w:val="00976D75"/>
    <w:rsid w:val="0097713D"/>
    <w:rsid w:val="009771E7"/>
    <w:rsid w:val="00977206"/>
    <w:rsid w:val="009773E0"/>
    <w:rsid w:val="00977590"/>
    <w:rsid w:val="00977929"/>
    <w:rsid w:val="00977E7E"/>
    <w:rsid w:val="00980293"/>
    <w:rsid w:val="00980720"/>
    <w:rsid w:val="00980FD4"/>
    <w:rsid w:val="009813DE"/>
    <w:rsid w:val="009814AD"/>
    <w:rsid w:val="009814D5"/>
    <w:rsid w:val="0098157B"/>
    <w:rsid w:val="00981D2E"/>
    <w:rsid w:val="0098238D"/>
    <w:rsid w:val="009824BB"/>
    <w:rsid w:val="00983044"/>
    <w:rsid w:val="00983168"/>
    <w:rsid w:val="00983236"/>
    <w:rsid w:val="0098324A"/>
    <w:rsid w:val="00983272"/>
    <w:rsid w:val="009832B1"/>
    <w:rsid w:val="0098369A"/>
    <w:rsid w:val="009837AB"/>
    <w:rsid w:val="00983818"/>
    <w:rsid w:val="009838E3"/>
    <w:rsid w:val="00983A43"/>
    <w:rsid w:val="0098427D"/>
    <w:rsid w:val="00985521"/>
    <w:rsid w:val="00985EC5"/>
    <w:rsid w:val="009869FF"/>
    <w:rsid w:val="00987096"/>
    <w:rsid w:val="00990495"/>
    <w:rsid w:val="00990B81"/>
    <w:rsid w:val="00990FF6"/>
    <w:rsid w:val="00990FFE"/>
    <w:rsid w:val="0099109B"/>
    <w:rsid w:val="0099223C"/>
    <w:rsid w:val="00992B05"/>
    <w:rsid w:val="00992B5B"/>
    <w:rsid w:val="00992C0D"/>
    <w:rsid w:val="00992ECA"/>
    <w:rsid w:val="00992F85"/>
    <w:rsid w:val="00993286"/>
    <w:rsid w:val="009934D9"/>
    <w:rsid w:val="0099367C"/>
    <w:rsid w:val="009936FD"/>
    <w:rsid w:val="00994135"/>
    <w:rsid w:val="0099446A"/>
    <w:rsid w:val="00994864"/>
    <w:rsid w:val="00994981"/>
    <w:rsid w:val="00995023"/>
    <w:rsid w:val="0099586F"/>
    <w:rsid w:val="009959AC"/>
    <w:rsid w:val="009959D3"/>
    <w:rsid w:val="00995A61"/>
    <w:rsid w:val="00995F06"/>
    <w:rsid w:val="00996377"/>
    <w:rsid w:val="009A0012"/>
    <w:rsid w:val="009A0597"/>
    <w:rsid w:val="009A0676"/>
    <w:rsid w:val="009A0806"/>
    <w:rsid w:val="009A09C2"/>
    <w:rsid w:val="009A0D83"/>
    <w:rsid w:val="009A0DAB"/>
    <w:rsid w:val="009A10C2"/>
    <w:rsid w:val="009A1180"/>
    <w:rsid w:val="009A14E0"/>
    <w:rsid w:val="009A1800"/>
    <w:rsid w:val="009A2290"/>
    <w:rsid w:val="009A251B"/>
    <w:rsid w:val="009A256C"/>
    <w:rsid w:val="009A27FF"/>
    <w:rsid w:val="009A29AD"/>
    <w:rsid w:val="009A2DC3"/>
    <w:rsid w:val="009A301E"/>
    <w:rsid w:val="009A3114"/>
    <w:rsid w:val="009A3525"/>
    <w:rsid w:val="009A3C75"/>
    <w:rsid w:val="009A3E61"/>
    <w:rsid w:val="009A3FFE"/>
    <w:rsid w:val="009A4D12"/>
    <w:rsid w:val="009A52AA"/>
    <w:rsid w:val="009A555F"/>
    <w:rsid w:val="009A6225"/>
    <w:rsid w:val="009A67DA"/>
    <w:rsid w:val="009A6CEF"/>
    <w:rsid w:val="009A7173"/>
    <w:rsid w:val="009A73AF"/>
    <w:rsid w:val="009A7555"/>
    <w:rsid w:val="009A7F01"/>
    <w:rsid w:val="009B01B0"/>
    <w:rsid w:val="009B0660"/>
    <w:rsid w:val="009B0796"/>
    <w:rsid w:val="009B0BA6"/>
    <w:rsid w:val="009B0CF0"/>
    <w:rsid w:val="009B10C2"/>
    <w:rsid w:val="009B134C"/>
    <w:rsid w:val="009B1667"/>
    <w:rsid w:val="009B16A6"/>
    <w:rsid w:val="009B16C7"/>
    <w:rsid w:val="009B1A54"/>
    <w:rsid w:val="009B25A2"/>
    <w:rsid w:val="009B27C8"/>
    <w:rsid w:val="009B2AB5"/>
    <w:rsid w:val="009B2B5D"/>
    <w:rsid w:val="009B2D57"/>
    <w:rsid w:val="009B3303"/>
    <w:rsid w:val="009B3AF6"/>
    <w:rsid w:val="009B4280"/>
    <w:rsid w:val="009B4A80"/>
    <w:rsid w:val="009B4D9F"/>
    <w:rsid w:val="009B525E"/>
    <w:rsid w:val="009B5601"/>
    <w:rsid w:val="009B619E"/>
    <w:rsid w:val="009B64FC"/>
    <w:rsid w:val="009B65B3"/>
    <w:rsid w:val="009B67E2"/>
    <w:rsid w:val="009B69B3"/>
    <w:rsid w:val="009B69CE"/>
    <w:rsid w:val="009B7082"/>
    <w:rsid w:val="009B7147"/>
    <w:rsid w:val="009B7638"/>
    <w:rsid w:val="009B7815"/>
    <w:rsid w:val="009B7EF7"/>
    <w:rsid w:val="009B7F54"/>
    <w:rsid w:val="009C01E0"/>
    <w:rsid w:val="009C0297"/>
    <w:rsid w:val="009C0573"/>
    <w:rsid w:val="009C0FC0"/>
    <w:rsid w:val="009C1069"/>
    <w:rsid w:val="009C162E"/>
    <w:rsid w:val="009C17FB"/>
    <w:rsid w:val="009C1809"/>
    <w:rsid w:val="009C19B3"/>
    <w:rsid w:val="009C1A59"/>
    <w:rsid w:val="009C298B"/>
    <w:rsid w:val="009C361D"/>
    <w:rsid w:val="009C398B"/>
    <w:rsid w:val="009C3F38"/>
    <w:rsid w:val="009C4383"/>
    <w:rsid w:val="009C491A"/>
    <w:rsid w:val="009C532E"/>
    <w:rsid w:val="009C5480"/>
    <w:rsid w:val="009C5DF8"/>
    <w:rsid w:val="009C61D4"/>
    <w:rsid w:val="009C662E"/>
    <w:rsid w:val="009C6756"/>
    <w:rsid w:val="009C67E7"/>
    <w:rsid w:val="009C68BC"/>
    <w:rsid w:val="009C7361"/>
    <w:rsid w:val="009C73E5"/>
    <w:rsid w:val="009C75B9"/>
    <w:rsid w:val="009C7992"/>
    <w:rsid w:val="009C7E41"/>
    <w:rsid w:val="009D02BC"/>
    <w:rsid w:val="009D02E6"/>
    <w:rsid w:val="009D0997"/>
    <w:rsid w:val="009D09E7"/>
    <w:rsid w:val="009D0B93"/>
    <w:rsid w:val="009D0BC7"/>
    <w:rsid w:val="009D0FDB"/>
    <w:rsid w:val="009D1694"/>
    <w:rsid w:val="009D1B20"/>
    <w:rsid w:val="009D1FC5"/>
    <w:rsid w:val="009D23B6"/>
    <w:rsid w:val="009D2625"/>
    <w:rsid w:val="009D29B2"/>
    <w:rsid w:val="009D2A35"/>
    <w:rsid w:val="009D2AFE"/>
    <w:rsid w:val="009D2F3E"/>
    <w:rsid w:val="009D3358"/>
    <w:rsid w:val="009D35C8"/>
    <w:rsid w:val="009D36D1"/>
    <w:rsid w:val="009D3765"/>
    <w:rsid w:val="009D5766"/>
    <w:rsid w:val="009D59D1"/>
    <w:rsid w:val="009D5EC5"/>
    <w:rsid w:val="009D6230"/>
    <w:rsid w:val="009D6A14"/>
    <w:rsid w:val="009D6FD4"/>
    <w:rsid w:val="009D7009"/>
    <w:rsid w:val="009D7552"/>
    <w:rsid w:val="009D7637"/>
    <w:rsid w:val="009D777D"/>
    <w:rsid w:val="009D78FA"/>
    <w:rsid w:val="009D7AB5"/>
    <w:rsid w:val="009E0470"/>
    <w:rsid w:val="009E04EB"/>
    <w:rsid w:val="009E0CBF"/>
    <w:rsid w:val="009E1ABB"/>
    <w:rsid w:val="009E1DA2"/>
    <w:rsid w:val="009E2501"/>
    <w:rsid w:val="009E257C"/>
    <w:rsid w:val="009E2970"/>
    <w:rsid w:val="009E29CE"/>
    <w:rsid w:val="009E2AB0"/>
    <w:rsid w:val="009E371F"/>
    <w:rsid w:val="009E38C0"/>
    <w:rsid w:val="009E3935"/>
    <w:rsid w:val="009E3EBD"/>
    <w:rsid w:val="009E4DFB"/>
    <w:rsid w:val="009E4ECA"/>
    <w:rsid w:val="009E4FB8"/>
    <w:rsid w:val="009E5001"/>
    <w:rsid w:val="009E534B"/>
    <w:rsid w:val="009E59BD"/>
    <w:rsid w:val="009E5E80"/>
    <w:rsid w:val="009E6447"/>
    <w:rsid w:val="009E6794"/>
    <w:rsid w:val="009E782E"/>
    <w:rsid w:val="009E793D"/>
    <w:rsid w:val="009E7A78"/>
    <w:rsid w:val="009F052F"/>
    <w:rsid w:val="009F0684"/>
    <w:rsid w:val="009F0C7C"/>
    <w:rsid w:val="009F15FD"/>
    <w:rsid w:val="009F1FC4"/>
    <w:rsid w:val="009F1FE6"/>
    <w:rsid w:val="009F21D2"/>
    <w:rsid w:val="009F234E"/>
    <w:rsid w:val="009F2655"/>
    <w:rsid w:val="009F28FD"/>
    <w:rsid w:val="009F2F12"/>
    <w:rsid w:val="009F2FFA"/>
    <w:rsid w:val="009F3394"/>
    <w:rsid w:val="009F33DD"/>
    <w:rsid w:val="009F416A"/>
    <w:rsid w:val="009F48CE"/>
    <w:rsid w:val="009F5789"/>
    <w:rsid w:val="009F59EF"/>
    <w:rsid w:val="009F607E"/>
    <w:rsid w:val="009F63D5"/>
    <w:rsid w:val="009F6749"/>
    <w:rsid w:val="009F6778"/>
    <w:rsid w:val="009F6A6A"/>
    <w:rsid w:val="009F6D58"/>
    <w:rsid w:val="009F7157"/>
    <w:rsid w:val="009F71CE"/>
    <w:rsid w:val="009F7B47"/>
    <w:rsid w:val="00A00988"/>
    <w:rsid w:val="00A00D13"/>
    <w:rsid w:val="00A01381"/>
    <w:rsid w:val="00A01589"/>
    <w:rsid w:val="00A0183C"/>
    <w:rsid w:val="00A022E5"/>
    <w:rsid w:val="00A02319"/>
    <w:rsid w:val="00A02AAF"/>
    <w:rsid w:val="00A02F1B"/>
    <w:rsid w:val="00A03451"/>
    <w:rsid w:val="00A03956"/>
    <w:rsid w:val="00A03AB3"/>
    <w:rsid w:val="00A03B42"/>
    <w:rsid w:val="00A03BAE"/>
    <w:rsid w:val="00A043D8"/>
    <w:rsid w:val="00A04898"/>
    <w:rsid w:val="00A04E41"/>
    <w:rsid w:val="00A0510B"/>
    <w:rsid w:val="00A057BE"/>
    <w:rsid w:val="00A0598D"/>
    <w:rsid w:val="00A05AD8"/>
    <w:rsid w:val="00A05BC0"/>
    <w:rsid w:val="00A06323"/>
    <w:rsid w:val="00A065D0"/>
    <w:rsid w:val="00A06DE8"/>
    <w:rsid w:val="00A0746C"/>
    <w:rsid w:val="00A074E3"/>
    <w:rsid w:val="00A07AC9"/>
    <w:rsid w:val="00A07C92"/>
    <w:rsid w:val="00A07FD0"/>
    <w:rsid w:val="00A10290"/>
    <w:rsid w:val="00A1043C"/>
    <w:rsid w:val="00A1117A"/>
    <w:rsid w:val="00A11673"/>
    <w:rsid w:val="00A119CC"/>
    <w:rsid w:val="00A11AAD"/>
    <w:rsid w:val="00A11EB5"/>
    <w:rsid w:val="00A12064"/>
    <w:rsid w:val="00A12DA1"/>
    <w:rsid w:val="00A13D1F"/>
    <w:rsid w:val="00A13DA4"/>
    <w:rsid w:val="00A13FA7"/>
    <w:rsid w:val="00A13FA8"/>
    <w:rsid w:val="00A14B8B"/>
    <w:rsid w:val="00A14CC3"/>
    <w:rsid w:val="00A150F4"/>
    <w:rsid w:val="00A152AD"/>
    <w:rsid w:val="00A15680"/>
    <w:rsid w:val="00A159FE"/>
    <w:rsid w:val="00A160ED"/>
    <w:rsid w:val="00A163B6"/>
    <w:rsid w:val="00A164AE"/>
    <w:rsid w:val="00A16621"/>
    <w:rsid w:val="00A1715B"/>
    <w:rsid w:val="00A178DE"/>
    <w:rsid w:val="00A2035D"/>
    <w:rsid w:val="00A207B1"/>
    <w:rsid w:val="00A2110F"/>
    <w:rsid w:val="00A211F6"/>
    <w:rsid w:val="00A21359"/>
    <w:rsid w:val="00A21956"/>
    <w:rsid w:val="00A21B8B"/>
    <w:rsid w:val="00A21C15"/>
    <w:rsid w:val="00A21EA4"/>
    <w:rsid w:val="00A21F80"/>
    <w:rsid w:val="00A21FE4"/>
    <w:rsid w:val="00A226DF"/>
    <w:rsid w:val="00A22849"/>
    <w:rsid w:val="00A22C00"/>
    <w:rsid w:val="00A22C0B"/>
    <w:rsid w:val="00A22C9D"/>
    <w:rsid w:val="00A22EA3"/>
    <w:rsid w:val="00A22FD8"/>
    <w:rsid w:val="00A23695"/>
    <w:rsid w:val="00A23C57"/>
    <w:rsid w:val="00A24649"/>
    <w:rsid w:val="00A24A87"/>
    <w:rsid w:val="00A24CBC"/>
    <w:rsid w:val="00A24E5F"/>
    <w:rsid w:val="00A24F26"/>
    <w:rsid w:val="00A250F2"/>
    <w:rsid w:val="00A25172"/>
    <w:rsid w:val="00A25680"/>
    <w:rsid w:val="00A26677"/>
    <w:rsid w:val="00A26CBD"/>
    <w:rsid w:val="00A27023"/>
    <w:rsid w:val="00A273B0"/>
    <w:rsid w:val="00A2750E"/>
    <w:rsid w:val="00A276F7"/>
    <w:rsid w:val="00A27B42"/>
    <w:rsid w:val="00A30257"/>
    <w:rsid w:val="00A304A6"/>
    <w:rsid w:val="00A304BC"/>
    <w:rsid w:val="00A307D4"/>
    <w:rsid w:val="00A30832"/>
    <w:rsid w:val="00A312EC"/>
    <w:rsid w:val="00A314F3"/>
    <w:rsid w:val="00A31A80"/>
    <w:rsid w:val="00A32B75"/>
    <w:rsid w:val="00A32DB1"/>
    <w:rsid w:val="00A3317E"/>
    <w:rsid w:val="00A339AC"/>
    <w:rsid w:val="00A33F08"/>
    <w:rsid w:val="00A3445A"/>
    <w:rsid w:val="00A347E4"/>
    <w:rsid w:val="00A34B93"/>
    <w:rsid w:val="00A34C14"/>
    <w:rsid w:val="00A34DA9"/>
    <w:rsid w:val="00A3506A"/>
    <w:rsid w:val="00A35102"/>
    <w:rsid w:val="00A35146"/>
    <w:rsid w:val="00A354E5"/>
    <w:rsid w:val="00A35A09"/>
    <w:rsid w:val="00A35B8C"/>
    <w:rsid w:val="00A35D46"/>
    <w:rsid w:val="00A35F1D"/>
    <w:rsid w:val="00A360C7"/>
    <w:rsid w:val="00A361A4"/>
    <w:rsid w:val="00A364E7"/>
    <w:rsid w:val="00A36FB4"/>
    <w:rsid w:val="00A37536"/>
    <w:rsid w:val="00A3754E"/>
    <w:rsid w:val="00A37C79"/>
    <w:rsid w:val="00A405A2"/>
    <w:rsid w:val="00A408EA"/>
    <w:rsid w:val="00A40997"/>
    <w:rsid w:val="00A4109B"/>
    <w:rsid w:val="00A412E2"/>
    <w:rsid w:val="00A412F9"/>
    <w:rsid w:val="00A41A3A"/>
    <w:rsid w:val="00A41C19"/>
    <w:rsid w:val="00A423BD"/>
    <w:rsid w:val="00A42B80"/>
    <w:rsid w:val="00A43594"/>
    <w:rsid w:val="00A43A05"/>
    <w:rsid w:val="00A43AA1"/>
    <w:rsid w:val="00A444C0"/>
    <w:rsid w:val="00A4452B"/>
    <w:rsid w:val="00A44762"/>
    <w:rsid w:val="00A44900"/>
    <w:rsid w:val="00A44DB3"/>
    <w:rsid w:val="00A44DC0"/>
    <w:rsid w:val="00A44F56"/>
    <w:rsid w:val="00A44FD9"/>
    <w:rsid w:val="00A45893"/>
    <w:rsid w:val="00A45E83"/>
    <w:rsid w:val="00A46028"/>
    <w:rsid w:val="00A469C4"/>
    <w:rsid w:val="00A469F8"/>
    <w:rsid w:val="00A46F01"/>
    <w:rsid w:val="00A47FD9"/>
    <w:rsid w:val="00A50359"/>
    <w:rsid w:val="00A504F8"/>
    <w:rsid w:val="00A50545"/>
    <w:rsid w:val="00A50742"/>
    <w:rsid w:val="00A50799"/>
    <w:rsid w:val="00A50C13"/>
    <w:rsid w:val="00A50DB4"/>
    <w:rsid w:val="00A514C5"/>
    <w:rsid w:val="00A5195F"/>
    <w:rsid w:val="00A51C7A"/>
    <w:rsid w:val="00A52937"/>
    <w:rsid w:val="00A52993"/>
    <w:rsid w:val="00A530AE"/>
    <w:rsid w:val="00A537D4"/>
    <w:rsid w:val="00A53BA6"/>
    <w:rsid w:val="00A53C72"/>
    <w:rsid w:val="00A544BE"/>
    <w:rsid w:val="00A54901"/>
    <w:rsid w:val="00A55022"/>
    <w:rsid w:val="00A55104"/>
    <w:rsid w:val="00A55DB8"/>
    <w:rsid w:val="00A56005"/>
    <w:rsid w:val="00A56398"/>
    <w:rsid w:val="00A565D6"/>
    <w:rsid w:val="00A56822"/>
    <w:rsid w:val="00A56A20"/>
    <w:rsid w:val="00A56CB4"/>
    <w:rsid w:val="00A56CC1"/>
    <w:rsid w:val="00A57DC1"/>
    <w:rsid w:val="00A6060E"/>
    <w:rsid w:val="00A61282"/>
    <w:rsid w:val="00A61539"/>
    <w:rsid w:val="00A619E6"/>
    <w:rsid w:val="00A61E1F"/>
    <w:rsid w:val="00A6206B"/>
    <w:rsid w:val="00A62235"/>
    <w:rsid w:val="00A623E9"/>
    <w:rsid w:val="00A626DF"/>
    <w:rsid w:val="00A62E7E"/>
    <w:rsid w:val="00A63118"/>
    <w:rsid w:val="00A63790"/>
    <w:rsid w:val="00A63F57"/>
    <w:rsid w:val="00A6480F"/>
    <w:rsid w:val="00A64A79"/>
    <w:rsid w:val="00A64E2B"/>
    <w:rsid w:val="00A64E79"/>
    <w:rsid w:val="00A65365"/>
    <w:rsid w:val="00A654FC"/>
    <w:rsid w:val="00A66761"/>
    <w:rsid w:val="00A66976"/>
    <w:rsid w:val="00A66A58"/>
    <w:rsid w:val="00A66C0C"/>
    <w:rsid w:val="00A6701B"/>
    <w:rsid w:val="00A671BC"/>
    <w:rsid w:val="00A6732D"/>
    <w:rsid w:val="00A6737B"/>
    <w:rsid w:val="00A67B7E"/>
    <w:rsid w:val="00A67F25"/>
    <w:rsid w:val="00A700A9"/>
    <w:rsid w:val="00A70213"/>
    <w:rsid w:val="00A705E9"/>
    <w:rsid w:val="00A70742"/>
    <w:rsid w:val="00A7092C"/>
    <w:rsid w:val="00A70A98"/>
    <w:rsid w:val="00A70B31"/>
    <w:rsid w:val="00A710A8"/>
    <w:rsid w:val="00A716B9"/>
    <w:rsid w:val="00A71C07"/>
    <w:rsid w:val="00A721D6"/>
    <w:rsid w:val="00A72EC9"/>
    <w:rsid w:val="00A73391"/>
    <w:rsid w:val="00A7348C"/>
    <w:rsid w:val="00A739B8"/>
    <w:rsid w:val="00A73F83"/>
    <w:rsid w:val="00A74CC6"/>
    <w:rsid w:val="00A7576F"/>
    <w:rsid w:val="00A75E8A"/>
    <w:rsid w:val="00A75EB3"/>
    <w:rsid w:val="00A76094"/>
    <w:rsid w:val="00A760C2"/>
    <w:rsid w:val="00A7626C"/>
    <w:rsid w:val="00A762C0"/>
    <w:rsid w:val="00A76669"/>
    <w:rsid w:val="00A769E3"/>
    <w:rsid w:val="00A76A40"/>
    <w:rsid w:val="00A7703F"/>
    <w:rsid w:val="00A777B0"/>
    <w:rsid w:val="00A808F5"/>
    <w:rsid w:val="00A816BF"/>
    <w:rsid w:val="00A819E4"/>
    <w:rsid w:val="00A82F74"/>
    <w:rsid w:val="00A83D56"/>
    <w:rsid w:val="00A84C6A"/>
    <w:rsid w:val="00A85686"/>
    <w:rsid w:val="00A85D7E"/>
    <w:rsid w:val="00A85F68"/>
    <w:rsid w:val="00A860EC"/>
    <w:rsid w:val="00A8637B"/>
    <w:rsid w:val="00A86904"/>
    <w:rsid w:val="00A870F8"/>
    <w:rsid w:val="00A87290"/>
    <w:rsid w:val="00A876F9"/>
    <w:rsid w:val="00A879CE"/>
    <w:rsid w:val="00A90306"/>
    <w:rsid w:val="00A910A7"/>
    <w:rsid w:val="00A914BB"/>
    <w:rsid w:val="00A91823"/>
    <w:rsid w:val="00A919D9"/>
    <w:rsid w:val="00A919FE"/>
    <w:rsid w:val="00A91BA7"/>
    <w:rsid w:val="00A92085"/>
    <w:rsid w:val="00A9209D"/>
    <w:rsid w:val="00A92316"/>
    <w:rsid w:val="00A92471"/>
    <w:rsid w:val="00A924C8"/>
    <w:rsid w:val="00A92C09"/>
    <w:rsid w:val="00A92CF3"/>
    <w:rsid w:val="00A92E6C"/>
    <w:rsid w:val="00A93272"/>
    <w:rsid w:val="00A938D7"/>
    <w:rsid w:val="00A93C73"/>
    <w:rsid w:val="00A94515"/>
    <w:rsid w:val="00A947A0"/>
    <w:rsid w:val="00A9524A"/>
    <w:rsid w:val="00A953B7"/>
    <w:rsid w:val="00A953B8"/>
    <w:rsid w:val="00A95F8F"/>
    <w:rsid w:val="00A960F3"/>
    <w:rsid w:val="00A96412"/>
    <w:rsid w:val="00A969A7"/>
    <w:rsid w:val="00A96D3C"/>
    <w:rsid w:val="00A97262"/>
    <w:rsid w:val="00A973C3"/>
    <w:rsid w:val="00A974F4"/>
    <w:rsid w:val="00AA000D"/>
    <w:rsid w:val="00AA016F"/>
    <w:rsid w:val="00AA092B"/>
    <w:rsid w:val="00AA0D11"/>
    <w:rsid w:val="00AA0DBD"/>
    <w:rsid w:val="00AA10AE"/>
    <w:rsid w:val="00AA18CC"/>
    <w:rsid w:val="00AA19E6"/>
    <w:rsid w:val="00AA1C74"/>
    <w:rsid w:val="00AA1E2B"/>
    <w:rsid w:val="00AA24E8"/>
    <w:rsid w:val="00AA27B5"/>
    <w:rsid w:val="00AA2918"/>
    <w:rsid w:val="00AA2B65"/>
    <w:rsid w:val="00AA2FC2"/>
    <w:rsid w:val="00AA33D3"/>
    <w:rsid w:val="00AA3573"/>
    <w:rsid w:val="00AA3785"/>
    <w:rsid w:val="00AA3F95"/>
    <w:rsid w:val="00AA41E7"/>
    <w:rsid w:val="00AA420A"/>
    <w:rsid w:val="00AA4344"/>
    <w:rsid w:val="00AA439E"/>
    <w:rsid w:val="00AA44A5"/>
    <w:rsid w:val="00AA4F4D"/>
    <w:rsid w:val="00AA50AE"/>
    <w:rsid w:val="00AA5164"/>
    <w:rsid w:val="00AA5769"/>
    <w:rsid w:val="00AA57E3"/>
    <w:rsid w:val="00AA5E83"/>
    <w:rsid w:val="00AA5EE4"/>
    <w:rsid w:val="00AA6195"/>
    <w:rsid w:val="00AA657E"/>
    <w:rsid w:val="00AA6622"/>
    <w:rsid w:val="00AA66E3"/>
    <w:rsid w:val="00AA685B"/>
    <w:rsid w:val="00AA6D00"/>
    <w:rsid w:val="00AA6DCF"/>
    <w:rsid w:val="00AA7380"/>
    <w:rsid w:val="00AA73A6"/>
    <w:rsid w:val="00AA7A8C"/>
    <w:rsid w:val="00AA7B55"/>
    <w:rsid w:val="00AA7F9F"/>
    <w:rsid w:val="00AB02E0"/>
    <w:rsid w:val="00AB0495"/>
    <w:rsid w:val="00AB0BB7"/>
    <w:rsid w:val="00AB0EF1"/>
    <w:rsid w:val="00AB12E0"/>
    <w:rsid w:val="00AB14F6"/>
    <w:rsid w:val="00AB17C7"/>
    <w:rsid w:val="00AB1A90"/>
    <w:rsid w:val="00AB205E"/>
    <w:rsid w:val="00AB20C3"/>
    <w:rsid w:val="00AB22D5"/>
    <w:rsid w:val="00AB22DC"/>
    <w:rsid w:val="00AB2D9F"/>
    <w:rsid w:val="00AB3696"/>
    <w:rsid w:val="00AB3E98"/>
    <w:rsid w:val="00AB421F"/>
    <w:rsid w:val="00AB44C0"/>
    <w:rsid w:val="00AB46D2"/>
    <w:rsid w:val="00AB47A0"/>
    <w:rsid w:val="00AB4F7F"/>
    <w:rsid w:val="00AB524C"/>
    <w:rsid w:val="00AB534C"/>
    <w:rsid w:val="00AB5742"/>
    <w:rsid w:val="00AB5E2C"/>
    <w:rsid w:val="00AB63DF"/>
    <w:rsid w:val="00AB66EB"/>
    <w:rsid w:val="00AB7186"/>
    <w:rsid w:val="00AB72DF"/>
    <w:rsid w:val="00AB7F56"/>
    <w:rsid w:val="00AC0A11"/>
    <w:rsid w:val="00AC1039"/>
    <w:rsid w:val="00AC12D7"/>
    <w:rsid w:val="00AC1B61"/>
    <w:rsid w:val="00AC1CD4"/>
    <w:rsid w:val="00AC1F4C"/>
    <w:rsid w:val="00AC2DCE"/>
    <w:rsid w:val="00AC3A48"/>
    <w:rsid w:val="00AC4474"/>
    <w:rsid w:val="00AC46DD"/>
    <w:rsid w:val="00AC484F"/>
    <w:rsid w:val="00AC5020"/>
    <w:rsid w:val="00AC54E2"/>
    <w:rsid w:val="00AC57BA"/>
    <w:rsid w:val="00AC5B92"/>
    <w:rsid w:val="00AC6819"/>
    <w:rsid w:val="00AC6AF1"/>
    <w:rsid w:val="00AC6B65"/>
    <w:rsid w:val="00AC6E1C"/>
    <w:rsid w:val="00AC6F29"/>
    <w:rsid w:val="00AC6F9C"/>
    <w:rsid w:val="00AC7241"/>
    <w:rsid w:val="00AD0812"/>
    <w:rsid w:val="00AD0C0E"/>
    <w:rsid w:val="00AD0E26"/>
    <w:rsid w:val="00AD0EA7"/>
    <w:rsid w:val="00AD1354"/>
    <w:rsid w:val="00AD18D6"/>
    <w:rsid w:val="00AD3018"/>
    <w:rsid w:val="00AD327D"/>
    <w:rsid w:val="00AD33F9"/>
    <w:rsid w:val="00AD410A"/>
    <w:rsid w:val="00AD4224"/>
    <w:rsid w:val="00AD4363"/>
    <w:rsid w:val="00AD4AAC"/>
    <w:rsid w:val="00AD4E08"/>
    <w:rsid w:val="00AD4F79"/>
    <w:rsid w:val="00AD5371"/>
    <w:rsid w:val="00AD5486"/>
    <w:rsid w:val="00AD5AAB"/>
    <w:rsid w:val="00AD5F04"/>
    <w:rsid w:val="00AD60A8"/>
    <w:rsid w:val="00AD7240"/>
    <w:rsid w:val="00AD79AA"/>
    <w:rsid w:val="00AD7D3D"/>
    <w:rsid w:val="00AE07FC"/>
    <w:rsid w:val="00AE0901"/>
    <w:rsid w:val="00AE0AF2"/>
    <w:rsid w:val="00AE188F"/>
    <w:rsid w:val="00AE1B2A"/>
    <w:rsid w:val="00AE2A8A"/>
    <w:rsid w:val="00AE3060"/>
    <w:rsid w:val="00AE393B"/>
    <w:rsid w:val="00AE3AA7"/>
    <w:rsid w:val="00AE40D2"/>
    <w:rsid w:val="00AE42D9"/>
    <w:rsid w:val="00AE44D7"/>
    <w:rsid w:val="00AE453D"/>
    <w:rsid w:val="00AE4AA6"/>
    <w:rsid w:val="00AE4C7D"/>
    <w:rsid w:val="00AE58CF"/>
    <w:rsid w:val="00AE5EBA"/>
    <w:rsid w:val="00AE6377"/>
    <w:rsid w:val="00AE648B"/>
    <w:rsid w:val="00AE67E0"/>
    <w:rsid w:val="00AE6C8D"/>
    <w:rsid w:val="00AE757F"/>
    <w:rsid w:val="00AE7837"/>
    <w:rsid w:val="00AE7EB5"/>
    <w:rsid w:val="00AE7F02"/>
    <w:rsid w:val="00AF0458"/>
    <w:rsid w:val="00AF04F4"/>
    <w:rsid w:val="00AF0A21"/>
    <w:rsid w:val="00AF0C61"/>
    <w:rsid w:val="00AF10D0"/>
    <w:rsid w:val="00AF12C3"/>
    <w:rsid w:val="00AF170E"/>
    <w:rsid w:val="00AF186D"/>
    <w:rsid w:val="00AF1A0A"/>
    <w:rsid w:val="00AF1AC8"/>
    <w:rsid w:val="00AF1B31"/>
    <w:rsid w:val="00AF1B42"/>
    <w:rsid w:val="00AF1B6F"/>
    <w:rsid w:val="00AF1CCB"/>
    <w:rsid w:val="00AF1F29"/>
    <w:rsid w:val="00AF1F3E"/>
    <w:rsid w:val="00AF21FD"/>
    <w:rsid w:val="00AF2AF4"/>
    <w:rsid w:val="00AF319D"/>
    <w:rsid w:val="00AF3781"/>
    <w:rsid w:val="00AF3F2F"/>
    <w:rsid w:val="00AF44B2"/>
    <w:rsid w:val="00AF44FE"/>
    <w:rsid w:val="00AF4835"/>
    <w:rsid w:val="00AF500A"/>
    <w:rsid w:val="00AF501A"/>
    <w:rsid w:val="00AF5078"/>
    <w:rsid w:val="00AF5634"/>
    <w:rsid w:val="00AF5DA5"/>
    <w:rsid w:val="00AF5FD3"/>
    <w:rsid w:val="00AF627A"/>
    <w:rsid w:val="00AF6BDC"/>
    <w:rsid w:val="00AF7043"/>
    <w:rsid w:val="00AF78D5"/>
    <w:rsid w:val="00AF79A3"/>
    <w:rsid w:val="00B00117"/>
    <w:rsid w:val="00B002A6"/>
    <w:rsid w:val="00B0034E"/>
    <w:rsid w:val="00B00BE8"/>
    <w:rsid w:val="00B0110B"/>
    <w:rsid w:val="00B0129B"/>
    <w:rsid w:val="00B0152F"/>
    <w:rsid w:val="00B01860"/>
    <w:rsid w:val="00B01BD4"/>
    <w:rsid w:val="00B01BF5"/>
    <w:rsid w:val="00B01CC5"/>
    <w:rsid w:val="00B01E31"/>
    <w:rsid w:val="00B02054"/>
    <w:rsid w:val="00B020FB"/>
    <w:rsid w:val="00B023D7"/>
    <w:rsid w:val="00B02A58"/>
    <w:rsid w:val="00B02AC7"/>
    <w:rsid w:val="00B030EE"/>
    <w:rsid w:val="00B038E9"/>
    <w:rsid w:val="00B03E47"/>
    <w:rsid w:val="00B03E70"/>
    <w:rsid w:val="00B03E95"/>
    <w:rsid w:val="00B04145"/>
    <w:rsid w:val="00B0417E"/>
    <w:rsid w:val="00B04360"/>
    <w:rsid w:val="00B047AB"/>
    <w:rsid w:val="00B04E20"/>
    <w:rsid w:val="00B0564A"/>
    <w:rsid w:val="00B05759"/>
    <w:rsid w:val="00B05897"/>
    <w:rsid w:val="00B06040"/>
    <w:rsid w:val="00B060EF"/>
    <w:rsid w:val="00B06143"/>
    <w:rsid w:val="00B0688E"/>
    <w:rsid w:val="00B0702A"/>
    <w:rsid w:val="00B07583"/>
    <w:rsid w:val="00B07C0C"/>
    <w:rsid w:val="00B07EDB"/>
    <w:rsid w:val="00B07EDD"/>
    <w:rsid w:val="00B1039E"/>
    <w:rsid w:val="00B10A79"/>
    <w:rsid w:val="00B10D9E"/>
    <w:rsid w:val="00B10EBB"/>
    <w:rsid w:val="00B11857"/>
    <w:rsid w:val="00B11B3F"/>
    <w:rsid w:val="00B1255A"/>
    <w:rsid w:val="00B12942"/>
    <w:rsid w:val="00B12D88"/>
    <w:rsid w:val="00B12DAB"/>
    <w:rsid w:val="00B12E0E"/>
    <w:rsid w:val="00B12F94"/>
    <w:rsid w:val="00B130B6"/>
    <w:rsid w:val="00B13A2C"/>
    <w:rsid w:val="00B142D7"/>
    <w:rsid w:val="00B143C7"/>
    <w:rsid w:val="00B1460B"/>
    <w:rsid w:val="00B15208"/>
    <w:rsid w:val="00B15627"/>
    <w:rsid w:val="00B1574E"/>
    <w:rsid w:val="00B15A6D"/>
    <w:rsid w:val="00B15B95"/>
    <w:rsid w:val="00B15FBA"/>
    <w:rsid w:val="00B166CB"/>
    <w:rsid w:val="00B168CC"/>
    <w:rsid w:val="00B16982"/>
    <w:rsid w:val="00B16A78"/>
    <w:rsid w:val="00B17062"/>
    <w:rsid w:val="00B171C0"/>
    <w:rsid w:val="00B20014"/>
    <w:rsid w:val="00B20580"/>
    <w:rsid w:val="00B213D8"/>
    <w:rsid w:val="00B215CF"/>
    <w:rsid w:val="00B2168C"/>
    <w:rsid w:val="00B21A73"/>
    <w:rsid w:val="00B21F45"/>
    <w:rsid w:val="00B221F5"/>
    <w:rsid w:val="00B22480"/>
    <w:rsid w:val="00B22D5A"/>
    <w:rsid w:val="00B22DBA"/>
    <w:rsid w:val="00B23131"/>
    <w:rsid w:val="00B23419"/>
    <w:rsid w:val="00B23AAC"/>
    <w:rsid w:val="00B23F43"/>
    <w:rsid w:val="00B242D7"/>
    <w:rsid w:val="00B245DD"/>
    <w:rsid w:val="00B253E6"/>
    <w:rsid w:val="00B25852"/>
    <w:rsid w:val="00B26002"/>
    <w:rsid w:val="00B2618B"/>
    <w:rsid w:val="00B265EB"/>
    <w:rsid w:val="00B26D77"/>
    <w:rsid w:val="00B26DE6"/>
    <w:rsid w:val="00B26E7C"/>
    <w:rsid w:val="00B3034F"/>
    <w:rsid w:val="00B307DB"/>
    <w:rsid w:val="00B30B68"/>
    <w:rsid w:val="00B30C72"/>
    <w:rsid w:val="00B314FD"/>
    <w:rsid w:val="00B31DC9"/>
    <w:rsid w:val="00B31DCC"/>
    <w:rsid w:val="00B3204D"/>
    <w:rsid w:val="00B324D1"/>
    <w:rsid w:val="00B325A7"/>
    <w:rsid w:val="00B3286A"/>
    <w:rsid w:val="00B32A7E"/>
    <w:rsid w:val="00B33D5A"/>
    <w:rsid w:val="00B33F7C"/>
    <w:rsid w:val="00B34916"/>
    <w:rsid w:val="00B34EDD"/>
    <w:rsid w:val="00B3529C"/>
    <w:rsid w:val="00B3564F"/>
    <w:rsid w:val="00B356CA"/>
    <w:rsid w:val="00B3596F"/>
    <w:rsid w:val="00B3616C"/>
    <w:rsid w:val="00B3617E"/>
    <w:rsid w:val="00B361C8"/>
    <w:rsid w:val="00B36350"/>
    <w:rsid w:val="00B36889"/>
    <w:rsid w:val="00B36D48"/>
    <w:rsid w:val="00B36F5C"/>
    <w:rsid w:val="00B404A3"/>
    <w:rsid w:val="00B406F4"/>
    <w:rsid w:val="00B40CDE"/>
    <w:rsid w:val="00B40D5A"/>
    <w:rsid w:val="00B41294"/>
    <w:rsid w:val="00B4145A"/>
    <w:rsid w:val="00B41642"/>
    <w:rsid w:val="00B41F5C"/>
    <w:rsid w:val="00B4221C"/>
    <w:rsid w:val="00B42480"/>
    <w:rsid w:val="00B431CA"/>
    <w:rsid w:val="00B43994"/>
    <w:rsid w:val="00B439CB"/>
    <w:rsid w:val="00B43D8A"/>
    <w:rsid w:val="00B43F68"/>
    <w:rsid w:val="00B43FB8"/>
    <w:rsid w:val="00B4429F"/>
    <w:rsid w:val="00B44422"/>
    <w:rsid w:val="00B44BBE"/>
    <w:rsid w:val="00B44C2E"/>
    <w:rsid w:val="00B45065"/>
    <w:rsid w:val="00B45454"/>
    <w:rsid w:val="00B4554C"/>
    <w:rsid w:val="00B4557F"/>
    <w:rsid w:val="00B457C3"/>
    <w:rsid w:val="00B46139"/>
    <w:rsid w:val="00B4624C"/>
    <w:rsid w:val="00B46903"/>
    <w:rsid w:val="00B46A95"/>
    <w:rsid w:val="00B46F65"/>
    <w:rsid w:val="00B473D2"/>
    <w:rsid w:val="00B4757F"/>
    <w:rsid w:val="00B47F3C"/>
    <w:rsid w:val="00B50380"/>
    <w:rsid w:val="00B50FE5"/>
    <w:rsid w:val="00B520B5"/>
    <w:rsid w:val="00B52C2A"/>
    <w:rsid w:val="00B52C83"/>
    <w:rsid w:val="00B533FD"/>
    <w:rsid w:val="00B534F9"/>
    <w:rsid w:val="00B535D7"/>
    <w:rsid w:val="00B53D74"/>
    <w:rsid w:val="00B53DB3"/>
    <w:rsid w:val="00B540EE"/>
    <w:rsid w:val="00B552EB"/>
    <w:rsid w:val="00B5530F"/>
    <w:rsid w:val="00B55536"/>
    <w:rsid w:val="00B55696"/>
    <w:rsid w:val="00B5591F"/>
    <w:rsid w:val="00B55CAF"/>
    <w:rsid w:val="00B55EA2"/>
    <w:rsid w:val="00B55F0E"/>
    <w:rsid w:val="00B569AD"/>
    <w:rsid w:val="00B56C66"/>
    <w:rsid w:val="00B56E94"/>
    <w:rsid w:val="00B57081"/>
    <w:rsid w:val="00B57851"/>
    <w:rsid w:val="00B57952"/>
    <w:rsid w:val="00B57D0D"/>
    <w:rsid w:val="00B57E1F"/>
    <w:rsid w:val="00B6001E"/>
    <w:rsid w:val="00B6014D"/>
    <w:rsid w:val="00B6067F"/>
    <w:rsid w:val="00B6099F"/>
    <w:rsid w:val="00B60A9C"/>
    <w:rsid w:val="00B60B98"/>
    <w:rsid w:val="00B61499"/>
    <w:rsid w:val="00B6175E"/>
    <w:rsid w:val="00B61A09"/>
    <w:rsid w:val="00B61D67"/>
    <w:rsid w:val="00B61E02"/>
    <w:rsid w:val="00B62386"/>
    <w:rsid w:val="00B625AF"/>
    <w:rsid w:val="00B626BB"/>
    <w:rsid w:val="00B62F4C"/>
    <w:rsid w:val="00B63855"/>
    <w:rsid w:val="00B63D10"/>
    <w:rsid w:val="00B63FEB"/>
    <w:rsid w:val="00B64AF2"/>
    <w:rsid w:val="00B64E10"/>
    <w:rsid w:val="00B65446"/>
    <w:rsid w:val="00B65520"/>
    <w:rsid w:val="00B65616"/>
    <w:rsid w:val="00B65C4C"/>
    <w:rsid w:val="00B65F26"/>
    <w:rsid w:val="00B661AE"/>
    <w:rsid w:val="00B667C3"/>
    <w:rsid w:val="00B66BDF"/>
    <w:rsid w:val="00B66C38"/>
    <w:rsid w:val="00B6742A"/>
    <w:rsid w:val="00B6753D"/>
    <w:rsid w:val="00B67EB5"/>
    <w:rsid w:val="00B70094"/>
    <w:rsid w:val="00B7058F"/>
    <w:rsid w:val="00B705D1"/>
    <w:rsid w:val="00B7090F"/>
    <w:rsid w:val="00B71030"/>
    <w:rsid w:val="00B71360"/>
    <w:rsid w:val="00B717E4"/>
    <w:rsid w:val="00B7181B"/>
    <w:rsid w:val="00B71BF3"/>
    <w:rsid w:val="00B720D7"/>
    <w:rsid w:val="00B72243"/>
    <w:rsid w:val="00B728C7"/>
    <w:rsid w:val="00B72BE7"/>
    <w:rsid w:val="00B72F64"/>
    <w:rsid w:val="00B73CCF"/>
    <w:rsid w:val="00B73D11"/>
    <w:rsid w:val="00B74216"/>
    <w:rsid w:val="00B74584"/>
    <w:rsid w:val="00B746AA"/>
    <w:rsid w:val="00B74DD3"/>
    <w:rsid w:val="00B74ECA"/>
    <w:rsid w:val="00B75268"/>
    <w:rsid w:val="00B7529A"/>
    <w:rsid w:val="00B75397"/>
    <w:rsid w:val="00B757EA"/>
    <w:rsid w:val="00B75A33"/>
    <w:rsid w:val="00B75B27"/>
    <w:rsid w:val="00B75B9A"/>
    <w:rsid w:val="00B75D70"/>
    <w:rsid w:val="00B75DD1"/>
    <w:rsid w:val="00B75E29"/>
    <w:rsid w:val="00B76312"/>
    <w:rsid w:val="00B764F1"/>
    <w:rsid w:val="00B76C4B"/>
    <w:rsid w:val="00B76E2B"/>
    <w:rsid w:val="00B77106"/>
    <w:rsid w:val="00B7750E"/>
    <w:rsid w:val="00B77679"/>
    <w:rsid w:val="00B77E2E"/>
    <w:rsid w:val="00B8040F"/>
    <w:rsid w:val="00B80FE9"/>
    <w:rsid w:val="00B81315"/>
    <w:rsid w:val="00B81833"/>
    <w:rsid w:val="00B81BE7"/>
    <w:rsid w:val="00B81F59"/>
    <w:rsid w:val="00B81FCC"/>
    <w:rsid w:val="00B8213C"/>
    <w:rsid w:val="00B82259"/>
    <w:rsid w:val="00B831BF"/>
    <w:rsid w:val="00B834C2"/>
    <w:rsid w:val="00B83ACA"/>
    <w:rsid w:val="00B83C04"/>
    <w:rsid w:val="00B84033"/>
    <w:rsid w:val="00B846CD"/>
    <w:rsid w:val="00B847E7"/>
    <w:rsid w:val="00B84D30"/>
    <w:rsid w:val="00B850E5"/>
    <w:rsid w:val="00B851EC"/>
    <w:rsid w:val="00B86270"/>
    <w:rsid w:val="00B86E45"/>
    <w:rsid w:val="00B87D1E"/>
    <w:rsid w:val="00B87F8E"/>
    <w:rsid w:val="00B90607"/>
    <w:rsid w:val="00B908BD"/>
    <w:rsid w:val="00B90B87"/>
    <w:rsid w:val="00B90CE5"/>
    <w:rsid w:val="00B90FB7"/>
    <w:rsid w:val="00B91DBA"/>
    <w:rsid w:val="00B91E12"/>
    <w:rsid w:val="00B91ED1"/>
    <w:rsid w:val="00B92036"/>
    <w:rsid w:val="00B93046"/>
    <w:rsid w:val="00B930B0"/>
    <w:rsid w:val="00B93DB9"/>
    <w:rsid w:val="00B93F67"/>
    <w:rsid w:val="00B940C7"/>
    <w:rsid w:val="00B94A7A"/>
    <w:rsid w:val="00B96522"/>
    <w:rsid w:val="00B965CA"/>
    <w:rsid w:val="00B96BE9"/>
    <w:rsid w:val="00B97473"/>
    <w:rsid w:val="00BA0419"/>
    <w:rsid w:val="00BA0872"/>
    <w:rsid w:val="00BA13B0"/>
    <w:rsid w:val="00BA1521"/>
    <w:rsid w:val="00BA1ACB"/>
    <w:rsid w:val="00BA1C48"/>
    <w:rsid w:val="00BA1DC6"/>
    <w:rsid w:val="00BA206B"/>
    <w:rsid w:val="00BA2897"/>
    <w:rsid w:val="00BA2A4F"/>
    <w:rsid w:val="00BA2CD8"/>
    <w:rsid w:val="00BA3406"/>
    <w:rsid w:val="00BA3CC8"/>
    <w:rsid w:val="00BA4B2F"/>
    <w:rsid w:val="00BA4F1F"/>
    <w:rsid w:val="00BA5155"/>
    <w:rsid w:val="00BA51F7"/>
    <w:rsid w:val="00BA5A89"/>
    <w:rsid w:val="00BA6601"/>
    <w:rsid w:val="00BA6F00"/>
    <w:rsid w:val="00BA70A5"/>
    <w:rsid w:val="00BA72A5"/>
    <w:rsid w:val="00BA741F"/>
    <w:rsid w:val="00BA74B7"/>
    <w:rsid w:val="00BA7515"/>
    <w:rsid w:val="00BA7775"/>
    <w:rsid w:val="00BA795E"/>
    <w:rsid w:val="00BB0516"/>
    <w:rsid w:val="00BB0934"/>
    <w:rsid w:val="00BB10E7"/>
    <w:rsid w:val="00BB177C"/>
    <w:rsid w:val="00BB1EB0"/>
    <w:rsid w:val="00BB2370"/>
    <w:rsid w:val="00BB2A50"/>
    <w:rsid w:val="00BB2AE7"/>
    <w:rsid w:val="00BB2C76"/>
    <w:rsid w:val="00BB4062"/>
    <w:rsid w:val="00BB44CF"/>
    <w:rsid w:val="00BB4767"/>
    <w:rsid w:val="00BB4ACF"/>
    <w:rsid w:val="00BB57F9"/>
    <w:rsid w:val="00BB5882"/>
    <w:rsid w:val="00BB5AEB"/>
    <w:rsid w:val="00BB5D76"/>
    <w:rsid w:val="00BB5F61"/>
    <w:rsid w:val="00BB5F82"/>
    <w:rsid w:val="00BB6235"/>
    <w:rsid w:val="00BB6548"/>
    <w:rsid w:val="00BB6985"/>
    <w:rsid w:val="00BB6F0C"/>
    <w:rsid w:val="00BB7B8F"/>
    <w:rsid w:val="00BB7BA9"/>
    <w:rsid w:val="00BB7D26"/>
    <w:rsid w:val="00BB7F93"/>
    <w:rsid w:val="00BB7FF3"/>
    <w:rsid w:val="00BC080B"/>
    <w:rsid w:val="00BC1318"/>
    <w:rsid w:val="00BC16E5"/>
    <w:rsid w:val="00BC22EE"/>
    <w:rsid w:val="00BC233B"/>
    <w:rsid w:val="00BC2BF2"/>
    <w:rsid w:val="00BC3421"/>
    <w:rsid w:val="00BC35A6"/>
    <w:rsid w:val="00BC3712"/>
    <w:rsid w:val="00BC37FD"/>
    <w:rsid w:val="00BC382B"/>
    <w:rsid w:val="00BC3B75"/>
    <w:rsid w:val="00BC3F69"/>
    <w:rsid w:val="00BC41E0"/>
    <w:rsid w:val="00BC4666"/>
    <w:rsid w:val="00BC46DA"/>
    <w:rsid w:val="00BC4A30"/>
    <w:rsid w:val="00BC4BE5"/>
    <w:rsid w:val="00BC4C3B"/>
    <w:rsid w:val="00BC4D84"/>
    <w:rsid w:val="00BC4EE8"/>
    <w:rsid w:val="00BC50CA"/>
    <w:rsid w:val="00BC52AB"/>
    <w:rsid w:val="00BC57DF"/>
    <w:rsid w:val="00BC5912"/>
    <w:rsid w:val="00BC5E87"/>
    <w:rsid w:val="00BC6D84"/>
    <w:rsid w:val="00BC6DE2"/>
    <w:rsid w:val="00BC7469"/>
    <w:rsid w:val="00BC7D2C"/>
    <w:rsid w:val="00BD00E8"/>
    <w:rsid w:val="00BD08C9"/>
    <w:rsid w:val="00BD17B2"/>
    <w:rsid w:val="00BD1891"/>
    <w:rsid w:val="00BD19DE"/>
    <w:rsid w:val="00BD1A55"/>
    <w:rsid w:val="00BD2BF6"/>
    <w:rsid w:val="00BD3116"/>
    <w:rsid w:val="00BD31D4"/>
    <w:rsid w:val="00BD32A5"/>
    <w:rsid w:val="00BD3353"/>
    <w:rsid w:val="00BD41A7"/>
    <w:rsid w:val="00BD479D"/>
    <w:rsid w:val="00BD49F3"/>
    <w:rsid w:val="00BD526E"/>
    <w:rsid w:val="00BD53F3"/>
    <w:rsid w:val="00BD58B4"/>
    <w:rsid w:val="00BD5B03"/>
    <w:rsid w:val="00BD62F7"/>
    <w:rsid w:val="00BD6880"/>
    <w:rsid w:val="00BD6C73"/>
    <w:rsid w:val="00BD733D"/>
    <w:rsid w:val="00BE0297"/>
    <w:rsid w:val="00BE0351"/>
    <w:rsid w:val="00BE0398"/>
    <w:rsid w:val="00BE0522"/>
    <w:rsid w:val="00BE0601"/>
    <w:rsid w:val="00BE0AF8"/>
    <w:rsid w:val="00BE0EC5"/>
    <w:rsid w:val="00BE121A"/>
    <w:rsid w:val="00BE1621"/>
    <w:rsid w:val="00BE1C05"/>
    <w:rsid w:val="00BE2215"/>
    <w:rsid w:val="00BE26DA"/>
    <w:rsid w:val="00BE271F"/>
    <w:rsid w:val="00BE2A80"/>
    <w:rsid w:val="00BE3016"/>
    <w:rsid w:val="00BE3850"/>
    <w:rsid w:val="00BE3A3D"/>
    <w:rsid w:val="00BE46C2"/>
    <w:rsid w:val="00BE52B0"/>
    <w:rsid w:val="00BE53F9"/>
    <w:rsid w:val="00BE5D91"/>
    <w:rsid w:val="00BE5EE2"/>
    <w:rsid w:val="00BE741B"/>
    <w:rsid w:val="00BE7AB4"/>
    <w:rsid w:val="00BE7DB7"/>
    <w:rsid w:val="00BF0BDD"/>
    <w:rsid w:val="00BF1176"/>
    <w:rsid w:val="00BF11B3"/>
    <w:rsid w:val="00BF184E"/>
    <w:rsid w:val="00BF1DB4"/>
    <w:rsid w:val="00BF279E"/>
    <w:rsid w:val="00BF2B63"/>
    <w:rsid w:val="00BF3182"/>
    <w:rsid w:val="00BF31F2"/>
    <w:rsid w:val="00BF3CA1"/>
    <w:rsid w:val="00BF3ECA"/>
    <w:rsid w:val="00BF474A"/>
    <w:rsid w:val="00BF4B9A"/>
    <w:rsid w:val="00BF4C16"/>
    <w:rsid w:val="00BF4FA6"/>
    <w:rsid w:val="00BF5088"/>
    <w:rsid w:val="00BF58A8"/>
    <w:rsid w:val="00BF5A07"/>
    <w:rsid w:val="00BF5B04"/>
    <w:rsid w:val="00BF5DD5"/>
    <w:rsid w:val="00BF5EEF"/>
    <w:rsid w:val="00BF66D7"/>
    <w:rsid w:val="00BF686D"/>
    <w:rsid w:val="00BF69BF"/>
    <w:rsid w:val="00BF69E3"/>
    <w:rsid w:val="00BF6ADA"/>
    <w:rsid w:val="00BF6C9F"/>
    <w:rsid w:val="00BF7730"/>
    <w:rsid w:val="00BF7788"/>
    <w:rsid w:val="00BF7798"/>
    <w:rsid w:val="00BF7CCF"/>
    <w:rsid w:val="00BF7E61"/>
    <w:rsid w:val="00BF7F5F"/>
    <w:rsid w:val="00C0006C"/>
    <w:rsid w:val="00C0044A"/>
    <w:rsid w:val="00C009F5"/>
    <w:rsid w:val="00C0110F"/>
    <w:rsid w:val="00C012C2"/>
    <w:rsid w:val="00C01582"/>
    <w:rsid w:val="00C01B4B"/>
    <w:rsid w:val="00C01DF5"/>
    <w:rsid w:val="00C024A4"/>
    <w:rsid w:val="00C02D29"/>
    <w:rsid w:val="00C02F20"/>
    <w:rsid w:val="00C030D7"/>
    <w:rsid w:val="00C0326B"/>
    <w:rsid w:val="00C03509"/>
    <w:rsid w:val="00C03C12"/>
    <w:rsid w:val="00C03C34"/>
    <w:rsid w:val="00C03DC1"/>
    <w:rsid w:val="00C0418A"/>
    <w:rsid w:val="00C046A6"/>
    <w:rsid w:val="00C04965"/>
    <w:rsid w:val="00C04B64"/>
    <w:rsid w:val="00C04BC6"/>
    <w:rsid w:val="00C04F80"/>
    <w:rsid w:val="00C063CE"/>
    <w:rsid w:val="00C065EC"/>
    <w:rsid w:val="00C06610"/>
    <w:rsid w:val="00C06A54"/>
    <w:rsid w:val="00C076C6"/>
    <w:rsid w:val="00C0789F"/>
    <w:rsid w:val="00C07DC5"/>
    <w:rsid w:val="00C10607"/>
    <w:rsid w:val="00C10D9E"/>
    <w:rsid w:val="00C10E5E"/>
    <w:rsid w:val="00C10FB0"/>
    <w:rsid w:val="00C11998"/>
    <w:rsid w:val="00C120A7"/>
    <w:rsid w:val="00C12432"/>
    <w:rsid w:val="00C132D9"/>
    <w:rsid w:val="00C13613"/>
    <w:rsid w:val="00C13C64"/>
    <w:rsid w:val="00C13C6A"/>
    <w:rsid w:val="00C13C75"/>
    <w:rsid w:val="00C13DB7"/>
    <w:rsid w:val="00C14113"/>
    <w:rsid w:val="00C142C1"/>
    <w:rsid w:val="00C14657"/>
    <w:rsid w:val="00C14913"/>
    <w:rsid w:val="00C14EC6"/>
    <w:rsid w:val="00C1597E"/>
    <w:rsid w:val="00C15AAA"/>
    <w:rsid w:val="00C160A1"/>
    <w:rsid w:val="00C1712C"/>
    <w:rsid w:val="00C174CA"/>
    <w:rsid w:val="00C17954"/>
    <w:rsid w:val="00C17E73"/>
    <w:rsid w:val="00C17E7D"/>
    <w:rsid w:val="00C17F9A"/>
    <w:rsid w:val="00C202B8"/>
    <w:rsid w:val="00C2049C"/>
    <w:rsid w:val="00C20C81"/>
    <w:rsid w:val="00C20E00"/>
    <w:rsid w:val="00C21E3D"/>
    <w:rsid w:val="00C22279"/>
    <w:rsid w:val="00C22975"/>
    <w:rsid w:val="00C229B1"/>
    <w:rsid w:val="00C22B46"/>
    <w:rsid w:val="00C234CC"/>
    <w:rsid w:val="00C23CB1"/>
    <w:rsid w:val="00C23F56"/>
    <w:rsid w:val="00C245BD"/>
    <w:rsid w:val="00C2461C"/>
    <w:rsid w:val="00C24A47"/>
    <w:rsid w:val="00C24E4D"/>
    <w:rsid w:val="00C250EB"/>
    <w:rsid w:val="00C2558E"/>
    <w:rsid w:val="00C25851"/>
    <w:rsid w:val="00C259E2"/>
    <w:rsid w:val="00C25A3C"/>
    <w:rsid w:val="00C26D55"/>
    <w:rsid w:val="00C26FC5"/>
    <w:rsid w:val="00C27DFA"/>
    <w:rsid w:val="00C3048B"/>
    <w:rsid w:val="00C30882"/>
    <w:rsid w:val="00C30FCC"/>
    <w:rsid w:val="00C31A5F"/>
    <w:rsid w:val="00C31C10"/>
    <w:rsid w:val="00C31C80"/>
    <w:rsid w:val="00C31D25"/>
    <w:rsid w:val="00C31EC7"/>
    <w:rsid w:val="00C32027"/>
    <w:rsid w:val="00C327D3"/>
    <w:rsid w:val="00C32B55"/>
    <w:rsid w:val="00C32C71"/>
    <w:rsid w:val="00C32E8B"/>
    <w:rsid w:val="00C33836"/>
    <w:rsid w:val="00C3465B"/>
    <w:rsid w:val="00C34690"/>
    <w:rsid w:val="00C34784"/>
    <w:rsid w:val="00C348E0"/>
    <w:rsid w:val="00C34CB8"/>
    <w:rsid w:val="00C35AB6"/>
    <w:rsid w:val="00C36231"/>
    <w:rsid w:val="00C363B7"/>
    <w:rsid w:val="00C3650A"/>
    <w:rsid w:val="00C3715A"/>
    <w:rsid w:val="00C37796"/>
    <w:rsid w:val="00C37A44"/>
    <w:rsid w:val="00C37D79"/>
    <w:rsid w:val="00C40201"/>
    <w:rsid w:val="00C40244"/>
    <w:rsid w:val="00C4041A"/>
    <w:rsid w:val="00C404CA"/>
    <w:rsid w:val="00C411A1"/>
    <w:rsid w:val="00C41E03"/>
    <w:rsid w:val="00C41E34"/>
    <w:rsid w:val="00C4211D"/>
    <w:rsid w:val="00C4213A"/>
    <w:rsid w:val="00C4239B"/>
    <w:rsid w:val="00C42AE8"/>
    <w:rsid w:val="00C42C66"/>
    <w:rsid w:val="00C43007"/>
    <w:rsid w:val="00C431EB"/>
    <w:rsid w:val="00C436CF"/>
    <w:rsid w:val="00C43837"/>
    <w:rsid w:val="00C44257"/>
    <w:rsid w:val="00C44B2E"/>
    <w:rsid w:val="00C44C0A"/>
    <w:rsid w:val="00C44E15"/>
    <w:rsid w:val="00C4643E"/>
    <w:rsid w:val="00C465C6"/>
    <w:rsid w:val="00C46B46"/>
    <w:rsid w:val="00C47344"/>
    <w:rsid w:val="00C47D49"/>
    <w:rsid w:val="00C47D80"/>
    <w:rsid w:val="00C47E6D"/>
    <w:rsid w:val="00C47F58"/>
    <w:rsid w:val="00C501D7"/>
    <w:rsid w:val="00C507EF"/>
    <w:rsid w:val="00C508B5"/>
    <w:rsid w:val="00C50B29"/>
    <w:rsid w:val="00C50F1A"/>
    <w:rsid w:val="00C514B0"/>
    <w:rsid w:val="00C515B6"/>
    <w:rsid w:val="00C51AE6"/>
    <w:rsid w:val="00C5216E"/>
    <w:rsid w:val="00C5218F"/>
    <w:rsid w:val="00C52276"/>
    <w:rsid w:val="00C52509"/>
    <w:rsid w:val="00C52C0C"/>
    <w:rsid w:val="00C52D83"/>
    <w:rsid w:val="00C53B36"/>
    <w:rsid w:val="00C53C3D"/>
    <w:rsid w:val="00C5439B"/>
    <w:rsid w:val="00C54A77"/>
    <w:rsid w:val="00C54A79"/>
    <w:rsid w:val="00C54FFA"/>
    <w:rsid w:val="00C55BFA"/>
    <w:rsid w:val="00C56C9E"/>
    <w:rsid w:val="00C56D65"/>
    <w:rsid w:val="00C56EC6"/>
    <w:rsid w:val="00C57103"/>
    <w:rsid w:val="00C5747F"/>
    <w:rsid w:val="00C578B5"/>
    <w:rsid w:val="00C5791A"/>
    <w:rsid w:val="00C605CD"/>
    <w:rsid w:val="00C608E2"/>
    <w:rsid w:val="00C6097A"/>
    <w:rsid w:val="00C60D26"/>
    <w:rsid w:val="00C60F59"/>
    <w:rsid w:val="00C61000"/>
    <w:rsid w:val="00C612E6"/>
    <w:rsid w:val="00C61455"/>
    <w:rsid w:val="00C614C3"/>
    <w:rsid w:val="00C614E8"/>
    <w:rsid w:val="00C615F4"/>
    <w:rsid w:val="00C6171E"/>
    <w:rsid w:val="00C620EA"/>
    <w:rsid w:val="00C624D5"/>
    <w:rsid w:val="00C62E31"/>
    <w:rsid w:val="00C6304F"/>
    <w:rsid w:val="00C63C3E"/>
    <w:rsid w:val="00C640D5"/>
    <w:rsid w:val="00C641C5"/>
    <w:rsid w:val="00C64ACE"/>
    <w:rsid w:val="00C652EF"/>
    <w:rsid w:val="00C6573A"/>
    <w:rsid w:val="00C65B3A"/>
    <w:rsid w:val="00C66084"/>
    <w:rsid w:val="00C66141"/>
    <w:rsid w:val="00C665BD"/>
    <w:rsid w:val="00C66EBE"/>
    <w:rsid w:val="00C67100"/>
    <w:rsid w:val="00C67394"/>
    <w:rsid w:val="00C67397"/>
    <w:rsid w:val="00C6745F"/>
    <w:rsid w:val="00C6751B"/>
    <w:rsid w:val="00C67533"/>
    <w:rsid w:val="00C70340"/>
    <w:rsid w:val="00C703DC"/>
    <w:rsid w:val="00C7067D"/>
    <w:rsid w:val="00C7114C"/>
    <w:rsid w:val="00C71564"/>
    <w:rsid w:val="00C72471"/>
    <w:rsid w:val="00C72553"/>
    <w:rsid w:val="00C727AB"/>
    <w:rsid w:val="00C727E7"/>
    <w:rsid w:val="00C72AA9"/>
    <w:rsid w:val="00C72EA8"/>
    <w:rsid w:val="00C73405"/>
    <w:rsid w:val="00C73CFB"/>
    <w:rsid w:val="00C74274"/>
    <w:rsid w:val="00C742D8"/>
    <w:rsid w:val="00C743D7"/>
    <w:rsid w:val="00C74693"/>
    <w:rsid w:val="00C746AC"/>
    <w:rsid w:val="00C74B64"/>
    <w:rsid w:val="00C752B6"/>
    <w:rsid w:val="00C757BD"/>
    <w:rsid w:val="00C75AC5"/>
    <w:rsid w:val="00C75BFA"/>
    <w:rsid w:val="00C7619E"/>
    <w:rsid w:val="00C76757"/>
    <w:rsid w:val="00C76C69"/>
    <w:rsid w:val="00C76E9D"/>
    <w:rsid w:val="00C7748E"/>
    <w:rsid w:val="00C7793E"/>
    <w:rsid w:val="00C77A27"/>
    <w:rsid w:val="00C77BAA"/>
    <w:rsid w:val="00C800C3"/>
    <w:rsid w:val="00C8061C"/>
    <w:rsid w:val="00C80C3D"/>
    <w:rsid w:val="00C81535"/>
    <w:rsid w:val="00C81EE9"/>
    <w:rsid w:val="00C821FC"/>
    <w:rsid w:val="00C82A2C"/>
    <w:rsid w:val="00C82A61"/>
    <w:rsid w:val="00C82EC6"/>
    <w:rsid w:val="00C82EF3"/>
    <w:rsid w:val="00C83112"/>
    <w:rsid w:val="00C837BC"/>
    <w:rsid w:val="00C83F21"/>
    <w:rsid w:val="00C83F53"/>
    <w:rsid w:val="00C83FCF"/>
    <w:rsid w:val="00C844AC"/>
    <w:rsid w:val="00C84E79"/>
    <w:rsid w:val="00C85255"/>
    <w:rsid w:val="00C854B6"/>
    <w:rsid w:val="00C85633"/>
    <w:rsid w:val="00C86193"/>
    <w:rsid w:val="00C86349"/>
    <w:rsid w:val="00C863F0"/>
    <w:rsid w:val="00C864F8"/>
    <w:rsid w:val="00C86E30"/>
    <w:rsid w:val="00C86E82"/>
    <w:rsid w:val="00C870FC"/>
    <w:rsid w:val="00C8723B"/>
    <w:rsid w:val="00C8738A"/>
    <w:rsid w:val="00C878A8"/>
    <w:rsid w:val="00C87A0F"/>
    <w:rsid w:val="00C9012E"/>
    <w:rsid w:val="00C90330"/>
    <w:rsid w:val="00C9136C"/>
    <w:rsid w:val="00C916EE"/>
    <w:rsid w:val="00C918FE"/>
    <w:rsid w:val="00C92266"/>
    <w:rsid w:val="00C92645"/>
    <w:rsid w:val="00C927EB"/>
    <w:rsid w:val="00C930D6"/>
    <w:rsid w:val="00C937AF"/>
    <w:rsid w:val="00C93A85"/>
    <w:rsid w:val="00C94201"/>
    <w:rsid w:val="00C9436C"/>
    <w:rsid w:val="00C944B2"/>
    <w:rsid w:val="00C9459C"/>
    <w:rsid w:val="00C945D6"/>
    <w:rsid w:val="00C94797"/>
    <w:rsid w:val="00C9495E"/>
    <w:rsid w:val="00C955BF"/>
    <w:rsid w:val="00C95730"/>
    <w:rsid w:val="00C961B7"/>
    <w:rsid w:val="00C96338"/>
    <w:rsid w:val="00C96832"/>
    <w:rsid w:val="00C968E7"/>
    <w:rsid w:val="00C96BBB"/>
    <w:rsid w:val="00C96C7D"/>
    <w:rsid w:val="00C96CDB"/>
    <w:rsid w:val="00C96CEA"/>
    <w:rsid w:val="00C97206"/>
    <w:rsid w:val="00C975C8"/>
    <w:rsid w:val="00C97D8C"/>
    <w:rsid w:val="00CA058B"/>
    <w:rsid w:val="00CA067F"/>
    <w:rsid w:val="00CA07E9"/>
    <w:rsid w:val="00CA0A4A"/>
    <w:rsid w:val="00CA148D"/>
    <w:rsid w:val="00CA17AB"/>
    <w:rsid w:val="00CA191A"/>
    <w:rsid w:val="00CA19CD"/>
    <w:rsid w:val="00CA205B"/>
    <w:rsid w:val="00CA2076"/>
    <w:rsid w:val="00CA20D4"/>
    <w:rsid w:val="00CA21F9"/>
    <w:rsid w:val="00CA2242"/>
    <w:rsid w:val="00CA22DC"/>
    <w:rsid w:val="00CA2851"/>
    <w:rsid w:val="00CA2F2B"/>
    <w:rsid w:val="00CA303B"/>
    <w:rsid w:val="00CA388C"/>
    <w:rsid w:val="00CA3C92"/>
    <w:rsid w:val="00CA403C"/>
    <w:rsid w:val="00CA42AB"/>
    <w:rsid w:val="00CA47CA"/>
    <w:rsid w:val="00CA4A72"/>
    <w:rsid w:val="00CA4AF5"/>
    <w:rsid w:val="00CA4D3E"/>
    <w:rsid w:val="00CA5013"/>
    <w:rsid w:val="00CA5019"/>
    <w:rsid w:val="00CA5042"/>
    <w:rsid w:val="00CA6550"/>
    <w:rsid w:val="00CA661D"/>
    <w:rsid w:val="00CA6707"/>
    <w:rsid w:val="00CA6AA2"/>
    <w:rsid w:val="00CA6FFC"/>
    <w:rsid w:val="00CA714D"/>
    <w:rsid w:val="00CA7898"/>
    <w:rsid w:val="00CA796D"/>
    <w:rsid w:val="00CA7A04"/>
    <w:rsid w:val="00CA7A3C"/>
    <w:rsid w:val="00CA7ADF"/>
    <w:rsid w:val="00CA7CDF"/>
    <w:rsid w:val="00CA7D85"/>
    <w:rsid w:val="00CA7FE7"/>
    <w:rsid w:val="00CB04E3"/>
    <w:rsid w:val="00CB0533"/>
    <w:rsid w:val="00CB13A6"/>
    <w:rsid w:val="00CB219D"/>
    <w:rsid w:val="00CB21C6"/>
    <w:rsid w:val="00CB25E5"/>
    <w:rsid w:val="00CB288D"/>
    <w:rsid w:val="00CB2CB8"/>
    <w:rsid w:val="00CB2CF6"/>
    <w:rsid w:val="00CB322F"/>
    <w:rsid w:val="00CB32A3"/>
    <w:rsid w:val="00CB380B"/>
    <w:rsid w:val="00CB3C34"/>
    <w:rsid w:val="00CB3D13"/>
    <w:rsid w:val="00CB43BD"/>
    <w:rsid w:val="00CB48E7"/>
    <w:rsid w:val="00CB4AC8"/>
    <w:rsid w:val="00CB4D93"/>
    <w:rsid w:val="00CB4F1C"/>
    <w:rsid w:val="00CB54E2"/>
    <w:rsid w:val="00CB56C2"/>
    <w:rsid w:val="00CB5751"/>
    <w:rsid w:val="00CB5852"/>
    <w:rsid w:val="00CB5C2C"/>
    <w:rsid w:val="00CB63C4"/>
    <w:rsid w:val="00CB692E"/>
    <w:rsid w:val="00CB6B64"/>
    <w:rsid w:val="00CB6E5C"/>
    <w:rsid w:val="00CB6EAF"/>
    <w:rsid w:val="00CB75DC"/>
    <w:rsid w:val="00CB77DF"/>
    <w:rsid w:val="00CB7977"/>
    <w:rsid w:val="00CC0546"/>
    <w:rsid w:val="00CC0748"/>
    <w:rsid w:val="00CC1AE6"/>
    <w:rsid w:val="00CC1D90"/>
    <w:rsid w:val="00CC2107"/>
    <w:rsid w:val="00CC2542"/>
    <w:rsid w:val="00CC278F"/>
    <w:rsid w:val="00CC2F41"/>
    <w:rsid w:val="00CC3543"/>
    <w:rsid w:val="00CC3682"/>
    <w:rsid w:val="00CC3CF9"/>
    <w:rsid w:val="00CC3E30"/>
    <w:rsid w:val="00CC3E4B"/>
    <w:rsid w:val="00CC3F6A"/>
    <w:rsid w:val="00CC40ED"/>
    <w:rsid w:val="00CC449E"/>
    <w:rsid w:val="00CC46E4"/>
    <w:rsid w:val="00CC49BE"/>
    <w:rsid w:val="00CC4B1A"/>
    <w:rsid w:val="00CC4CD9"/>
    <w:rsid w:val="00CC5671"/>
    <w:rsid w:val="00CC5E1A"/>
    <w:rsid w:val="00CC63C6"/>
    <w:rsid w:val="00CC669E"/>
    <w:rsid w:val="00CC68D6"/>
    <w:rsid w:val="00CC6D16"/>
    <w:rsid w:val="00CC7509"/>
    <w:rsid w:val="00CC76E7"/>
    <w:rsid w:val="00CC7813"/>
    <w:rsid w:val="00CC7A9E"/>
    <w:rsid w:val="00CC7E9A"/>
    <w:rsid w:val="00CD0DAA"/>
    <w:rsid w:val="00CD184A"/>
    <w:rsid w:val="00CD18AF"/>
    <w:rsid w:val="00CD1912"/>
    <w:rsid w:val="00CD1A54"/>
    <w:rsid w:val="00CD1DC4"/>
    <w:rsid w:val="00CD260E"/>
    <w:rsid w:val="00CD3273"/>
    <w:rsid w:val="00CD3306"/>
    <w:rsid w:val="00CD3C37"/>
    <w:rsid w:val="00CD3E14"/>
    <w:rsid w:val="00CD425C"/>
    <w:rsid w:val="00CD4565"/>
    <w:rsid w:val="00CD46A8"/>
    <w:rsid w:val="00CD4BD6"/>
    <w:rsid w:val="00CD5054"/>
    <w:rsid w:val="00CD5375"/>
    <w:rsid w:val="00CD5560"/>
    <w:rsid w:val="00CD55D7"/>
    <w:rsid w:val="00CD59B4"/>
    <w:rsid w:val="00CD5FDC"/>
    <w:rsid w:val="00CD6480"/>
    <w:rsid w:val="00CD6569"/>
    <w:rsid w:val="00CD69F3"/>
    <w:rsid w:val="00CD77E4"/>
    <w:rsid w:val="00CD77FF"/>
    <w:rsid w:val="00CE0B55"/>
    <w:rsid w:val="00CE0C15"/>
    <w:rsid w:val="00CE1714"/>
    <w:rsid w:val="00CE1C58"/>
    <w:rsid w:val="00CE1CAC"/>
    <w:rsid w:val="00CE1D0B"/>
    <w:rsid w:val="00CE1D8D"/>
    <w:rsid w:val="00CE1F44"/>
    <w:rsid w:val="00CE2495"/>
    <w:rsid w:val="00CE2D0A"/>
    <w:rsid w:val="00CE2E30"/>
    <w:rsid w:val="00CE3668"/>
    <w:rsid w:val="00CE38E5"/>
    <w:rsid w:val="00CE3ECA"/>
    <w:rsid w:val="00CE465D"/>
    <w:rsid w:val="00CE507A"/>
    <w:rsid w:val="00CE5099"/>
    <w:rsid w:val="00CE56DB"/>
    <w:rsid w:val="00CE5B99"/>
    <w:rsid w:val="00CE62A0"/>
    <w:rsid w:val="00CE6F14"/>
    <w:rsid w:val="00CE71F6"/>
    <w:rsid w:val="00CE73FE"/>
    <w:rsid w:val="00CF00B9"/>
    <w:rsid w:val="00CF019B"/>
    <w:rsid w:val="00CF059C"/>
    <w:rsid w:val="00CF0A06"/>
    <w:rsid w:val="00CF0ED2"/>
    <w:rsid w:val="00CF1457"/>
    <w:rsid w:val="00CF1493"/>
    <w:rsid w:val="00CF2058"/>
    <w:rsid w:val="00CF2392"/>
    <w:rsid w:val="00CF2C43"/>
    <w:rsid w:val="00CF30EA"/>
    <w:rsid w:val="00CF35D5"/>
    <w:rsid w:val="00CF416B"/>
    <w:rsid w:val="00CF4531"/>
    <w:rsid w:val="00CF46BB"/>
    <w:rsid w:val="00CF50A3"/>
    <w:rsid w:val="00CF5262"/>
    <w:rsid w:val="00CF580E"/>
    <w:rsid w:val="00CF592A"/>
    <w:rsid w:val="00CF59E4"/>
    <w:rsid w:val="00CF6371"/>
    <w:rsid w:val="00CF63E9"/>
    <w:rsid w:val="00CF7435"/>
    <w:rsid w:val="00CF7B8B"/>
    <w:rsid w:val="00D00240"/>
    <w:rsid w:val="00D003D6"/>
    <w:rsid w:val="00D00920"/>
    <w:rsid w:val="00D00B94"/>
    <w:rsid w:val="00D00F84"/>
    <w:rsid w:val="00D01149"/>
    <w:rsid w:val="00D0137E"/>
    <w:rsid w:val="00D01E73"/>
    <w:rsid w:val="00D02095"/>
    <w:rsid w:val="00D02167"/>
    <w:rsid w:val="00D0224B"/>
    <w:rsid w:val="00D0225E"/>
    <w:rsid w:val="00D022E1"/>
    <w:rsid w:val="00D027FE"/>
    <w:rsid w:val="00D029A6"/>
    <w:rsid w:val="00D0335F"/>
    <w:rsid w:val="00D03428"/>
    <w:rsid w:val="00D03624"/>
    <w:rsid w:val="00D037D0"/>
    <w:rsid w:val="00D03D35"/>
    <w:rsid w:val="00D03E01"/>
    <w:rsid w:val="00D04B03"/>
    <w:rsid w:val="00D05825"/>
    <w:rsid w:val="00D05C37"/>
    <w:rsid w:val="00D0645F"/>
    <w:rsid w:val="00D066E8"/>
    <w:rsid w:val="00D073E8"/>
    <w:rsid w:val="00D07D1C"/>
    <w:rsid w:val="00D07D6A"/>
    <w:rsid w:val="00D07DF4"/>
    <w:rsid w:val="00D102E4"/>
    <w:rsid w:val="00D108D4"/>
    <w:rsid w:val="00D1113E"/>
    <w:rsid w:val="00D1176A"/>
    <w:rsid w:val="00D11896"/>
    <w:rsid w:val="00D120EF"/>
    <w:rsid w:val="00D1221D"/>
    <w:rsid w:val="00D1378C"/>
    <w:rsid w:val="00D13DDD"/>
    <w:rsid w:val="00D14E86"/>
    <w:rsid w:val="00D15260"/>
    <w:rsid w:val="00D15D66"/>
    <w:rsid w:val="00D15F52"/>
    <w:rsid w:val="00D1611B"/>
    <w:rsid w:val="00D161D8"/>
    <w:rsid w:val="00D163C3"/>
    <w:rsid w:val="00D16F0E"/>
    <w:rsid w:val="00D17241"/>
    <w:rsid w:val="00D17259"/>
    <w:rsid w:val="00D201DF"/>
    <w:rsid w:val="00D2025B"/>
    <w:rsid w:val="00D204CF"/>
    <w:rsid w:val="00D20A72"/>
    <w:rsid w:val="00D20BA5"/>
    <w:rsid w:val="00D20E60"/>
    <w:rsid w:val="00D20EA4"/>
    <w:rsid w:val="00D20F13"/>
    <w:rsid w:val="00D211E4"/>
    <w:rsid w:val="00D21228"/>
    <w:rsid w:val="00D2135F"/>
    <w:rsid w:val="00D22678"/>
    <w:rsid w:val="00D2272B"/>
    <w:rsid w:val="00D22867"/>
    <w:rsid w:val="00D22A38"/>
    <w:rsid w:val="00D234CF"/>
    <w:rsid w:val="00D23648"/>
    <w:rsid w:val="00D236D6"/>
    <w:rsid w:val="00D23832"/>
    <w:rsid w:val="00D23F60"/>
    <w:rsid w:val="00D24426"/>
    <w:rsid w:val="00D247BE"/>
    <w:rsid w:val="00D2505E"/>
    <w:rsid w:val="00D25425"/>
    <w:rsid w:val="00D269A7"/>
    <w:rsid w:val="00D26C6B"/>
    <w:rsid w:val="00D2700C"/>
    <w:rsid w:val="00D273D3"/>
    <w:rsid w:val="00D274F3"/>
    <w:rsid w:val="00D27713"/>
    <w:rsid w:val="00D27767"/>
    <w:rsid w:val="00D27832"/>
    <w:rsid w:val="00D27CC4"/>
    <w:rsid w:val="00D30765"/>
    <w:rsid w:val="00D3082E"/>
    <w:rsid w:val="00D3092F"/>
    <w:rsid w:val="00D31224"/>
    <w:rsid w:val="00D312DC"/>
    <w:rsid w:val="00D31536"/>
    <w:rsid w:val="00D31887"/>
    <w:rsid w:val="00D32111"/>
    <w:rsid w:val="00D322B5"/>
    <w:rsid w:val="00D326E6"/>
    <w:rsid w:val="00D32C67"/>
    <w:rsid w:val="00D3327D"/>
    <w:rsid w:val="00D3383A"/>
    <w:rsid w:val="00D33C6E"/>
    <w:rsid w:val="00D348FA"/>
    <w:rsid w:val="00D34E7A"/>
    <w:rsid w:val="00D34ED3"/>
    <w:rsid w:val="00D34FDF"/>
    <w:rsid w:val="00D35330"/>
    <w:rsid w:val="00D353E3"/>
    <w:rsid w:val="00D354A4"/>
    <w:rsid w:val="00D35715"/>
    <w:rsid w:val="00D35850"/>
    <w:rsid w:val="00D35A2B"/>
    <w:rsid w:val="00D35C5E"/>
    <w:rsid w:val="00D35E4E"/>
    <w:rsid w:val="00D3602C"/>
    <w:rsid w:val="00D364BD"/>
    <w:rsid w:val="00D364D7"/>
    <w:rsid w:val="00D370D0"/>
    <w:rsid w:val="00D37539"/>
    <w:rsid w:val="00D3773B"/>
    <w:rsid w:val="00D3786C"/>
    <w:rsid w:val="00D379AC"/>
    <w:rsid w:val="00D37EED"/>
    <w:rsid w:val="00D40820"/>
    <w:rsid w:val="00D40A2B"/>
    <w:rsid w:val="00D40FD5"/>
    <w:rsid w:val="00D41748"/>
    <w:rsid w:val="00D41A9B"/>
    <w:rsid w:val="00D41EBE"/>
    <w:rsid w:val="00D4271A"/>
    <w:rsid w:val="00D42AEE"/>
    <w:rsid w:val="00D42E33"/>
    <w:rsid w:val="00D43090"/>
    <w:rsid w:val="00D43B87"/>
    <w:rsid w:val="00D440F4"/>
    <w:rsid w:val="00D44496"/>
    <w:rsid w:val="00D44A33"/>
    <w:rsid w:val="00D44D6B"/>
    <w:rsid w:val="00D44F13"/>
    <w:rsid w:val="00D4520F"/>
    <w:rsid w:val="00D457BA"/>
    <w:rsid w:val="00D4580E"/>
    <w:rsid w:val="00D45949"/>
    <w:rsid w:val="00D45A6E"/>
    <w:rsid w:val="00D45D90"/>
    <w:rsid w:val="00D45DB6"/>
    <w:rsid w:val="00D45EDD"/>
    <w:rsid w:val="00D462B6"/>
    <w:rsid w:val="00D46390"/>
    <w:rsid w:val="00D463BC"/>
    <w:rsid w:val="00D4665E"/>
    <w:rsid w:val="00D46751"/>
    <w:rsid w:val="00D468E5"/>
    <w:rsid w:val="00D46FC8"/>
    <w:rsid w:val="00D4759E"/>
    <w:rsid w:val="00D47902"/>
    <w:rsid w:val="00D50459"/>
    <w:rsid w:val="00D50824"/>
    <w:rsid w:val="00D50849"/>
    <w:rsid w:val="00D508C7"/>
    <w:rsid w:val="00D50A49"/>
    <w:rsid w:val="00D51B01"/>
    <w:rsid w:val="00D51B75"/>
    <w:rsid w:val="00D52531"/>
    <w:rsid w:val="00D5266E"/>
    <w:rsid w:val="00D526EC"/>
    <w:rsid w:val="00D52EB4"/>
    <w:rsid w:val="00D534F3"/>
    <w:rsid w:val="00D53787"/>
    <w:rsid w:val="00D540DA"/>
    <w:rsid w:val="00D54AC7"/>
    <w:rsid w:val="00D54DE7"/>
    <w:rsid w:val="00D554D7"/>
    <w:rsid w:val="00D555F8"/>
    <w:rsid w:val="00D55685"/>
    <w:rsid w:val="00D55A53"/>
    <w:rsid w:val="00D5649C"/>
    <w:rsid w:val="00D56523"/>
    <w:rsid w:val="00D5672E"/>
    <w:rsid w:val="00D56C69"/>
    <w:rsid w:val="00D56E6A"/>
    <w:rsid w:val="00D570D7"/>
    <w:rsid w:val="00D57D53"/>
    <w:rsid w:val="00D57FA3"/>
    <w:rsid w:val="00D60208"/>
    <w:rsid w:val="00D60292"/>
    <w:rsid w:val="00D610AA"/>
    <w:rsid w:val="00D614C4"/>
    <w:rsid w:val="00D61998"/>
    <w:rsid w:val="00D61C24"/>
    <w:rsid w:val="00D6225D"/>
    <w:rsid w:val="00D629E6"/>
    <w:rsid w:val="00D62AD6"/>
    <w:rsid w:val="00D62F50"/>
    <w:rsid w:val="00D630E8"/>
    <w:rsid w:val="00D637D0"/>
    <w:rsid w:val="00D63960"/>
    <w:rsid w:val="00D642E9"/>
    <w:rsid w:val="00D64719"/>
    <w:rsid w:val="00D64C34"/>
    <w:rsid w:val="00D6526D"/>
    <w:rsid w:val="00D6542D"/>
    <w:rsid w:val="00D65813"/>
    <w:rsid w:val="00D65C1D"/>
    <w:rsid w:val="00D6692D"/>
    <w:rsid w:val="00D67E52"/>
    <w:rsid w:val="00D7006C"/>
    <w:rsid w:val="00D700D1"/>
    <w:rsid w:val="00D706F3"/>
    <w:rsid w:val="00D71069"/>
    <w:rsid w:val="00D71706"/>
    <w:rsid w:val="00D7172E"/>
    <w:rsid w:val="00D71A01"/>
    <w:rsid w:val="00D71E61"/>
    <w:rsid w:val="00D725FC"/>
    <w:rsid w:val="00D729D9"/>
    <w:rsid w:val="00D72E4E"/>
    <w:rsid w:val="00D7325C"/>
    <w:rsid w:val="00D737E5"/>
    <w:rsid w:val="00D73ABE"/>
    <w:rsid w:val="00D73D03"/>
    <w:rsid w:val="00D73D35"/>
    <w:rsid w:val="00D74F02"/>
    <w:rsid w:val="00D755EC"/>
    <w:rsid w:val="00D75869"/>
    <w:rsid w:val="00D763F5"/>
    <w:rsid w:val="00D76B16"/>
    <w:rsid w:val="00D76BBA"/>
    <w:rsid w:val="00D76CE4"/>
    <w:rsid w:val="00D76E4B"/>
    <w:rsid w:val="00D77493"/>
    <w:rsid w:val="00D77CA0"/>
    <w:rsid w:val="00D8025E"/>
    <w:rsid w:val="00D802E4"/>
    <w:rsid w:val="00D80528"/>
    <w:rsid w:val="00D806F4"/>
    <w:rsid w:val="00D813F3"/>
    <w:rsid w:val="00D8187A"/>
    <w:rsid w:val="00D81AA3"/>
    <w:rsid w:val="00D82230"/>
    <w:rsid w:val="00D830C4"/>
    <w:rsid w:val="00D833CA"/>
    <w:rsid w:val="00D837F7"/>
    <w:rsid w:val="00D84010"/>
    <w:rsid w:val="00D840DC"/>
    <w:rsid w:val="00D84567"/>
    <w:rsid w:val="00D84585"/>
    <w:rsid w:val="00D84818"/>
    <w:rsid w:val="00D8524E"/>
    <w:rsid w:val="00D8613E"/>
    <w:rsid w:val="00D8684B"/>
    <w:rsid w:val="00D86B73"/>
    <w:rsid w:val="00D86CAB"/>
    <w:rsid w:val="00D86CE3"/>
    <w:rsid w:val="00D86D3A"/>
    <w:rsid w:val="00D86D4C"/>
    <w:rsid w:val="00D87BC6"/>
    <w:rsid w:val="00D90777"/>
    <w:rsid w:val="00D90C25"/>
    <w:rsid w:val="00D90D2D"/>
    <w:rsid w:val="00D917F9"/>
    <w:rsid w:val="00D923DC"/>
    <w:rsid w:val="00D92434"/>
    <w:rsid w:val="00D928F5"/>
    <w:rsid w:val="00D92EF7"/>
    <w:rsid w:val="00D9300D"/>
    <w:rsid w:val="00D9365C"/>
    <w:rsid w:val="00D93A6E"/>
    <w:rsid w:val="00D94424"/>
    <w:rsid w:val="00D9475F"/>
    <w:rsid w:val="00D94FEE"/>
    <w:rsid w:val="00D952BF"/>
    <w:rsid w:val="00D955D5"/>
    <w:rsid w:val="00D95B1C"/>
    <w:rsid w:val="00D965FB"/>
    <w:rsid w:val="00D96A44"/>
    <w:rsid w:val="00D96FC4"/>
    <w:rsid w:val="00D97ABC"/>
    <w:rsid w:val="00D97B4C"/>
    <w:rsid w:val="00D97D21"/>
    <w:rsid w:val="00D97F8E"/>
    <w:rsid w:val="00DA0838"/>
    <w:rsid w:val="00DA13A9"/>
    <w:rsid w:val="00DA15C9"/>
    <w:rsid w:val="00DA19F4"/>
    <w:rsid w:val="00DA1B92"/>
    <w:rsid w:val="00DA25BC"/>
    <w:rsid w:val="00DA25DA"/>
    <w:rsid w:val="00DA2864"/>
    <w:rsid w:val="00DA30F2"/>
    <w:rsid w:val="00DA384D"/>
    <w:rsid w:val="00DA3F87"/>
    <w:rsid w:val="00DA43F6"/>
    <w:rsid w:val="00DA4A92"/>
    <w:rsid w:val="00DA4CCA"/>
    <w:rsid w:val="00DA53A9"/>
    <w:rsid w:val="00DA55D6"/>
    <w:rsid w:val="00DA5A46"/>
    <w:rsid w:val="00DA6086"/>
    <w:rsid w:val="00DA71CF"/>
    <w:rsid w:val="00DA7201"/>
    <w:rsid w:val="00DA74CD"/>
    <w:rsid w:val="00DA7924"/>
    <w:rsid w:val="00DB0CC3"/>
    <w:rsid w:val="00DB132C"/>
    <w:rsid w:val="00DB13D7"/>
    <w:rsid w:val="00DB13E3"/>
    <w:rsid w:val="00DB1ADA"/>
    <w:rsid w:val="00DB1B12"/>
    <w:rsid w:val="00DB1E23"/>
    <w:rsid w:val="00DB2026"/>
    <w:rsid w:val="00DB2510"/>
    <w:rsid w:val="00DB2561"/>
    <w:rsid w:val="00DB2D76"/>
    <w:rsid w:val="00DB2F3F"/>
    <w:rsid w:val="00DB2FFE"/>
    <w:rsid w:val="00DB372E"/>
    <w:rsid w:val="00DB379F"/>
    <w:rsid w:val="00DB398B"/>
    <w:rsid w:val="00DB4F80"/>
    <w:rsid w:val="00DB75F3"/>
    <w:rsid w:val="00DB7CB5"/>
    <w:rsid w:val="00DC0090"/>
    <w:rsid w:val="00DC0204"/>
    <w:rsid w:val="00DC09B0"/>
    <w:rsid w:val="00DC0EE0"/>
    <w:rsid w:val="00DC10DE"/>
    <w:rsid w:val="00DC121C"/>
    <w:rsid w:val="00DC14D5"/>
    <w:rsid w:val="00DC2231"/>
    <w:rsid w:val="00DC2884"/>
    <w:rsid w:val="00DC2B11"/>
    <w:rsid w:val="00DC2C76"/>
    <w:rsid w:val="00DC2E75"/>
    <w:rsid w:val="00DC3012"/>
    <w:rsid w:val="00DC34F5"/>
    <w:rsid w:val="00DC3C7A"/>
    <w:rsid w:val="00DC4261"/>
    <w:rsid w:val="00DC4824"/>
    <w:rsid w:val="00DC4879"/>
    <w:rsid w:val="00DC5427"/>
    <w:rsid w:val="00DC560D"/>
    <w:rsid w:val="00DC5A3D"/>
    <w:rsid w:val="00DC5AA0"/>
    <w:rsid w:val="00DC6041"/>
    <w:rsid w:val="00DC65E5"/>
    <w:rsid w:val="00DC7155"/>
    <w:rsid w:val="00DC7704"/>
    <w:rsid w:val="00DD096C"/>
    <w:rsid w:val="00DD10B1"/>
    <w:rsid w:val="00DD183E"/>
    <w:rsid w:val="00DD19D0"/>
    <w:rsid w:val="00DD1E6E"/>
    <w:rsid w:val="00DD21FD"/>
    <w:rsid w:val="00DD254D"/>
    <w:rsid w:val="00DD261A"/>
    <w:rsid w:val="00DD2A30"/>
    <w:rsid w:val="00DD3161"/>
    <w:rsid w:val="00DD36F8"/>
    <w:rsid w:val="00DD3DB7"/>
    <w:rsid w:val="00DD3F9F"/>
    <w:rsid w:val="00DD421B"/>
    <w:rsid w:val="00DD4863"/>
    <w:rsid w:val="00DD4C1B"/>
    <w:rsid w:val="00DD4C47"/>
    <w:rsid w:val="00DD516D"/>
    <w:rsid w:val="00DD51AE"/>
    <w:rsid w:val="00DD5573"/>
    <w:rsid w:val="00DD558D"/>
    <w:rsid w:val="00DD569D"/>
    <w:rsid w:val="00DD5D6C"/>
    <w:rsid w:val="00DD5FB1"/>
    <w:rsid w:val="00DD610C"/>
    <w:rsid w:val="00DD72E3"/>
    <w:rsid w:val="00DD7EDD"/>
    <w:rsid w:val="00DD7FA3"/>
    <w:rsid w:val="00DE0682"/>
    <w:rsid w:val="00DE0753"/>
    <w:rsid w:val="00DE08AD"/>
    <w:rsid w:val="00DE112C"/>
    <w:rsid w:val="00DE16CC"/>
    <w:rsid w:val="00DE175D"/>
    <w:rsid w:val="00DE1B7B"/>
    <w:rsid w:val="00DE202F"/>
    <w:rsid w:val="00DE2360"/>
    <w:rsid w:val="00DE25AB"/>
    <w:rsid w:val="00DE28E2"/>
    <w:rsid w:val="00DE36B1"/>
    <w:rsid w:val="00DE3EFE"/>
    <w:rsid w:val="00DE4011"/>
    <w:rsid w:val="00DE45C9"/>
    <w:rsid w:val="00DE5731"/>
    <w:rsid w:val="00DE5756"/>
    <w:rsid w:val="00DE5835"/>
    <w:rsid w:val="00DE5BE7"/>
    <w:rsid w:val="00DE5C1E"/>
    <w:rsid w:val="00DE5CA3"/>
    <w:rsid w:val="00DE5CB4"/>
    <w:rsid w:val="00DE5F7B"/>
    <w:rsid w:val="00DE6172"/>
    <w:rsid w:val="00DE6181"/>
    <w:rsid w:val="00DE6D1C"/>
    <w:rsid w:val="00DE6E1C"/>
    <w:rsid w:val="00DE6F74"/>
    <w:rsid w:val="00DE704E"/>
    <w:rsid w:val="00DE77E4"/>
    <w:rsid w:val="00DE7C26"/>
    <w:rsid w:val="00DF0504"/>
    <w:rsid w:val="00DF06C2"/>
    <w:rsid w:val="00DF0B7B"/>
    <w:rsid w:val="00DF0C42"/>
    <w:rsid w:val="00DF0DB2"/>
    <w:rsid w:val="00DF0DEC"/>
    <w:rsid w:val="00DF0E9E"/>
    <w:rsid w:val="00DF1483"/>
    <w:rsid w:val="00DF157A"/>
    <w:rsid w:val="00DF1AF6"/>
    <w:rsid w:val="00DF1B35"/>
    <w:rsid w:val="00DF1DBA"/>
    <w:rsid w:val="00DF234F"/>
    <w:rsid w:val="00DF23A4"/>
    <w:rsid w:val="00DF24DF"/>
    <w:rsid w:val="00DF31BF"/>
    <w:rsid w:val="00DF3269"/>
    <w:rsid w:val="00DF35B0"/>
    <w:rsid w:val="00DF3A80"/>
    <w:rsid w:val="00DF3C0E"/>
    <w:rsid w:val="00DF40AE"/>
    <w:rsid w:val="00DF43B9"/>
    <w:rsid w:val="00DF4CA7"/>
    <w:rsid w:val="00DF5076"/>
    <w:rsid w:val="00DF7845"/>
    <w:rsid w:val="00DF795C"/>
    <w:rsid w:val="00DF7F06"/>
    <w:rsid w:val="00E00382"/>
    <w:rsid w:val="00E005CB"/>
    <w:rsid w:val="00E007B6"/>
    <w:rsid w:val="00E00991"/>
    <w:rsid w:val="00E00C73"/>
    <w:rsid w:val="00E00CC8"/>
    <w:rsid w:val="00E013E0"/>
    <w:rsid w:val="00E01F98"/>
    <w:rsid w:val="00E020BF"/>
    <w:rsid w:val="00E025B2"/>
    <w:rsid w:val="00E0362D"/>
    <w:rsid w:val="00E039FD"/>
    <w:rsid w:val="00E03C26"/>
    <w:rsid w:val="00E03D34"/>
    <w:rsid w:val="00E03E0B"/>
    <w:rsid w:val="00E04A92"/>
    <w:rsid w:val="00E056EF"/>
    <w:rsid w:val="00E05B53"/>
    <w:rsid w:val="00E05BDB"/>
    <w:rsid w:val="00E06595"/>
    <w:rsid w:val="00E065A5"/>
    <w:rsid w:val="00E06698"/>
    <w:rsid w:val="00E066ED"/>
    <w:rsid w:val="00E06906"/>
    <w:rsid w:val="00E06A7C"/>
    <w:rsid w:val="00E06B56"/>
    <w:rsid w:val="00E06DA8"/>
    <w:rsid w:val="00E0726C"/>
    <w:rsid w:val="00E0787B"/>
    <w:rsid w:val="00E07BDF"/>
    <w:rsid w:val="00E07F52"/>
    <w:rsid w:val="00E1027B"/>
    <w:rsid w:val="00E10465"/>
    <w:rsid w:val="00E10ACF"/>
    <w:rsid w:val="00E1150A"/>
    <w:rsid w:val="00E1156A"/>
    <w:rsid w:val="00E1177A"/>
    <w:rsid w:val="00E119CF"/>
    <w:rsid w:val="00E11B65"/>
    <w:rsid w:val="00E11FCD"/>
    <w:rsid w:val="00E124C9"/>
    <w:rsid w:val="00E12EB3"/>
    <w:rsid w:val="00E13539"/>
    <w:rsid w:val="00E13D43"/>
    <w:rsid w:val="00E13E00"/>
    <w:rsid w:val="00E13E9C"/>
    <w:rsid w:val="00E14320"/>
    <w:rsid w:val="00E149B7"/>
    <w:rsid w:val="00E14C9C"/>
    <w:rsid w:val="00E15576"/>
    <w:rsid w:val="00E1561F"/>
    <w:rsid w:val="00E1589D"/>
    <w:rsid w:val="00E15922"/>
    <w:rsid w:val="00E15D65"/>
    <w:rsid w:val="00E15E04"/>
    <w:rsid w:val="00E1648C"/>
    <w:rsid w:val="00E168CF"/>
    <w:rsid w:val="00E179A4"/>
    <w:rsid w:val="00E20E08"/>
    <w:rsid w:val="00E20FF4"/>
    <w:rsid w:val="00E21263"/>
    <w:rsid w:val="00E21521"/>
    <w:rsid w:val="00E219DA"/>
    <w:rsid w:val="00E22D52"/>
    <w:rsid w:val="00E234D9"/>
    <w:rsid w:val="00E2372F"/>
    <w:rsid w:val="00E23831"/>
    <w:rsid w:val="00E244CD"/>
    <w:rsid w:val="00E24A76"/>
    <w:rsid w:val="00E24BC9"/>
    <w:rsid w:val="00E24E2F"/>
    <w:rsid w:val="00E2599F"/>
    <w:rsid w:val="00E259A5"/>
    <w:rsid w:val="00E260E8"/>
    <w:rsid w:val="00E2659C"/>
    <w:rsid w:val="00E265A6"/>
    <w:rsid w:val="00E26874"/>
    <w:rsid w:val="00E26BDD"/>
    <w:rsid w:val="00E26DED"/>
    <w:rsid w:val="00E270EC"/>
    <w:rsid w:val="00E27651"/>
    <w:rsid w:val="00E27BB8"/>
    <w:rsid w:val="00E27DDB"/>
    <w:rsid w:val="00E27F0B"/>
    <w:rsid w:val="00E30BEC"/>
    <w:rsid w:val="00E320BC"/>
    <w:rsid w:val="00E32172"/>
    <w:rsid w:val="00E3222F"/>
    <w:rsid w:val="00E332F0"/>
    <w:rsid w:val="00E33674"/>
    <w:rsid w:val="00E33A82"/>
    <w:rsid w:val="00E33C5B"/>
    <w:rsid w:val="00E33E50"/>
    <w:rsid w:val="00E34221"/>
    <w:rsid w:val="00E34253"/>
    <w:rsid w:val="00E345C3"/>
    <w:rsid w:val="00E346E7"/>
    <w:rsid w:val="00E350BB"/>
    <w:rsid w:val="00E35A5F"/>
    <w:rsid w:val="00E35E6C"/>
    <w:rsid w:val="00E35F7D"/>
    <w:rsid w:val="00E36023"/>
    <w:rsid w:val="00E36178"/>
    <w:rsid w:val="00E36417"/>
    <w:rsid w:val="00E36893"/>
    <w:rsid w:val="00E36ACF"/>
    <w:rsid w:val="00E370FF"/>
    <w:rsid w:val="00E37452"/>
    <w:rsid w:val="00E3764E"/>
    <w:rsid w:val="00E37B34"/>
    <w:rsid w:val="00E40340"/>
    <w:rsid w:val="00E40404"/>
    <w:rsid w:val="00E4161D"/>
    <w:rsid w:val="00E417D9"/>
    <w:rsid w:val="00E41C73"/>
    <w:rsid w:val="00E41C7D"/>
    <w:rsid w:val="00E41FE6"/>
    <w:rsid w:val="00E42628"/>
    <w:rsid w:val="00E42634"/>
    <w:rsid w:val="00E4284F"/>
    <w:rsid w:val="00E42C35"/>
    <w:rsid w:val="00E42DB5"/>
    <w:rsid w:val="00E435FA"/>
    <w:rsid w:val="00E44214"/>
    <w:rsid w:val="00E44292"/>
    <w:rsid w:val="00E44425"/>
    <w:rsid w:val="00E44674"/>
    <w:rsid w:val="00E447D8"/>
    <w:rsid w:val="00E44876"/>
    <w:rsid w:val="00E449A1"/>
    <w:rsid w:val="00E44B3E"/>
    <w:rsid w:val="00E457CC"/>
    <w:rsid w:val="00E45D63"/>
    <w:rsid w:val="00E462BF"/>
    <w:rsid w:val="00E466DB"/>
    <w:rsid w:val="00E4687E"/>
    <w:rsid w:val="00E4692A"/>
    <w:rsid w:val="00E46DFC"/>
    <w:rsid w:val="00E47E09"/>
    <w:rsid w:val="00E505F0"/>
    <w:rsid w:val="00E50718"/>
    <w:rsid w:val="00E50733"/>
    <w:rsid w:val="00E50E44"/>
    <w:rsid w:val="00E50FCF"/>
    <w:rsid w:val="00E51163"/>
    <w:rsid w:val="00E5155A"/>
    <w:rsid w:val="00E51D69"/>
    <w:rsid w:val="00E52973"/>
    <w:rsid w:val="00E52AC7"/>
    <w:rsid w:val="00E52F60"/>
    <w:rsid w:val="00E52FED"/>
    <w:rsid w:val="00E533EF"/>
    <w:rsid w:val="00E5490D"/>
    <w:rsid w:val="00E54EE8"/>
    <w:rsid w:val="00E54FAA"/>
    <w:rsid w:val="00E55029"/>
    <w:rsid w:val="00E55190"/>
    <w:rsid w:val="00E55457"/>
    <w:rsid w:val="00E55664"/>
    <w:rsid w:val="00E55710"/>
    <w:rsid w:val="00E558A2"/>
    <w:rsid w:val="00E55F75"/>
    <w:rsid w:val="00E56628"/>
    <w:rsid w:val="00E56938"/>
    <w:rsid w:val="00E56B85"/>
    <w:rsid w:val="00E56F4E"/>
    <w:rsid w:val="00E5715F"/>
    <w:rsid w:val="00E57220"/>
    <w:rsid w:val="00E5737F"/>
    <w:rsid w:val="00E57CEB"/>
    <w:rsid w:val="00E57DF2"/>
    <w:rsid w:val="00E57F09"/>
    <w:rsid w:val="00E601E4"/>
    <w:rsid w:val="00E60382"/>
    <w:rsid w:val="00E607B4"/>
    <w:rsid w:val="00E6089A"/>
    <w:rsid w:val="00E60BF7"/>
    <w:rsid w:val="00E60CCE"/>
    <w:rsid w:val="00E61302"/>
    <w:rsid w:val="00E61712"/>
    <w:rsid w:val="00E61F58"/>
    <w:rsid w:val="00E62A2A"/>
    <w:rsid w:val="00E62C94"/>
    <w:rsid w:val="00E62EFA"/>
    <w:rsid w:val="00E63483"/>
    <w:rsid w:val="00E63850"/>
    <w:rsid w:val="00E63C7B"/>
    <w:rsid w:val="00E63CD8"/>
    <w:rsid w:val="00E640A7"/>
    <w:rsid w:val="00E642C5"/>
    <w:rsid w:val="00E64317"/>
    <w:rsid w:val="00E64FAA"/>
    <w:rsid w:val="00E6529F"/>
    <w:rsid w:val="00E65411"/>
    <w:rsid w:val="00E65B7D"/>
    <w:rsid w:val="00E65B9E"/>
    <w:rsid w:val="00E65C11"/>
    <w:rsid w:val="00E65FA0"/>
    <w:rsid w:val="00E660B2"/>
    <w:rsid w:val="00E66819"/>
    <w:rsid w:val="00E66974"/>
    <w:rsid w:val="00E67CAC"/>
    <w:rsid w:val="00E67D49"/>
    <w:rsid w:val="00E67E54"/>
    <w:rsid w:val="00E67EB5"/>
    <w:rsid w:val="00E7014F"/>
    <w:rsid w:val="00E70CF5"/>
    <w:rsid w:val="00E70D8C"/>
    <w:rsid w:val="00E71E1B"/>
    <w:rsid w:val="00E7257A"/>
    <w:rsid w:val="00E727CA"/>
    <w:rsid w:val="00E727F9"/>
    <w:rsid w:val="00E7324F"/>
    <w:rsid w:val="00E733E0"/>
    <w:rsid w:val="00E73514"/>
    <w:rsid w:val="00E73BA0"/>
    <w:rsid w:val="00E7431D"/>
    <w:rsid w:val="00E74376"/>
    <w:rsid w:val="00E74541"/>
    <w:rsid w:val="00E74C3F"/>
    <w:rsid w:val="00E750B7"/>
    <w:rsid w:val="00E751AA"/>
    <w:rsid w:val="00E753F1"/>
    <w:rsid w:val="00E75A91"/>
    <w:rsid w:val="00E75E07"/>
    <w:rsid w:val="00E7660F"/>
    <w:rsid w:val="00E76AB6"/>
    <w:rsid w:val="00E76C53"/>
    <w:rsid w:val="00E76F12"/>
    <w:rsid w:val="00E770A5"/>
    <w:rsid w:val="00E773ED"/>
    <w:rsid w:val="00E77828"/>
    <w:rsid w:val="00E77BC8"/>
    <w:rsid w:val="00E77F24"/>
    <w:rsid w:val="00E77FD4"/>
    <w:rsid w:val="00E80281"/>
    <w:rsid w:val="00E805B9"/>
    <w:rsid w:val="00E808E1"/>
    <w:rsid w:val="00E80CBD"/>
    <w:rsid w:val="00E80F01"/>
    <w:rsid w:val="00E80F05"/>
    <w:rsid w:val="00E82606"/>
    <w:rsid w:val="00E827F1"/>
    <w:rsid w:val="00E82D71"/>
    <w:rsid w:val="00E82DE8"/>
    <w:rsid w:val="00E833C7"/>
    <w:rsid w:val="00E83D8E"/>
    <w:rsid w:val="00E84350"/>
    <w:rsid w:val="00E846BA"/>
    <w:rsid w:val="00E848EB"/>
    <w:rsid w:val="00E84D21"/>
    <w:rsid w:val="00E8525B"/>
    <w:rsid w:val="00E85607"/>
    <w:rsid w:val="00E85FAD"/>
    <w:rsid w:val="00E86015"/>
    <w:rsid w:val="00E874A7"/>
    <w:rsid w:val="00E8761E"/>
    <w:rsid w:val="00E87AE5"/>
    <w:rsid w:val="00E87F16"/>
    <w:rsid w:val="00E90223"/>
    <w:rsid w:val="00E90834"/>
    <w:rsid w:val="00E90C77"/>
    <w:rsid w:val="00E90EA5"/>
    <w:rsid w:val="00E914E5"/>
    <w:rsid w:val="00E91B99"/>
    <w:rsid w:val="00E91F59"/>
    <w:rsid w:val="00E9242D"/>
    <w:rsid w:val="00E924DC"/>
    <w:rsid w:val="00E92834"/>
    <w:rsid w:val="00E92EEA"/>
    <w:rsid w:val="00E9322D"/>
    <w:rsid w:val="00E9354D"/>
    <w:rsid w:val="00E938D9"/>
    <w:rsid w:val="00E938F1"/>
    <w:rsid w:val="00E939E1"/>
    <w:rsid w:val="00E93FA1"/>
    <w:rsid w:val="00E943AE"/>
    <w:rsid w:val="00E9463B"/>
    <w:rsid w:val="00E949ED"/>
    <w:rsid w:val="00E94B22"/>
    <w:rsid w:val="00E94B90"/>
    <w:rsid w:val="00E94C34"/>
    <w:rsid w:val="00E94CFA"/>
    <w:rsid w:val="00E9514C"/>
    <w:rsid w:val="00E95276"/>
    <w:rsid w:val="00E95751"/>
    <w:rsid w:val="00E95883"/>
    <w:rsid w:val="00E95FB5"/>
    <w:rsid w:val="00E9684C"/>
    <w:rsid w:val="00E96884"/>
    <w:rsid w:val="00E96DFE"/>
    <w:rsid w:val="00EA0C2A"/>
    <w:rsid w:val="00EA139F"/>
    <w:rsid w:val="00EA17AE"/>
    <w:rsid w:val="00EA1959"/>
    <w:rsid w:val="00EA1FD0"/>
    <w:rsid w:val="00EA2429"/>
    <w:rsid w:val="00EA2B3F"/>
    <w:rsid w:val="00EA2BCF"/>
    <w:rsid w:val="00EA2D3E"/>
    <w:rsid w:val="00EA323B"/>
    <w:rsid w:val="00EA353D"/>
    <w:rsid w:val="00EA46D7"/>
    <w:rsid w:val="00EA4C15"/>
    <w:rsid w:val="00EA4C4B"/>
    <w:rsid w:val="00EA58E3"/>
    <w:rsid w:val="00EA59FA"/>
    <w:rsid w:val="00EA5A89"/>
    <w:rsid w:val="00EA6548"/>
    <w:rsid w:val="00EA6C45"/>
    <w:rsid w:val="00EA6E20"/>
    <w:rsid w:val="00EA6F9B"/>
    <w:rsid w:val="00EA775B"/>
    <w:rsid w:val="00EA78BC"/>
    <w:rsid w:val="00EA7C23"/>
    <w:rsid w:val="00EA7DEF"/>
    <w:rsid w:val="00EA7EB1"/>
    <w:rsid w:val="00EB09DF"/>
    <w:rsid w:val="00EB1392"/>
    <w:rsid w:val="00EB1EC3"/>
    <w:rsid w:val="00EB20B6"/>
    <w:rsid w:val="00EB2227"/>
    <w:rsid w:val="00EB2530"/>
    <w:rsid w:val="00EB27AF"/>
    <w:rsid w:val="00EB291C"/>
    <w:rsid w:val="00EB2BA1"/>
    <w:rsid w:val="00EB2C02"/>
    <w:rsid w:val="00EB3458"/>
    <w:rsid w:val="00EB3686"/>
    <w:rsid w:val="00EB368D"/>
    <w:rsid w:val="00EB3995"/>
    <w:rsid w:val="00EB3C9B"/>
    <w:rsid w:val="00EB447D"/>
    <w:rsid w:val="00EB4BE6"/>
    <w:rsid w:val="00EB4DE4"/>
    <w:rsid w:val="00EB5237"/>
    <w:rsid w:val="00EB638E"/>
    <w:rsid w:val="00EB6C10"/>
    <w:rsid w:val="00EB6DFD"/>
    <w:rsid w:val="00EB75AD"/>
    <w:rsid w:val="00EB7621"/>
    <w:rsid w:val="00EB7AA5"/>
    <w:rsid w:val="00EC028B"/>
    <w:rsid w:val="00EC042D"/>
    <w:rsid w:val="00EC05D6"/>
    <w:rsid w:val="00EC0D5F"/>
    <w:rsid w:val="00EC0DFD"/>
    <w:rsid w:val="00EC11F3"/>
    <w:rsid w:val="00EC1DFE"/>
    <w:rsid w:val="00EC2303"/>
    <w:rsid w:val="00EC231C"/>
    <w:rsid w:val="00EC24BF"/>
    <w:rsid w:val="00EC2E67"/>
    <w:rsid w:val="00EC2ED9"/>
    <w:rsid w:val="00EC2F63"/>
    <w:rsid w:val="00EC3393"/>
    <w:rsid w:val="00EC3805"/>
    <w:rsid w:val="00EC3B27"/>
    <w:rsid w:val="00EC3D16"/>
    <w:rsid w:val="00EC41E0"/>
    <w:rsid w:val="00EC423F"/>
    <w:rsid w:val="00EC46BE"/>
    <w:rsid w:val="00EC4A6D"/>
    <w:rsid w:val="00EC507D"/>
    <w:rsid w:val="00EC511B"/>
    <w:rsid w:val="00EC5773"/>
    <w:rsid w:val="00EC5B88"/>
    <w:rsid w:val="00EC5CB5"/>
    <w:rsid w:val="00EC6056"/>
    <w:rsid w:val="00EC67E8"/>
    <w:rsid w:val="00EC7551"/>
    <w:rsid w:val="00EC79A8"/>
    <w:rsid w:val="00EC7AE6"/>
    <w:rsid w:val="00EC7C33"/>
    <w:rsid w:val="00EC7DF2"/>
    <w:rsid w:val="00EC7E10"/>
    <w:rsid w:val="00ED141A"/>
    <w:rsid w:val="00ED2332"/>
    <w:rsid w:val="00ED3F82"/>
    <w:rsid w:val="00ED3FDC"/>
    <w:rsid w:val="00ED44AC"/>
    <w:rsid w:val="00ED45A6"/>
    <w:rsid w:val="00ED4FFB"/>
    <w:rsid w:val="00ED52C0"/>
    <w:rsid w:val="00ED6132"/>
    <w:rsid w:val="00ED6CA1"/>
    <w:rsid w:val="00ED6D08"/>
    <w:rsid w:val="00ED7675"/>
    <w:rsid w:val="00ED78A7"/>
    <w:rsid w:val="00ED7F7F"/>
    <w:rsid w:val="00EE03B6"/>
    <w:rsid w:val="00EE049D"/>
    <w:rsid w:val="00EE06DF"/>
    <w:rsid w:val="00EE0EFE"/>
    <w:rsid w:val="00EE1976"/>
    <w:rsid w:val="00EE19CD"/>
    <w:rsid w:val="00EE1AE6"/>
    <w:rsid w:val="00EE1DA8"/>
    <w:rsid w:val="00EE1FCE"/>
    <w:rsid w:val="00EE26ED"/>
    <w:rsid w:val="00EE3B21"/>
    <w:rsid w:val="00EE3CB5"/>
    <w:rsid w:val="00EE4772"/>
    <w:rsid w:val="00EE483F"/>
    <w:rsid w:val="00EE49F4"/>
    <w:rsid w:val="00EE55F2"/>
    <w:rsid w:val="00EE57FD"/>
    <w:rsid w:val="00EE5930"/>
    <w:rsid w:val="00EE5A5E"/>
    <w:rsid w:val="00EE5DDC"/>
    <w:rsid w:val="00EE60D6"/>
    <w:rsid w:val="00EE653C"/>
    <w:rsid w:val="00EE77A3"/>
    <w:rsid w:val="00EE7A64"/>
    <w:rsid w:val="00EE7B49"/>
    <w:rsid w:val="00EF05CD"/>
    <w:rsid w:val="00EF0A46"/>
    <w:rsid w:val="00EF0B99"/>
    <w:rsid w:val="00EF10BD"/>
    <w:rsid w:val="00EF15CF"/>
    <w:rsid w:val="00EF1DD6"/>
    <w:rsid w:val="00EF1FA2"/>
    <w:rsid w:val="00EF2340"/>
    <w:rsid w:val="00EF277A"/>
    <w:rsid w:val="00EF3482"/>
    <w:rsid w:val="00EF39F4"/>
    <w:rsid w:val="00EF3E72"/>
    <w:rsid w:val="00EF41DF"/>
    <w:rsid w:val="00EF42A8"/>
    <w:rsid w:val="00EF48FC"/>
    <w:rsid w:val="00EF4A18"/>
    <w:rsid w:val="00EF4C1C"/>
    <w:rsid w:val="00EF4C27"/>
    <w:rsid w:val="00EF4D66"/>
    <w:rsid w:val="00EF4DC5"/>
    <w:rsid w:val="00EF4FE8"/>
    <w:rsid w:val="00EF5299"/>
    <w:rsid w:val="00EF57B6"/>
    <w:rsid w:val="00EF57C4"/>
    <w:rsid w:val="00EF5B1F"/>
    <w:rsid w:val="00EF6937"/>
    <w:rsid w:val="00EF6A30"/>
    <w:rsid w:val="00EF6A98"/>
    <w:rsid w:val="00EF706A"/>
    <w:rsid w:val="00EF71D0"/>
    <w:rsid w:val="00EF7201"/>
    <w:rsid w:val="00EF7225"/>
    <w:rsid w:val="00EF73A3"/>
    <w:rsid w:val="00EF754F"/>
    <w:rsid w:val="00EF77D0"/>
    <w:rsid w:val="00EF784E"/>
    <w:rsid w:val="00EF79F0"/>
    <w:rsid w:val="00EF7B5E"/>
    <w:rsid w:val="00EF7B61"/>
    <w:rsid w:val="00EF7BE6"/>
    <w:rsid w:val="00EF7CF1"/>
    <w:rsid w:val="00F001AA"/>
    <w:rsid w:val="00F003F8"/>
    <w:rsid w:val="00F00434"/>
    <w:rsid w:val="00F00521"/>
    <w:rsid w:val="00F00656"/>
    <w:rsid w:val="00F007E0"/>
    <w:rsid w:val="00F009CB"/>
    <w:rsid w:val="00F00A85"/>
    <w:rsid w:val="00F00AFB"/>
    <w:rsid w:val="00F00C82"/>
    <w:rsid w:val="00F00E96"/>
    <w:rsid w:val="00F010BB"/>
    <w:rsid w:val="00F029F4"/>
    <w:rsid w:val="00F02BA6"/>
    <w:rsid w:val="00F02D7F"/>
    <w:rsid w:val="00F03273"/>
    <w:rsid w:val="00F03EC6"/>
    <w:rsid w:val="00F03F3C"/>
    <w:rsid w:val="00F0413A"/>
    <w:rsid w:val="00F045BE"/>
    <w:rsid w:val="00F04B56"/>
    <w:rsid w:val="00F054C4"/>
    <w:rsid w:val="00F05725"/>
    <w:rsid w:val="00F061E4"/>
    <w:rsid w:val="00F06367"/>
    <w:rsid w:val="00F06573"/>
    <w:rsid w:val="00F068FC"/>
    <w:rsid w:val="00F0701A"/>
    <w:rsid w:val="00F07444"/>
    <w:rsid w:val="00F07486"/>
    <w:rsid w:val="00F07DAA"/>
    <w:rsid w:val="00F07E76"/>
    <w:rsid w:val="00F07F83"/>
    <w:rsid w:val="00F102E0"/>
    <w:rsid w:val="00F102E2"/>
    <w:rsid w:val="00F106B1"/>
    <w:rsid w:val="00F10A74"/>
    <w:rsid w:val="00F10B2D"/>
    <w:rsid w:val="00F10DD6"/>
    <w:rsid w:val="00F110C2"/>
    <w:rsid w:val="00F11373"/>
    <w:rsid w:val="00F113F8"/>
    <w:rsid w:val="00F1159D"/>
    <w:rsid w:val="00F11694"/>
    <w:rsid w:val="00F11CE5"/>
    <w:rsid w:val="00F11FDD"/>
    <w:rsid w:val="00F127A6"/>
    <w:rsid w:val="00F12A42"/>
    <w:rsid w:val="00F12B46"/>
    <w:rsid w:val="00F12BCC"/>
    <w:rsid w:val="00F12D0C"/>
    <w:rsid w:val="00F12E20"/>
    <w:rsid w:val="00F12FA1"/>
    <w:rsid w:val="00F12FCE"/>
    <w:rsid w:val="00F13006"/>
    <w:rsid w:val="00F130EA"/>
    <w:rsid w:val="00F136BF"/>
    <w:rsid w:val="00F13A64"/>
    <w:rsid w:val="00F13D67"/>
    <w:rsid w:val="00F14300"/>
    <w:rsid w:val="00F14363"/>
    <w:rsid w:val="00F14688"/>
    <w:rsid w:val="00F14839"/>
    <w:rsid w:val="00F149C6"/>
    <w:rsid w:val="00F14C75"/>
    <w:rsid w:val="00F14D4A"/>
    <w:rsid w:val="00F15125"/>
    <w:rsid w:val="00F15778"/>
    <w:rsid w:val="00F1620B"/>
    <w:rsid w:val="00F17105"/>
    <w:rsid w:val="00F1711D"/>
    <w:rsid w:val="00F17600"/>
    <w:rsid w:val="00F17BF1"/>
    <w:rsid w:val="00F17D7C"/>
    <w:rsid w:val="00F20309"/>
    <w:rsid w:val="00F20506"/>
    <w:rsid w:val="00F20D12"/>
    <w:rsid w:val="00F20D98"/>
    <w:rsid w:val="00F210DA"/>
    <w:rsid w:val="00F215D1"/>
    <w:rsid w:val="00F21D6A"/>
    <w:rsid w:val="00F21FA6"/>
    <w:rsid w:val="00F220D4"/>
    <w:rsid w:val="00F224F0"/>
    <w:rsid w:val="00F22AC7"/>
    <w:rsid w:val="00F22FC0"/>
    <w:rsid w:val="00F237F2"/>
    <w:rsid w:val="00F23D15"/>
    <w:rsid w:val="00F24030"/>
    <w:rsid w:val="00F242BC"/>
    <w:rsid w:val="00F244E5"/>
    <w:rsid w:val="00F2474F"/>
    <w:rsid w:val="00F24860"/>
    <w:rsid w:val="00F2500A"/>
    <w:rsid w:val="00F2528C"/>
    <w:rsid w:val="00F261E9"/>
    <w:rsid w:val="00F26610"/>
    <w:rsid w:val="00F2674A"/>
    <w:rsid w:val="00F26B83"/>
    <w:rsid w:val="00F279D8"/>
    <w:rsid w:val="00F27A33"/>
    <w:rsid w:val="00F27BF2"/>
    <w:rsid w:val="00F30B45"/>
    <w:rsid w:val="00F30C3F"/>
    <w:rsid w:val="00F32253"/>
    <w:rsid w:val="00F32753"/>
    <w:rsid w:val="00F32A87"/>
    <w:rsid w:val="00F32D90"/>
    <w:rsid w:val="00F32D94"/>
    <w:rsid w:val="00F33AE3"/>
    <w:rsid w:val="00F34A3F"/>
    <w:rsid w:val="00F34CDC"/>
    <w:rsid w:val="00F34E13"/>
    <w:rsid w:val="00F35C20"/>
    <w:rsid w:val="00F36053"/>
    <w:rsid w:val="00F36273"/>
    <w:rsid w:val="00F36B14"/>
    <w:rsid w:val="00F37095"/>
    <w:rsid w:val="00F372A5"/>
    <w:rsid w:val="00F37432"/>
    <w:rsid w:val="00F377EF"/>
    <w:rsid w:val="00F37FC1"/>
    <w:rsid w:val="00F406DD"/>
    <w:rsid w:val="00F40B05"/>
    <w:rsid w:val="00F40FC5"/>
    <w:rsid w:val="00F41546"/>
    <w:rsid w:val="00F416CD"/>
    <w:rsid w:val="00F41DAD"/>
    <w:rsid w:val="00F41E59"/>
    <w:rsid w:val="00F42024"/>
    <w:rsid w:val="00F428B3"/>
    <w:rsid w:val="00F42C6A"/>
    <w:rsid w:val="00F43501"/>
    <w:rsid w:val="00F43978"/>
    <w:rsid w:val="00F43A97"/>
    <w:rsid w:val="00F43D35"/>
    <w:rsid w:val="00F44219"/>
    <w:rsid w:val="00F44305"/>
    <w:rsid w:val="00F446F4"/>
    <w:rsid w:val="00F44A69"/>
    <w:rsid w:val="00F44D26"/>
    <w:rsid w:val="00F4553A"/>
    <w:rsid w:val="00F4596A"/>
    <w:rsid w:val="00F45988"/>
    <w:rsid w:val="00F45F49"/>
    <w:rsid w:val="00F4646F"/>
    <w:rsid w:val="00F46B6F"/>
    <w:rsid w:val="00F4769F"/>
    <w:rsid w:val="00F47FE5"/>
    <w:rsid w:val="00F50B0D"/>
    <w:rsid w:val="00F50E46"/>
    <w:rsid w:val="00F50FD6"/>
    <w:rsid w:val="00F5172E"/>
    <w:rsid w:val="00F51BED"/>
    <w:rsid w:val="00F51C6B"/>
    <w:rsid w:val="00F51DF7"/>
    <w:rsid w:val="00F51FCA"/>
    <w:rsid w:val="00F533C0"/>
    <w:rsid w:val="00F53544"/>
    <w:rsid w:val="00F53697"/>
    <w:rsid w:val="00F54078"/>
    <w:rsid w:val="00F54D73"/>
    <w:rsid w:val="00F55421"/>
    <w:rsid w:val="00F554EC"/>
    <w:rsid w:val="00F55627"/>
    <w:rsid w:val="00F5656E"/>
    <w:rsid w:val="00F56574"/>
    <w:rsid w:val="00F56D46"/>
    <w:rsid w:val="00F56F1F"/>
    <w:rsid w:val="00F571E3"/>
    <w:rsid w:val="00F5788F"/>
    <w:rsid w:val="00F57977"/>
    <w:rsid w:val="00F57DA0"/>
    <w:rsid w:val="00F602B3"/>
    <w:rsid w:val="00F60687"/>
    <w:rsid w:val="00F60B18"/>
    <w:rsid w:val="00F6172D"/>
    <w:rsid w:val="00F61828"/>
    <w:rsid w:val="00F61DEF"/>
    <w:rsid w:val="00F6268F"/>
    <w:rsid w:val="00F62766"/>
    <w:rsid w:val="00F62A76"/>
    <w:rsid w:val="00F62E35"/>
    <w:rsid w:val="00F630BF"/>
    <w:rsid w:val="00F632F3"/>
    <w:rsid w:val="00F63329"/>
    <w:rsid w:val="00F63E1E"/>
    <w:rsid w:val="00F63E32"/>
    <w:rsid w:val="00F6407B"/>
    <w:rsid w:val="00F664DF"/>
    <w:rsid w:val="00F664E3"/>
    <w:rsid w:val="00F67166"/>
    <w:rsid w:val="00F676AB"/>
    <w:rsid w:val="00F67909"/>
    <w:rsid w:val="00F67F32"/>
    <w:rsid w:val="00F702F1"/>
    <w:rsid w:val="00F706C2"/>
    <w:rsid w:val="00F70798"/>
    <w:rsid w:val="00F70A6D"/>
    <w:rsid w:val="00F7116F"/>
    <w:rsid w:val="00F725C4"/>
    <w:rsid w:val="00F72877"/>
    <w:rsid w:val="00F729B4"/>
    <w:rsid w:val="00F73B21"/>
    <w:rsid w:val="00F7479D"/>
    <w:rsid w:val="00F7495A"/>
    <w:rsid w:val="00F74B8E"/>
    <w:rsid w:val="00F74F0F"/>
    <w:rsid w:val="00F75195"/>
    <w:rsid w:val="00F75491"/>
    <w:rsid w:val="00F759A3"/>
    <w:rsid w:val="00F75C71"/>
    <w:rsid w:val="00F76170"/>
    <w:rsid w:val="00F773F7"/>
    <w:rsid w:val="00F77469"/>
    <w:rsid w:val="00F77499"/>
    <w:rsid w:val="00F77CF1"/>
    <w:rsid w:val="00F77F0E"/>
    <w:rsid w:val="00F8059B"/>
    <w:rsid w:val="00F80723"/>
    <w:rsid w:val="00F8087E"/>
    <w:rsid w:val="00F81197"/>
    <w:rsid w:val="00F81388"/>
    <w:rsid w:val="00F819E4"/>
    <w:rsid w:val="00F81F9D"/>
    <w:rsid w:val="00F83429"/>
    <w:rsid w:val="00F83829"/>
    <w:rsid w:val="00F83842"/>
    <w:rsid w:val="00F839C3"/>
    <w:rsid w:val="00F83AA7"/>
    <w:rsid w:val="00F8401D"/>
    <w:rsid w:val="00F840F1"/>
    <w:rsid w:val="00F846C2"/>
    <w:rsid w:val="00F847D5"/>
    <w:rsid w:val="00F849E7"/>
    <w:rsid w:val="00F84C11"/>
    <w:rsid w:val="00F85097"/>
    <w:rsid w:val="00F857CB"/>
    <w:rsid w:val="00F85C78"/>
    <w:rsid w:val="00F85F10"/>
    <w:rsid w:val="00F8698A"/>
    <w:rsid w:val="00F86A50"/>
    <w:rsid w:val="00F86D03"/>
    <w:rsid w:val="00F86E16"/>
    <w:rsid w:val="00F86E6C"/>
    <w:rsid w:val="00F87578"/>
    <w:rsid w:val="00F8758D"/>
    <w:rsid w:val="00F87C9B"/>
    <w:rsid w:val="00F87D31"/>
    <w:rsid w:val="00F90158"/>
    <w:rsid w:val="00F902E9"/>
    <w:rsid w:val="00F903F5"/>
    <w:rsid w:val="00F9054E"/>
    <w:rsid w:val="00F90EA1"/>
    <w:rsid w:val="00F90FCF"/>
    <w:rsid w:val="00F917F9"/>
    <w:rsid w:val="00F91ADE"/>
    <w:rsid w:val="00F92468"/>
    <w:rsid w:val="00F92A33"/>
    <w:rsid w:val="00F92DAB"/>
    <w:rsid w:val="00F9331A"/>
    <w:rsid w:val="00F93332"/>
    <w:rsid w:val="00F933E0"/>
    <w:rsid w:val="00F9352C"/>
    <w:rsid w:val="00F93A6B"/>
    <w:rsid w:val="00F94569"/>
    <w:rsid w:val="00F947A0"/>
    <w:rsid w:val="00F94A88"/>
    <w:rsid w:val="00F94D66"/>
    <w:rsid w:val="00F94E40"/>
    <w:rsid w:val="00F95031"/>
    <w:rsid w:val="00F95560"/>
    <w:rsid w:val="00F95F37"/>
    <w:rsid w:val="00F96044"/>
    <w:rsid w:val="00F961D0"/>
    <w:rsid w:val="00F96235"/>
    <w:rsid w:val="00F96374"/>
    <w:rsid w:val="00F97445"/>
    <w:rsid w:val="00F97495"/>
    <w:rsid w:val="00F9769A"/>
    <w:rsid w:val="00F97855"/>
    <w:rsid w:val="00F97B0D"/>
    <w:rsid w:val="00F97F45"/>
    <w:rsid w:val="00FA040F"/>
    <w:rsid w:val="00FA0455"/>
    <w:rsid w:val="00FA0890"/>
    <w:rsid w:val="00FA0BEB"/>
    <w:rsid w:val="00FA0FB5"/>
    <w:rsid w:val="00FA0FDC"/>
    <w:rsid w:val="00FA1B18"/>
    <w:rsid w:val="00FA1BC9"/>
    <w:rsid w:val="00FA1DA9"/>
    <w:rsid w:val="00FA1ECB"/>
    <w:rsid w:val="00FA1EE1"/>
    <w:rsid w:val="00FA23FA"/>
    <w:rsid w:val="00FA2415"/>
    <w:rsid w:val="00FA2570"/>
    <w:rsid w:val="00FA2E42"/>
    <w:rsid w:val="00FA3459"/>
    <w:rsid w:val="00FA3578"/>
    <w:rsid w:val="00FA3976"/>
    <w:rsid w:val="00FA3DBE"/>
    <w:rsid w:val="00FA3E3C"/>
    <w:rsid w:val="00FA446A"/>
    <w:rsid w:val="00FA44BE"/>
    <w:rsid w:val="00FA4D2C"/>
    <w:rsid w:val="00FA5062"/>
    <w:rsid w:val="00FA53C9"/>
    <w:rsid w:val="00FA5890"/>
    <w:rsid w:val="00FA5A92"/>
    <w:rsid w:val="00FA5C49"/>
    <w:rsid w:val="00FA6EA7"/>
    <w:rsid w:val="00FA7278"/>
    <w:rsid w:val="00FA7663"/>
    <w:rsid w:val="00FA76D9"/>
    <w:rsid w:val="00FA7A26"/>
    <w:rsid w:val="00FA7A3E"/>
    <w:rsid w:val="00FB03D5"/>
    <w:rsid w:val="00FB0EC6"/>
    <w:rsid w:val="00FB12C8"/>
    <w:rsid w:val="00FB1590"/>
    <w:rsid w:val="00FB256F"/>
    <w:rsid w:val="00FB2E25"/>
    <w:rsid w:val="00FB30D8"/>
    <w:rsid w:val="00FB36CB"/>
    <w:rsid w:val="00FB399F"/>
    <w:rsid w:val="00FB3E30"/>
    <w:rsid w:val="00FB5C87"/>
    <w:rsid w:val="00FB5FC1"/>
    <w:rsid w:val="00FB64D8"/>
    <w:rsid w:val="00FB68EE"/>
    <w:rsid w:val="00FB6C1F"/>
    <w:rsid w:val="00FB6D59"/>
    <w:rsid w:val="00FB6EA6"/>
    <w:rsid w:val="00FB6F25"/>
    <w:rsid w:val="00FB6F6D"/>
    <w:rsid w:val="00FB70BB"/>
    <w:rsid w:val="00FB7B68"/>
    <w:rsid w:val="00FC007F"/>
    <w:rsid w:val="00FC045C"/>
    <w:rsid w:val="00FC0AA5"/>
    <w:rsid w:val="00FC0F7A"/>
    <w:rsid w:val="00FC111B"/>
    <w:rsid w:val="00FC1202"/>
    <w:rsid w:val="00FC1336"/>
    <w:rsid w:val="00FC1839"/>
    <w:rsid w:val="00FC1857"/>
    <w:rsid w:val="00FC18B4"/>
    <w:rsid w:val="00FC266D"/>
    <w:rsid w:val="00FC2877"/>
    <w:rsid w:val="00FC3386"/>
    <w:rsid w:val="00FC36FD"/>
    <w:rsid w:val="00FC4505"/>
    <w:rsid w:val="00FC4991"/>
    <w:rsid w:val="00FC4B65"/>
    <w:rsid w:val="00FC4EB8"/>
    <w:rsid w:val="00FC4F98"/>
    <w:rsid w:val="00FC5ABE"/>
    <w:rsid w:val="00FC5C84"/>
    <w:rsid w:val="00FC63A3"/>
    <w:rsid w:val="00FC665B"/>
    <w:rsid w:val="00FC6AC3"/>
    <w:rsid w:val="00FC6C0C"/>
    <w:rsid w:val="00FC748B"/>
    <w:rsid w:val="00FC7BDF"/>
    <w:rsid w:val="00FC7CE4"/>
    <w:rsid w:val="00FD0318"/>
    <w:rsid w:val="00FD0363"/>
    <w:rsid w:val="00FD0865"/>
    <w:rsid w:val="00FD0C08"/>
    <w:rsid w:val="00FD0D9B"/>
    <w:rsid w:val="00FD0FA2"/>
    <w:rsid w:val="00FD16DF"/>
    <w:rsid w:val="00FD18DD"/>
    <w:rsid w:val="00FD1DE3"/>
    <w:rsid w:val="00FD2001"/>
    <w:rsid w:val="00FD2146"/>
    <w:rsid w:val="00FD265C"/>
    <w:rsid w:val="00FD2878"/>
    <w:rsid w:val="00FD2955"/>
    <w:rsid w:val="00FD2F5B"/>
    <w:rsid w:val="00FD3054"/>
    <w:rsid w:val="00FD338B"/>
    <w:rsid w:val="00FD3E00"/>
    <w:rsid w:val="00FD3EA1"/>
    <w:rsid w:val="00FD3F63"/>
    <w:rsid w:val="00FD451D"/>
    <w:rsid w:val="00FD45A9"/>
    <w:rsid w:val="00FD45F9"/>
    <w:rsid w:val="00FD48F3"/>
    <w:rsid w:val="00FD49B6"/>
    <w:rsid w:val="00FD49FC"/>
    <w:rsid w:val="00FD4A52"/>
    <w:rsid w:val="00FD4BD9"/>
    <w:rsid w:val="00FD51C5"/>
    <w:rsid w:val="00FD5567"/>
    <w:rsid w:val="00FD5BD1"/>
    <w:rsid w:val="00FD5ED2"/>
    <w:rsid w:val="00FD68DA"/>
    <w:rsid w:val="00FD6AF3"/>
    <w:rsid w:val="00FD725B"/>
    <w:rsid w:val="00FD73DB"/>
    <w:rsid w:val="00FE0897"/>
    <w:rsid w:val="00FE0C1B"/>
    <w:rsid w:val="00FE11BD"/>
    <w:rsid w:val="00FE12BF"/>
    <w:rsid w:val="00FE2262"/>
    <w:rsid w:val="00FE345C"/>
    <w:rsid w:val="00FE3A54"/>
    <w:rsid w:val="00FE3DB2"/>
    <w:rsid w:val="00FE3EE5"/>
    <w:rsid w:val="00FE4B0C"/>
    <w:rsid w:val="00FE4DA7"/>
    <w:rsid w:val="00FE4F82"/>
    <w:rsid w:val="00FE4FF6"/>
    <w:rsid w:val="00FE516F"/>
    <w:rsid w:val="00FE520D"/>
    <w:rsid w:val="00FE54D4"/>
    <w:rsid w:val="00FE5591"/>
    <w:rsid w:val="00FE55AB"/>
    <w:rsid w:val="00FE5D2B"/>
    <w:rsid w:val="00FE5EBB"/>
    <w:rsid w:val="00FE639E"/>
    <w:rsid w:val="00FE6923"/>
    <w:rsid w:val="00FE75E6"/>
    <w:rsid w:val="00FE7859"/>
    <w:rsid w:val="00FE79FD"/>
    <w:rsid w:val="00FE7CA3"/>
    <w:rsid w:val="00FE7DDB"/>
    <w:rsid w:val="00FE7E57"/>
    <w:rsid w:val="00FF05C8"/>
    <w:rsid w:val="00FF0ADA"/>
    <w:rsid w:val="00FF0AF9"/>
    <w:rsid w:val="00FF10D2"/>
    <w:rsid w:val="00FF13A8"/>
    <w:rsid w:val="00FF153F"/>
    <w:rsid w:val="00FF182E"/>
    <w:rsid w:val="00FF18AF"/>
    <w:rsid w:val="00FF24F0"/>
    <w:rsid w:val="00FF2663"/>
    <w:rsid w:val="00FF2A5D"/>
    <w:rsid w:val="00FF2B65"/>
    <w:rsid w:val="00FF2C4D"/>
    <w:rsid w:val="00FF32D6"/>
    <w:rsid w:val="00FF37D6"/>
    <w:rsid w:val="00FF3A34"/>
    <w:rsid w:val="00FF3C13"/>
    <w:rsid w:val="00FF495A"/>
    <w:rsid w:val="00FF4D8B"/>
    <w:rsid w:val="00FF4FC3"/>
    <w:rsid w:val="00FF5653"/>
    <w:rsid w:val="00FF5979"/>
    <w:rsid w:val="00FF59B6"/>
    <w:rsid w:val="00FF5C32"/>
    <w:rsid w:val="00FF5D80"/>
    <w:rsid w:val="00FF5E10"/>
    <w:rsid w:val="00FF5EDD"/>
    <w:rsid w:val="00FF657E"/>
    <w:rsid w:val="00FF69A0"/>
    <w:rsid w:val="00FF6C9F"/>
    <w:rsid w:val="00FF6EB3"/>
    <w:rsid w:val="00FF76CE"/>
    <w:rsid w:val="00FF7D1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qFormat="1"/>
    <w:lsdException w:name="caption" w:uiPriority="35" w:qFormat="1"/>
    <w:lsdException w:name="footnote reference" w:uiPriority="0"/>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73D3F"/>
    <w:pPr>
      <w:spacing w:before="120"/>
      <w:ind w:firstLine="510"/>
      <w:jc w:val="both"/>
    </w:pPr>
  </w:style>
  <w:style w:type="paragraph" w:styleId="Nagwek1">
    <w:name w:val="heading 1"/>
    <w:basedOn w:val="Normalny"/>
    <w:next w:val="Normalny"/>
    <w:link w:val="Nagwek1Znak"/>
    <w:uiPriority w:val="9"/>
    <w:qFormat/>
    <w:rsid w:val="00E320BC"/>
    <w:pPr>
      <w:keepNext/>
      <w:keepLines/>
      <w:spacing w:before="480" w:after="0"/>
      <w:outlineLvl w:val="0"/>
    </w:pPr>
    <w:rPr>
      <w:rFonts w:ascii="Candara" w:eastAsia="Times New Roman" w:hAnsi="Candara" w:cs="Times New Roman"/>
      <w:b/>
      <w:bCs/>
      <w:color w:val="0292DF"/>
      <w:sz w:val="32"/>
      <w:szCs w:val="28"/>
    </w:rPr>
  </w:style>
  <w:style w:type="paragraph" w:styleId="Nagwek2">
    <w:name w:val="heading 2"/>
    <w:basedOn w:val="Normalny"/>
    <w:next w:val="Normalny"/>
    <w:link w:val="Nagwek2Znak"/>
    <w:uiPriority w:val="9"/>
    <w:unhideWhenUsed/>
    <w:qFormat/>
    <w:rsid w:val="00E320BC"/>
    <w:pPr>
      <w:keepNext/>
      <w:keepLines/>
      <w:spacing w:before="200" w:after="0"/>
      <w:outlineLvl w:val="1"/>
    </w:pPr>
    <w:rPr>
      <w:rFonts w:ascii="Candara" w:eastAsia="Times New Roman" w:hAnsi="Candara" w:cs="Times New Roman"/>
      <w:b/>
      <w:bCs/>
      <w:color w:val="31B6FD"/>
      <w:sz w:val="26"/>
      <w:szCs w:val="26"/>
    </w:rPr>
  </w:style>
  <w:style w:type="paragraph" w:styleId="Nagwek3">
    <w:name w:val="heading 3"/>
    <w:basedOn w:val="Normalny"/>
    <w:next w:val="Normalny"/>
    <w:link w:val="Nagwek3Znak"/>
    <w:uiPriority w:val="9"/>
    <w:semiHidden/>
    <w:unhideWhenUsed/>
    <w:qFormat/>
    <w:rsid w:val="00E320BC"/>
    <w:pPr>
      <w:keepNext/>
      <w:keepLines/>
      <w:spacing w:before="200" w:after="0"/>
      <w:outlineLvl w:val="2"/>
    </w:pPr>
    <w:rPr>
      <w:rFonts w:ascii="Candara" w:eastAsia="Times New Roman" w:hAnsi="Candara" w:cs="Times New Roman"/>
      <w:b/>
      <w:bCs/>
      <w:color w:val="31B6FD"/>
    </w:rPr>
  </w:style>
  <w:style w:type="paragraph" w:styleId="Nagwek4">
    <w:name w:val="heading 4"/>
    <w:basedOn w:val="Normalny"/>
    <w:next w:val="Normalny"/>
    <w:link w:val="Nagwek4Znak"/>
    <w:uiPriority w:val="9"/>
    <w:semiHidden/>
    <w:unhideWhenUsed/>
    <w:qFormat/>
    <w:rsid w:val="00884604"/>
    <w:pPr>
      <w:keepNext/>
      <w:keepLines/>
      <w:spacing w:before="200" w:after="0"/>
      <w:outlineLvl w:val="3"/>
    </w:pPr>
    <w:rPr>
      <w:rFonts w:asciiTheme="majorHAnsi" w:eastAsiaTheme="majorEastAsia" w:hAnsiTheme="majorHAnsi" w:cstheme="majorBidi"/>
      <w:b/>
      <w:bCs/>
      <w:i/>
      <w:iCs/>
      <w:color w:val="31B6F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E320B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320BC"/>
    <w:rPr>
      <w:rFonts w:ascii="Tahoma" w:hAnsi="Tahoma" w:cs="Tahoma"/>
      <w:sz w:val="16"/>
      <w:szCs w:val="16"/>
    </w:rPr>
  </w:style>
  <w:style w:type="paragraph" w:styleId="Tekstprzypisudolnego">
    <w:name w:val="footnote text"/>
    <w:aliases w:val="Tekst przypisu,Podrozdział,Footnote,Podrozdzia3"/>
    <w:basedOn w:val="Normalny"/>
    <w:link w:val="TekstprzypisudolnegoZnak"/>
    <w:unhideWhenUsed/>
    <w:rsid w:val="00E320BC"/>
    <w:pPr>
      <w:spacing w:after="0" w:line="240" w:lineRule="auto"/>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qFormat/>
    <w:rsid w:val="00E320BC"/>
    <w:rPr>
      <w:sz w:val="20"/>
      <w:szCs w:val="20"/>
    </w:rPr>
  </w:style>
  <w:style w:type="paragraph" w:styleId="Legenda">
    <w:name w:val="caption"/>
    <w:basedOn w:val="Normalny"/>
    <w:next w:val="Normalny"/>
    <w:uiPriority w:val="35"/>
    <w:unhideWhenUsed/>
    <w:qFormat/>
    <w:rsid w:val="003E7C8A"/>
    <w:pPr>
      <w:spacing w:line="240" w:lineRule="auto"/>
    </w:pPr>
    <w:rPr>
      <w:b/>
      <w:bCs/>
      <w:color w:val="00B0F0"/>
      <w:sz w:val="18"/>
      <w:szCs w:val="18"/>
    </w:rPr>
  </w:style>
  <w:style w:type="paragraph" w:customStyle="1" w:styleId="Nagwek11">
    <w:name w:val="Nagłówek 11"/>
    <w:basedOn w:val="Normalny"/>
    <w:next w:val="Normalny"/>
    <w:uiPriority w:val="9"/>
    <w:qFormat/>
    <w:rsid w:val="00E320BC"/>
    <w:pPr>
      <w:keepNext/>
      <w:keepLines/>
      <w:numPr>
        <w:numId w:val="55"/>
      </w:numPr>
      <w:spacing w:before="480" w:after="0"/>
      <w:outlineLvl w:val="0"/>
    </w:pPr>
    <w:rPr>
      <w:rFonts w:ascii="Candara" w:eastAsia="Times New Roman" w:hAnsi="Candara" w:cs="Times New Roman"/>
      <w:b/>
      <w:bCs/>
      <w:color w:val="0292DF"/>
      <w:sz w:val="32"/>
      <w:szCs w:val="28"/>
    </w:rPr>
  </w:style>
  <w:style w:type="character" w:styleId="Odwoanieprzypisudolnego">
    <w:name w:val="footnote reference"/>
    <w:aliases w:val="Footnote Reference Number,Znak Znak1, Znak Znak1"/>
    <w:basedOn w:val="Domylnaczcionkaakapitu"/>
    <w:unhideWhenUsed/>
    <w:rsid w:val="00E320BC"/>
    <w:rPr>
      <w:vertAlign w:val="superscript"/>
    </w:rPr>
  </w:style>
  <w:style w:type="paragraph" w:customStyle="1" w:styleId="Nagwek12">
    <w:name w:val="Nagłówek 12"/>
    <w:basedOn w:val="Normalny"/>
    <w:next w:val="Normalny"/>
    <w:uiPriority w:val="9"/>
    <w:qFormat/>
    <w:rsid w:val="00843AE8"/>
    <w:pPr>
      <w:keepNext/>
      <w:keepLines/>
      <w:spacing w:before="480" w:after="0"/>
      <w:ind w:left="720" w:hanging="360"/>
      <w:outlineLvl w:val="0"/>
    </w:pPr>
    <w:rPr>
      <w:rFonts w:ascii="Candara" w:eastAsia="Times New Roman" w:hAnsi="Candara" w:cs="Times New Roman"/>
      <w:b/>
      <w:bCs/>
      <w:color w:val="984806"/>
      <w:sz w:val="28"/>
      <w:szCs w:val="28"/>
    </w:rPr>
  </w:style>
  <w:style w:type="paragraph" w:customStyle="1" w:styleId="Nagwek21">
    <w:name w:val="Nagłówek 21"/>
    <w:basedOn w:val="Normalny"/>
    <w:next w:val="Normalny"/>
    <w:uiPriority w:val="9"/>
    <w:unhideWhenUsed/>
    <w:qFormat/>
    <w:rsid w:val="00E320BC"/>
    <w:pPr>
      <w:keepNext/>
      <w:keepLines/>
      <w:numPr>
        <w:numId w:val="6"/>
      </w:numPr>
      <w:spacing w:before="200" w:after="0"/>
      <w:outlineLvl w:val="1"/>
    </w:pPr>
    <w:rPr>
      <w:rFonts w:ascii="Candara" w:eastAsia="Times New Roman" w:hAnsi="Candara" w:cs="Times New Roman"/>
      <w:b/>
      <w:bCs/>
      <w:color w:val="31B6FD"/>
      <w:sz w:val="26"/>
      <w:szCs w:val="26"/>
    </w:rPr>
  </w:style>
  <w:style w:type="paragraph" w:customStyle="1" w:styleId="Nagwek31">
    <w:name w:val="Nagłówek 31"/>
    <w:basedOn w:val="Normalny"/>
    <w:next w:val="Normalny"/>
    <w:uiPriority w:val="9"/>
    <w:unhideWhenUsed/>
    <w:qFormat/>
    <w:rsid w:val="00E320BC"/>
    <w:pPr>
      <w:keepNext/>
      <w:keepLines/>
      <w:spacing w:before="200" w:after="0"/>
      <w:ind w:firstLine="357"/>
      <w:outlineLvl w:val="2"/>
    </w:pPr>
    <w:rPr>
      <w:rFonts w:ascii="Candara" w:eastAsia="Times New Roman" w:hAnsi="Candara" w:cs="Times New Roman"/>
      <w:b/>
      <w:bCs/>
      <w:color w:val="31B6FD"/>
    </w:rPr>
  </w:style>
  <w:style w:type="numbering" w:customStyle="1" w:styleId="Bezlisty1">
    <w:name w:val="Bez listy1"/>
    <w:next w:val="Bezlisty"/>
    <w:uiPriority w:val="99"/>
    <w:semiHidden/>
    <w:unhideWhenUsed/>
    <w:rsid w:val="00E320BC"/>
  </w:style>
  <w:style w:type="character" w:styleId="Odwoaniedokomentarza">
    <w:name w:val="annotation reference"/>
    <w:basedOn w:val="Domylnaczcionkaakapitu"/>
    <w:uiPriority w:val="99"/>
    <w:semiHidden/>
    <w:unhideWhenUsed/>
    <w:qFormat/>
    <w:rsid w:val="00E320BC"/>
    <w:rPr>
      <w:sz w:val="16"/>
      <w:szCs w:val="16"/>
    </w:rPr>
  </w:style>
  <w:style w:type="paragraph" w:customStyle="1" w:styleId="Tekstkomentarza1">
    <w:name w:val="Tekst komentarza1"/>
    <w:basedOn w:val="Normalny"/>
    <w:next w:val="Tekstkomentarza"/>
    <w:link w:val="TekstkomentarzaZnak"/>
    <w:uiPriority w:val="99"/>
    <w:unhideWhenUsed/>
    <w:rsid w:val="00E320BC"/>
    <w:pPr>
      <w:spacing w:after="0" w:line="240" w:lineRule="auto"/>
      <w:ind w:firstLine="357"/>
    </w:pPr>
    <w:rPr>
      <w:rFonts w:ascii="Calibri" w:hAnsi="Calibri"/>
      <w:sz w:val="20"/>
      <w:szCs w:val="20"/>
    </w:rPr>
  </w:style>
  <w:style w:type="character" w:customStyle="1" w:styleId="TekstkomentarzaZnak">
    <w:name w:val="Tekst komentarza Znak"/>
    <w:basedOn w:val="Domylnaczcionkaakapitu"/>
    <w:link w:val="Tekstkomentarza1"/>
    <w:uiPriority w:val="99"/>
    <w:rsid w:val="00E320BC"/>
    <w:rPr>
      <w:rFonts w:ascii="Calibri" w:hAnsi="Calibri"/>
      <w:sz w:val="20"/>
      <w:szCs w:val="20"/>
    </w:rPr>
  </w:style>
  <w:style w:type="paragraph" w:styleId="Tekstkomentarza">
    <w:name w:val="annotation text"/>
    <w:basedOn w:val="Normalny"/>
    <w:link w:val="TekstkomentarzaZnak1"/>
    <w:uiPriority w:val="99"/>
    <w:unhideWhenUsed/>
    <w:qFormat/>
    <w:rsid w:val="00E320BC"/>
    <w:pPr>
      <w:spacing w:after="0" w:line="240" w:lineRule="auto"/>
      <w:ind w:firstLine="357"/>
    </w:pPr>
    <w:rPr>
      <w:rFonts w:ascii="Calibri" w:hAnsi="Calibri"/>
      <w:sz w:val="20"/>
      <w:szCs w:val="20"/>
    </w:rPr>
  </w:style>
  <w:style w:type="character" w:customStyle="1" w:styleId="TekstkomentarzaZnak1">
    <w:name w:val="Tekst komentarza Znak1"/>
    <w:basedOn w:val="Domylnaczcionkaakapitu"/>
    <w:link w:val="Tekstkomentarza"/>
    <w:uiPriority w:val="99"/>
    <w:qFormat/>
    <w:rsid w:val="00E320BC"/>
    <w:rPr>
      <w:rFonts w:ascii="Calibri" w:hAnsi="Calibri"/>
      <w:sz w:val="20"/>
      <w:szCs w:val="20"/>
    </w:rPr>
  </w:style>
  <w:style w:type="character" w:customStyle="1" w:styleId="Nagwek1Znak">
    <w:name w:val="Nagłówek 1 Znak"/>
    <w:basedOn w:val="Domylnaczcionkaakapitu"/>
    <w:link w:val="Nagwek1"/>
    <w:uiPriority w:val="9"/>
    <w:rsid w:val="00E320BC"/>
    <w:rPr>
      <w:rFonts w:ascii="Candara" w:eastAsia="Times New Roman" w:hAnsi="Candara" w:cs="Times New Roman"/>
      <w:b/>
      <w:bCs/>
      <w:color w:val="0292DF"/>
      <w:sz w:val="32"/>
      <w:szCs w:val="28"/>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34"/>
    <w:qFormat/>
    <w:rsid w:val="00E320BC"/>
    <w:pPr>
      <w:spacing w:after="0"/>
      <w:ind w:left="720" w:firstLine="357"/>
      <w:contextualSpacing/>
    </w:pPr>
    <w:rPr>
      <w:rFonts w:ascii="Calibri" w:hAnsi="Calibri"/>
    </w:rPr>
  </w:style>
  <w:style w:type="character" w:styleId="Pogrubienie">
    <w:name w:val="Strong"/>
    <w:basedOn w:val="Domylnaczcionkaakapitu"/>
    <w:uiPriority w:val="22"/>
    <w:qFormat/>
    <w:rsid w:val="00E320BC"/>
    <w:rPr>
      <w:b/>
      <w:bCs/>
    </w:rPr>
  </w:style>
  <w:style w:type="paragraph" w:customStyle="1" w:styleId="Default">
    <w:name w:val="Default"/>
    <w:rsid w:val="00E320BC"/>
    <w:pPr>
      <w:autoSpaceDE w:val="0"/>
      <w:autoSpaceDN w:val="0"/>
      <w:adjustRightInd w:val="0"/>
      <w:spacing w:after="0" w:line="240" w:lineRule="auto"/>
    </w:pPr>
    <w:rPr>
      <w:rFonts w:ascii="Cambria" w:hAnsi="Cambria" w:cs="Cambria"/>
      <w:color w:val="000000"/>
      <w:sz w:val="24"/>
      <w:szCs w:val="24"/>
    </w:rPr>
  </w:style>
  <w:style w:type="character" w:customStyle="1" w:styleId="Nagwek3Znak">
    <w:name w:val="Nagłówek 3 Znak"/>
    <w:basedOn w:val="Domylnaczcionkaakapitu"/>
    <w:link w:val="Nagwek3"/>
    <w:uiPriority w:val="9"/>
    <w:rsid w:val="00E320BC"/>
    <w:rPr>
      <w:rFonts w:ascii="Candara" w:eastAsia="Times New Roman" w:hAnsi="Candara" w:cs="Times New Roman"/>
      <w:b/>
      <w:bCs/>
      <w:color w:val="31B6FD"/>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basedOn w:val="Domylnaczcionkaakapitu"/>
    <w:link w:val="Akapitzlist"/>
    <w:uiPriority w:val="34"/>
    <w:qFormat/>
    <w:rsid w:val="00E320BC"/>
    <w:rPr>
      <w:rFonts w:ascii="Calibri" w:hAnsi="Calibri"/>
    </w:rPr>
  </w:style>
  <w:style w:type="paragraph" w:styleId="Tematkomentarza">
    <w:name w:val="annotation subject"/>
    <w:basedOn w:val="Tekstkomentarza"/>
    <w:next w:val="Tekstkomentarza"/>
    <w:link w:val="TematkomentarzaZnak"/>
    <w:uiPriority w:val="99"/>
    <w:semiHidden/>
    <w:unhideWhenUsed/>
    <w:rsid w:val="00E320BC"/>
    <w:rPr>
      <w:b/>
      <w:bCs/>
    </w:rPr>
  </w:style>
  <w:style w:type="character" w:customStyle="1" w:styleId="TematkomentarzaZnak">
    <w:name w:val="Temat komentarza Znak"/>
    <w:basedOn w:val="TekstkomentarzaZnak1"/>
    <w:link w:val="Tematkomentarza"/>
    <w:uiPriority w:val="99"/>
    <w:semiHidden/>
    <w:rsid w:val="00E320BC"/>
    <w:rPr>
      <w:rFonts w:ascii="Calibri" w:hAnsi="Calibri"/>
      <w:b/>
      <w:bCs/>
      <w:sz w:val="20"/>
      <w:szCs w:val="20"/>
    </w:rPr>
  </w:style>
  <w:style w:type="character" w:customStyle="1" w:styleId="Nagwek2Znak">
    <w:name w:val="Nagłówek 2 Znak"/>
    <w:basedOn w:val="Domylnaczcionkaakapitu"/>
    <w:link w:val="Nagwek2"/>
    <w:uiPriority w:val="9"/>
    <w:rsid w:val="00E320BC"/>
    <w:rPr>
      <w:rFonts w:ascii="Candara" w:eastAsia="Times New Roman" w:hAnsi="Candara" w:cs="Times New Roman"/>
      <w:b/>
      <w:bCs/>
      <w:color w:val="31B6FD"/>
      <w:sz w:val="26"/>
      <w:szCs w:val="26"/>
    </w:rPr>
  </w:style>
  <w:style w:type="paragraph" w:customStyle="1" w:styleId="Tytu1">
    <w:name w:val="Tytuł1"/>
    <w:basedOn w:val="Normalny"/>
    <w:next w:val="Normalny"/>
    <w:uiPriority w:val="10"/>
    <w:qFormat/>
    <w:rsid w:val="00E320BC"/>
    <w:pPr>
      <w:pBdr>
        <w:bottom w:val="single" w:sz="8" w:space="4" w:color="31B6FD"/>
      </w:pBdr>
      <w:spacing w:after="300" w:line="240" w:lineRule="auto"/>
      <w:ind w:firstLine="357"/>
      <w:contextualSpacing/>
    </w:pPr>
    <w:rPr>
      <w:rFonts w:ascii="Candara" w:eastAsia="Times New Roman" w:hAnsi="Candara" w:cs="Times New Roman"/>
      <w:color w:val="052E65"/>
      <w:spacing w:val="5"/>
      <w:kern w:val="28"/>
      <w:sz w:val="52"/>
      <w:szCs w:val="52"/>
    </w:rPr>
  </w:style>
  <w:style w:type="character" w:customStyle="1" w:styleId="TytuZnak">
    <w:name w:val="Tytuł Znak"/>
    <w:basedOn w:val="Domylnaczcionkaakapitu"/>
    <w:link w:val="Tytu"/>
    <w:uiPriority w:val="10"/>
    <w:rsid w:val="00E320BC"/>
    <w:rPr>
      <w:rFonts w:ascii="Candara" w:eastAsia="Times New Roman" w:hAnsi="Candara" w:cs="Times New Roman"/>
      <w:color w:val="052E65"/>
      <w:spacing w:val="5"/>
      <w:kern w:val="28"/>
      <w:sz w:val="52"/>
      <w:szCs w:val="52"/>
    </w:rPr>
  </w:style>
  <w:style w:type="character" w:customStyle="1" w:styleId="Wyrnieniedelikatne1">
    <w:name w:val="Wyróżnienie delikatne1"/>
    <w:basedOn w:val="Domylnaczcionkaakapitu"/>
    <w:uiPriority w:val="19"/>
    <w:qFormat/>
    <w:rsid w:val="00E320BC"/>
    <w:rPr>
      <w:i/>
      <w:iCs/>
      <w:color w:val="808080"/>
    </w:rPr>
  </w:style>
  <w:style w:type="table" w:customStyle="1" w:styleId="Jasnasiatkaakcent51">
    <w:name w:val="Jasna siatka — akcent 51"/>
    <w:basedOn w:val="Standardowy"/>
    <w:next w:val="Jasnasiatkaakcent5"/>
    <w:uiPriority w:val="62"/>
    <w:rsid w:val="00E320BC"/>
    <w:pPr>
      <w:spacing w:after="0" w:line="240" w:lineRule="auto"/>
    </w:pPr>
    <w:tblPr>
      <w:tblStyleRowBandSize w:val="1"/>
      <w:tblStyleColBandSize w:val="1"/>
      <w:tblBorders>
        <w:top w:val="single" w:sz="8" w:space="0" w:color="F5C040"/>
        <w:left w:val="single" w:sz="8" w:space="0" w:color="F5C040"/>
        <w:bottom w:val="single" w:sz="8" w:space="0" w:color="F5C040"/>
        <w:right w:val="single" w:sz="8" w:space="0" w:color="F5C040"/>
        <w:insideH w:val="single" w:sz="8" w:space="0" w:color="F5C040"/>
        <w:insideV w:val="single" w:sz="8" w:space="0" w:color="F5C040"/>
      </w:tblBorders>
    </w:tblPr>
    <w:tblStylePr w:type="firstRow">
      <w:pPr>
        <w:spacing w:before="0" w:after="0" w:line="240" w:lineRule="auto"/>
      </w:pPr>
      <w:rPr>
        <w:rFonts w:ascii="Candara" w:eastAsia="Times New Roman" w:hAnsi="Candara" w:cs="Times New Roman"/>
        <w:b/>
        <w:bCs/>
      </w:rPr>
      <w:tblPr/>
      <w:tcPr>
        <w:tcBorders>
          <w:top w:val="single" w:sz="8" w:space="0" w:color="F5C040"/>
          <w:left w:val="single" w:sz="8" w:space="0" w:color="F5C040"/>
          <w:bottom w:val="single" w:sz="18" w:space="0" w:color="F5C040"/>
          <w:right w:val="single" w:sz="8" w:space="0" w:color="F5C040"/>
          <w:insideH w:val="nil"/>
          <w:insideV w:val="single" w:sz="8" w:space="0" w:color="F5C040"/>
        </w:tcBorders>
      </w:tcPr>
    </w:tblStylePr>
    <w:tblStylePr w:type="lastRow">
      <w:pPr>
        <w:spacing w:before="0" w:after="0" w:line="240" w:lineRule="auto"/>
      </w:pPr>
      <w:rPr>
        <w:rFonts w:ascii="Candara" w:eastAsia="Times New Roman" w:hAnsi="Candara" w:cs="Times New Roman"/>
        <w:b/>
        <w:bCs/>
      </w:rPr>
      <w:tblPr/>
      <w:tcPr>
        <w:tcBorders>
          <w:top w:val="double" w:sz="6" w:space="0" w:color="F5C040"/>
          <w:left w:val="single" w:sz="8" w:space="0" w:color="F5C040"/>
          <w:bottom w:val="single" w:sz="8" w:space="0" w:color="F5C040"/>
          <w:right w:val="single" w:sz="8" w:space="0" w:color="F5C040"/>
          <w:insideH w:val="nil"/>
          <w:insideV w:val="single" w:sz="8" w:space="0" w:color="F5C040"/>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F5C040"/>
          <w:left w:val="single" w:sz="8" w:space="0" w:color="F5C040"/>
          <w:bottom w:val="single" w:sz="8" w:space="0" w:color="F5C040"/>
          <w:right w:val="single" w:sz="8" w:space="0" w:color="F5C040"/>
        </w:tcBorders>
      </w:tcPr>
    </w:tblStylePr>
    <w:tblStylePr w:type="band1Vert">
      <w:tblPr/>
      <w:tcPr>
        <w:tcBorders>
          <w:top w:val="single" w:sz="8" w:space="0" w:color="F5C040"/>
          <w:left w:val="single" w:sz="8" w:space="0" w:color="F5C040"/>
          <w:bottom w:val="single" w:sz="8" w:space="0" w:color="F5C040"/>
          <w:right w:val="single" w:sz="8" w:space="0" w:color="F5C040"/>
        </w:tcBorders>
        <w:shd w:val="clear" w:color="auto" w:fill="FCEFCF"/>
      </w:tcPr>
    </w:tblStylePr>
    <w:tblStylePr w:type="band1Horz">
      <w:tblPr/>
      <w:tcPr>
        <w:tcBorders>
          <w:top w:val="single" w:sz="8" w:space="0" w:color="F5C040"/>
          <w:left w:val="single" w:sz="8" w:space="0" w:color="F5C040"/>
          <w:bottom w:val="single" w:sz="8" w:space="0" w:color="F5C040"/>
          <w:right w:val="single" w:sz="8" w:space="0" w:color="F5C040"/>
          <w:insideV w:val="single" w:sz="8" w:space="0" w:color="F5C040"/>
        </w:tcBorders>
        <w:shd w:val="clear" w:color="auto" w:fill="FCEFCF"/>
      </w:tcPr>
    </w:tblStylePr>
    <w:tblStylePr w:type="band2Horz">
      <w:tblPr/>
      <w:tcPr>
        <w:tcBorders>
          <w:top w:val="single" w:sz="8" w:space="0" w:color="F5C040"/>
          <w:left w:val="single" w:sz="8" w:space="0" w:color="F5C040"/>
          <w:bottom w:val="single" w:sz="8" w:space="0" w:color="F5C040"/>
          <w:right w:val="single" w:sz="8" w:space="0" w:color="F5C040"/>
          <w:insideV w:val="single" w:sz="8" w:space="0" w:color="F5C040"/>
        </w:tcBorders>
      </w:tcPr>
    </w:tblStylePr>
  </w:style>
  <w:style w:type="table" w:customStyle="1" w:styleId="Jasnasiatkaakcent11">
    <w:name w:val="Jasna siatka — akcent 11"/>
    <w:basedOn w:val="Standardowy"/>
    <w:next w:val="Jasnasiatkaakcent1"/>
    <w:uiPriority w:val="62"/>
    <w:rsid w:val="00E320BC"/>
    <w:pPr>
      <w:spacing w:after="0" w:line="240" w:lineRule="auto"/>
    </w:pPr>
    <w:tblPr>
      <w:tblStyleRowBandSize w:val="1"/>
      <w:tblStyleColBandSize w:val="1"/>
      <w:tblBorders>
        <w:top w:val="single" w:sz="8" w:space="0" w:color="31B6FD"/>
        <w:left w:val="single" w:sz="8" w:space="0" w:color="31B6FD"/>
        <w:bottom w:val="single" w:sz="8" w:space="0" w:color="31B6FD"/>
        <w:right w:val="single" w:sz="8" w:space="0" w:color="31B6FD"/>
        <w:insideH w:val="single" w:sz="8" w:space="0" w:color="31B6FD"/>
        <w:insideV w:val="single" w:sz="8" w:space="0" w:color="31B6FD"/>
      </w:tblBorders>
    </w:tblPr>
    <w:tblStylePr w:type="firstRow">
      <w:pPr>
        <w:spacing w:before="0" w:after="0" w:line="240" w:lineRule="auto"/>
      </w:pPr>
      <w:rPr>
        <w:rFonts w:ascii="Candara" w:eastAsia="Times New Roman" w:hAnsi="Candara" w:cs="Times New Roman"/>
        <w:b/>
        <w:bCs/>
      </w:rPr>
      <w:tblPr/>
      <w:tcPr>
        <w:tcBorders>
          <w:top w:val="single" w:sz="8" w:space="0" w:color="31B6FD"/>
          <w:left w:val="single" w:sz="8" w:space="0" w:color="31B6FD"/>
          <w:bottom w:val="single" w:sz="18" w:space="0" w:color="31B6FD"/>
          <w:right w:val="single" w:sz="8" w:space="0" w:color="31B6FD"/>
          <w:insideH w:val="nil"/>
          <w:insideV w:val="single" w:sz="8" w:space="0" w:color="31B6FD"/>
        </w:tcBorders>
      </w:tcPr>
    </w:tblStylePr>
    <w:tblStylePr w:type="lastRow">
      <w:pPr>
        <w:spacing w:before="0" w:after="0" w:line="240" w:lineRule="auto"/>
      </w:pPr>
      <w:rPr>
        <w:rFonts w:ascii="Candara" w:eastAsia="Times New Roman" w:hAnsi="Candara" w:cs="Times New Roman"/>
        <w:b/>
        <w:bCs/>
      </w:rPr>
      <w:tblPr/>
      <w:tcPr>
        <w:tcBorders>
          <w:top w:val="double" w:sz="6" w:space="0" w:color="31B6FD"/>
          <w:left w:val="single" w:sz="8" w:space="0" w:color="31B6FD"/>
          <w:bottom w:val="single" w:sz="8" w:space="0" w:color="31B6FD"/>
          <w:right w:val="single" w:sz="8" w:space="0" w:color="31B6FD"/>
          <w:insideH w:val="nil"/>
          <w:insideV w:val="single" w:sz="8" w:space="0" w:color="31B6F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31B6FD"/>
          <w:left w:val="single" w:sz="8" w:space="0" w:color="31B6FD"/>
          <w:bottom w:val="single" w:sz="8" w:space="0" w:color="31B6FD"/>
          <w:right w:val="single" w:sz="8" w:space="0" w:color="31B6FD"/>
        </w:tcBorders>
      </w:tcPr>
    </w:tblStylePr>
    <w:tblStylePr w:type="band1Vert">
      <w:tblPr/>
      <w:tcPr>
        <w:tcBorders>
          <w:top w:val="single" w:sz="8" w:space="0" w:color="31B6FD"/>
          <w:left w:val="single" w:sz="8" w:space="0" w:color="31B6FD"/>
          <w:bottom w:val="single" w:sz="8" w:space="0" w:color="31B6FD"/>
          <w:right w:val="single" w:sz="8" w:space="0" w:color="31B6FD"/>
        </w:tcBorders>
        <w:shd w:val="clear" w:color="auto" w:fill="CBECFE"/>
      </w:tcPr>
    </w:tblStylePr>
    <w:tblStylePr w:type="band1Horz">
      <w:tblPr/>
      <w:tcPr>
        <w:tcBorders>
          <w:top w:val="single" w:sz="8" w:space="0" w:color="31B6FD"/>
          <w:left w:val="single" w:sz="8" w:space="0" w:color="31B6FD"/>
          <w:bottom w:val="single" w:sz="8" w:space="0" w:color="31B6FD"/>
          <w:right w:val="single" w:sz="8" w:space="0" w:color="31B6FD"/>
          <w:insideV w:val="single" w:sz="8" w:space="0" w:color="31B6FD"/>
        </w:tcBorders>
        <w:shd w:val="clear" w:color="auto" w:fill="CBECFE"/>
      </w:tcPr>
    </w:tblStylePr>
    <w:tblStylePr w:type="band2Horz">
      <w:tblPr/>
      <w:tcPr>
        <w:tcBorders>
          <w:top w:val="single" w:sz="8" w:space="0" w:color="31B6FD"/>
          <w:left w:val="single" w:sz="8" w:space="0" w:color="31B6FD"/>
          <w:bottom w:val="single" w:sz="8" w:space="0" w:color="31B6FD"/>
          <w:right w:val="single" w:sz="8" w:space="0" w:color="31B6FD"/>
          <w:insideV w:val="single" w:sz="8" w:space="0" w:color="31B6FD"/>
        </w:tcBorders>
      </w:tcPr>
    </w:tblStylePr>
  </w:style>
  <w:style w:type="character" w:styleId="Tytuksiki">
    <w:name w:val="Book Title"/>
    <w:basedOn w:val="Domylnaczcionkaakapitu"/>
    <w:uiPriority w:val="33"/>
    <w:qFormat/>
    <w:rsid w:val="00E320BC"/>
    <w:rPr>
      <w:b/>
      <w:bCs/>
      <w:smallCaps/>
      <w:spacing w:val="5"/>
    </w:rPr>
  </w:style>
  <w:style w:type="paragraph" w:customStyle="1" w:styleId="Cytatintensywny1">
    <w:name w:val="Cytat intensywny1"/>
    <w:basedOn w:val="Normalny"/>
    <w:next w:val="Normalny"/>
    <w:uiPriority w:val="30"/>
    <w:qFormat/>
    <w:rsid w:val="00E320BC"/>
    <w:pPr>
      <w:pBdr>
        <w:bottom w:val="single" w:sz="4" w:space="4" w:color="31B6FD"/>
      </w:pBdr>
      <w:spacing w:before="200" w:after="280"/>
      <w:ind w:left="936" w:right="936" w:firstLine="357"/>
    </w:pPr>
    <w:rPr>
      <w:rFonts w:ascii="Calibri" w:hAnsi="Calibri"/>
      <w:b/>
      <w:bCs/>
      <w:i/>
      <w:iCs/>
      <w:color w:val="31B6FD"/>
    </w:rPr>
  </w:style>
  <w:style w:type="character" w:customStyle="1" w:styleId="CytatintensywnyZnak">
    <w:name w:val="Cytat intensywny Znak"/>
    <w:basedOn w:val="Domylnaczcionkaakapitu"/>
    <w:link w:val="Cytatintensywny"/>
    <w:uiPriority w:val="30"/>
    <w:rsid w:val="003E7C8A"/>
    <w:rPr>
      <w:rFonts w:ascii="Calibri" w:hAnsi="Calibri"/>
      <w:b/>
      <w:bCs/>
      <w:i/>
      <w:iCs/>
      <w:color w:val="31B6FD"/>
    </w:rPr>
  </w:style>
  <w:style w:type="table" w:customStyle="1" w:styleId="Jasnasiatkaakcent21">
    <w:name w:val="Jasna siatka — akcent 21"/>
    <w:basedOn w:val="Standardowy"/>
    <w:next w:val="Jasnasiatkaakcent2"/>
    <w:uiPriority w:val="62"/>
    <w:rsid w:val="00E320BC"/>
    <w:pPr>
      <w:spacing w:after="0" w:line="240" w:lineRule="auto"/>
    </w:pPr>
    <w:tblPr>
      <w:tblStyleRowBandSize w:val="1"/>
      <w:tblStyleColBandSize w:val="1"/>
      <w:tblBorders>
        <w:top w:val="single" w:sz="8" w:space="0" w:color="4584D3"/>
        <w:left w:val="single" w:sz="8" w:space="0" w:color="4584D3"/>
        <w:bottom w:val="single" w:sz="8" w:space="0" w:color="4584D3"/>
        <w:right w:val="single" w:sz="8" w:space="0" w:color="4584D3"/>
        <w:insideH w:val="single" w:sz="8" w:space="0" w:color="4584D3"/>
        <w:insideV w:val="single" w:sz="8" w:space="0" w:color="4584D3"/>
      </w:tblBorders>
    </w:tblPr>
    <w:tblStylePr w:type="firstRow">
      <w:pPr>
        <w:spacing w:before="0" w:after="0" w:line="240" w:lineRule="auto"/>
      </w:pPr>
      <w:rPr>
        <w:rFonts w:ascii="Candara" w:eastAsia="Times New Roman" w:hAnsi="Candara" w:cs="Times New Roman"/>
        <w:b/>
        <w:bCs/>
      </w:rPr>
      <w:tblPr/>
      <w:tcPr>
        <w:tcBorders>
          <w:top w:val="single" w:sz="8" w:space="0" w:color="4584D3"/>
          <w:left w:val="single" w:sz="8" w:space="0" w:color="4584D3"/>
          <w:bottom w:val="single" w:sz="18" w:space="0" w:color="4584D3"/>
          <w:right w:val="single" w:sz="8" w:space="0" w:color="4584D3"/>
          <w:insideH w:val="nil"/>
          <w:insideV w:val="single" w:sz="8" w:space="0" w:color="4584D3"/>
        </w:tcBorders>
      </w:tcPr>
    </w:tblStylePr>
    <w:tblStylePr w:type="lastRow">
      <w:pPr>
        <w:spacing w:before="0" w:after="0" w:line="240" w:lineRule="auto"/>
      </w:pPr>
      <w:rPr>
        <w:rFonts w:ascii="Candara" w:eastAsia="Times New Roman" w:hAnsi="Candara" w:cs="Times New Roman"/>
        <w:b/>
        <w:bCs/>
      </w:rPr>
      <w:tblPr/>
      <w:tcPr>
        <w:tcBorders>
          <w:top w:val="double" w:sz="6" w:space="0" w:color="4584D3"/>
          <w:left w:val="single" w:sz="8" w:space="0" w:color="4584D3"/>
          <w:bottom w:val="single" w:sz="8" w:space="0" w:color="4584D3"/>
          <w:right w:val="single" w:sz="8" w:space="0" w:color="4584D3"/>
          <w:insideH w:val="nil"/>
          <w:insideV w:val="single" w:sz="8" w:space="0" w:color="4584D3"/>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4584D3"/>
          <w:left w:val="single" w:sz="8" w:space="0" w:color="4584D3"/>
          <w:bottom w:val="single" w:sz="8" w:space="0" w:color="4584D3"/>
          <w:right w:val="single" w:sz="8" w:space="0" w:color="4584D3"/>
        </w:tcBorders>
      </w:tcPr>
    </w:tblStylePr>
    <w:tblStylePr w:type="band1Vert">
      <w:tblPr/>
      <w:tcPr>
        <w:tcBorders>
          <w:top w:val="single" w:sz="8" w:space="0" w:color="4584D3"/>
          <w:left w:val="single" w:sz="8" w:space="0" w:color="4584D3"/>
          <w:bottom w:val="single" w:sz="8" w:space="0" w:color="4584D3"/>
          <w:right w:val="single" w:sz="8" w:space="0" w:color="4584D3"/>
        </w:tcBorders>
        <w:shd w:val="clear" w:color="auto" w:fill="D0E0F4"/>
      </w:tcPr>
    </w:tblStylePr>
    <w:tblStylePr w:type="band1Horz">
      <w:tblPr/>
      <w:tcPr>
        <w:tcBorders>
          <w:top w:val="single" w:sz="8" w:space="0" w:color="4584D3"/>
          <w:left w:val="single" w:sz="8" w:space="0" w:color="4584D3"/>
          <w:bottom w:val="single" w:sz="8" w:space="0" w:color="4584D3"/>
          <w:right w:val="single" w:sz="8" w:space="0" w:color="4584D3"/>
          <w:insideV w:val="single" w:sz="8" w:space="0" w:color="4584D3"/>
        </w:tcBorders>
        <w:shd w:val="clear" w:color="auto" w:fill="D0E0F4"/>
      </w:tcPr>
    </w:tblStylePr>
    <w:tblStylePr w:type="band2Horz">
      <w:tblPr/>
      <w:tcPr>
        <w:tcBorders>
          <w:top w:val="single" w:sz="8" w:space="0" w:color="4584D3"/>
          <w:left w:val="single" w:sz="8" w:space="0" w:color="4584D3"/>
          <w:bottom w:val="single" w:sz="8" w:space="0" w:color="4584D3"/>
          <w:right w:val="single" w:sz="8" w:space="0" w:color="4584D3"/>
          <w:insideV w:val="single" w:sz="8" w:space="0" w:color="4584D3"/>
        </w:tcBorders>
      </w:tcPr>
    </w:tblStylePr>
  </w:style>
  <w:style w:type="table" w:styleId="Tabela-Siatka">
    <w:name w:val="Table Grid"/>
    <w:basedOn w:val="Standardowy"/>
    <w:uiPriority w:val="59"/>
    <w:rsid w:val="00E320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percze1">
    <w:name w:val="Hiperłącze1"/>
    <w:basedOn w:val="Domylnaczcionkaakapitu"/>
    <w:uiPriority w:val="99"/>
    <w:unhideWhenUsed/>
    <w:rsid w:val="00E320BC"/>
    <w:rPr>
      <w:color w:val="0080FF"/>
      <w:u w:val="single"/>
    </w:rPr>
  </w:style>
  <w:style w:type="paragraph" w:styleId="Nagwek">
    <w:name w:val="header"/>
    <w:basedOn w:val="Normalny"/>
    <w:link w:val="NagwekZnak"/>
    <w:uiPriority w:val="99"/>
    <w:unhideWhenUsed/>
    <w:rsid w:val="00E320BC"/>
    <w:pPr>
      <w:tabs>
        <w:tab w:val="center" w:pos="4536"/>
        <w:tab w:val="right" w:pos="9072"/>
      </w:tabs>
      <w:spacing w:after="0" w:line="240" w:lineRule="auto"/>
      <w:ind w:firstLine="357"/>
    </w:pPr>
    <w:rPr>
      <w:rFonts w:ascii="Calibri" w:hAnsi="Calibri"/>
    </w:rPr>
  </w:style>
  <w:style w:type="character" w:customStyle="1" w:styleId="NagwekZnak">
    <w:name w:val="Nagłówek Znak"/>
    <w:basedOn w:val="Domylnaczcionkaakapitu"/>
    <w:link w:val="Nagwek"/>
    <w:uiPriority w:val="99"/>
    <w:rsid w:val="00E320BC"/>
    <w:rPr>
      <w:rFonts w:ascii="Calibri" w:hAnsi="Calibri"/>
    </w:rPr>
  </w:style>
  <w:style w:type="paragraph" w:styleId="Stopka">
    <w:name w:val="footer"/>
    <w:basedOn w:val="Normalny"/>
    <w:link w:val="StopkaZnak"/>
    <w:uiPriority w:val="99"/>
    <w:unhideWhenUsed/>
    <w:rsid w:val="00E320BC"/>
    <w:pPr>
      <w:tabs>
        <w:tab w:val="center" w:pos="4536"/>
        <w:tab w:val="right" w:pos="9072"/>
      </w:tabs>
      <w:spacing w:after="0" w:line="240" w:lineRule="auto"/>
      <w:ind w:firstLine="357"/>
    </w:pPr>
    <w:rPr>
      <w:rFonts w:ascii="Calibri" w:hAnsi="Calibri"/>
    </w:rPr>
  </w:style>
  <w:style w:type="character" w:customStyle="1" w:styleId="StopkaZnak">
    <w:name w:val="Stopka Znak"/>
    <w:basedOn w:val="Domylnaczcionkaakapitu"/>
    <w:link w:val="Stopka"/>
    <w:uiPriority w:val="99"/>
    <w:rsid w:val="00E320BC"/>
    <w:rPr>
      <w:rFonts w:ascii="Calibri" w:hAnsi="Calibri"/>
    </w:rPr>
  </w:style>
  <w:style w:type="character" w:styleId="Tekstzastpczy">
    <w:name w:val="Placeholder Text"/>
    <w:basedOn w:val="Domylnaczcionkaakapitu"/>
    <w:uiPriority w:val="99"/>
    <w:semiHidden/>
    <w:rsid w:val="00E320BC"/>
    <w:rPr>
      <w:color w:val="808080"/>
    </w:rPr>
  </w:style>
  <w:style w:type="character" w:customStyle="1" w:styleId="Nagwek1Znak1">
    <w:name w:val="Nagłówek 1 Znak1"/>
    <w:basedOn w:val="Domylnaczcionkaakapitu"/>
    <w:uiPriority w:val="9"/>
    <w:rsid w:val="00E320BC"/>
    <w:rPr>
      <w:rFonts w:asciiTheme="majorHAnsi" w:eastAsiaTheme="majorEastAsia" w:hAnsiTheme="majorHAnsi" w:cstheme="majorBidi"/>
      <w:b/>
      <w:bCs/>
      <w:color w:val="0292DF" w:themeColor="accent1" w:themeShade="BF"/>
      <w:sz w:val="28"/>
      <w:szCs w:val="28"/>
    </w:rPr>
  </w:style>
  <w:style w:type="character" w:customStyle="1" w:styleId="Nagwek3Znak1">
    <w:name w:val="Nagłówek 3 Znak1"/>
    <w:basedOn w:val="Domylnaczcionkaakapitu"/>
    <w:uiPriority w:val="9"/>
    <w:semiHidden/>
    <w:rsid w:val="00E320BC"/>
    <w:rPr>
      <w:rFonts w:asciiTheme="majorHAnsi" w:eastAsiaTheme="majorEastAsia" w:hAnsiTheme="majorHAnsi" w:cstheme="majorBidi"/>
      <w:b/>
      <w:bCs/>
      <w:color w:val="31B6FD" w:themeColor="accent1"/>
    </w:rPr>
  </w:style>
  <w:style w:type="character" w:customStyle="1" w:styleId="Nagwek2Znak1">
    <w:name w:val="Nagłówek 2 Znak1"/>
    <w:basedOn w:val="Domylnaczcionkaakapitu"/>
    <w:uiPriority w:val="9"/>
    <w:semiHidden/>
    <w:rsid w:val="00E320BC"/>
    <w:rPr>
      <w:rFonts w:asciiTheme="majorHAnsi" w:eastAsiaTheme="majorEastAsia" w:hAnsiTheme="majorHAnsi" w:cstheme="majorBidi"/>
      <w:b/>
      <w:bCs/>
      <w:color w:val="31B6FD" w:themeColor="accent1"/>
      <w:sz w:val="26"/>
      <w:szCs w:val="26"/>
    </w:rPr>
  </w:style>
  <w:style w:type="paragraph" w:styleId="Tytu">
    <w:name w:val="Title"/>
    <w:basedOn w:val="Normalny"/>
    <w:next w:val="Normalny"/>
    <w:link w:val="TytuZnak"/>
    <w:uiPriority w:val="10"/>
    <w:qFormat/>
    <w:rsid w:val="00E320BC"/>
    <w:pPr>
      <w:pBdr>
        <w:bottom w:val="single" w:sz="8" w:space="4" w:color="31B6FD" w:themeColor="accent1"/>
      </w:pBdr>
      <w:spacing w:after="300" w:line="240" w:lineRule="auto"/>
      <w:contextualSpacing/>
    </w:pPr>
    <w:rPr>
      <w:rFonts w:ascii="Candara" w:eastAsia="Times New Roman" w:hAnsi="Candara" w:cs="Times New Roman"/>
      <w:color w:val="052E65"/>
      <w:spacing w:val="5"/>
      <w:kern w:val="28"/>
      <w:sz w:val="52"/>
      <w:szCs w:val="52"/>
    </w:rPr>
  </w:style>
  <w:style w:type="character" w:customStyle="1" w:styleId="TytuZnak1">
    <w:name w:val="Tytuł Znak1"/>
    <w:basedOn w:val="Domylnaczcionkaakapitu"/>
    <w:uiPriority w:val="10"/>
    <w:rsid w:val="00E320BC"/>
    <w:rPr>
      <w:rFonts w:asciiTheme="majorHAnsi" w:eastAsiaTheme="majorEastAsia" w:hAnsiTheme="majorHAnsi" w:cstheme="majorBidi"/>
      <w:color w:val="052E65" w:themeColor="text2" w:themeShade="BF"/>
      <w:spacing w:val="5"/>
      <w:kern w:val="28"/>
      <w:sz w:val="52"/>
      <w:szCs w:val="52"/>
    </w:rPr>
  </w:style>
  <w:style w:type="character" w:styleId="Wyrnieniedelikatne">
    <w:name w:val="Subtle Emphasis"/>
    <w:basedOn w:val="Domylnaczcionkaakapitu"/>
    <w:uiPriority w:val="19"/>
    <w:qFormat/>
    <w:rsid w:val="00E320BC"/>
    <w:rPr>
      <w:i/>
      <w:iCs/>
      <w:color w:val="808080" w:themeColor="text1" w:themeTint="7F"/>
    </w:rPr>
  </w:style>
  <w:style w:type="table" w:styleId="Jasnasiatkaakcent5">
    <w:name w:val="Light Grid Accent 5"/>
    <w:basedOn w:val="Standardowy"/>
    <w:uiPriority w:val="62"/>
    <w:rsid w:val="00E320BC"/>
    <w:pPr>
      <w:spacing w:after="0" w:line="240" w:lineRule="auto"/>
    </w:pPr>
    <w:tblPr>
      <w:tblStyleRowBandSize w:val="1"/>
      <w:tblStyleColBandSize w:val="1"/>
      <w:tblBorders>
        <w:top w:val="single" w:sz="8" w:space="0" w:color="F5C040" w:themeColor="accent5"/>
        <w:left w:val="single" w:sz="8" w:space="0" w:color="F5C040" w:themeColor="accent5"/>
        <w:bottom w:val="single" w:sz="8" w:space="0" w:color="F5C040" w:themeColor="accent5"/>
        <w:right w:val="single" w:sz="8" w:space="0" w:color="F5C040" w:themeColor="accent5"/>
        <w:insideH w:val="single" w:sz="8" w:space="0" w:color="F5C040" w:themeColor="accent5"/>
        <w:insideV w:val="single" w:sz="8" w:space="0" w:color="F5C04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5C040" w:themeColor="accent5"/>
          <w:left w:val="single" w:sz="8" w:space="0" w:color="F5C040" w:themeColor="accent5"/>
          <w:bottom w:val="single" w:sz="18" w:space="0" w:color="F5C040" w:themeColor="accent5"/>
          <w:right w:val="single" w:sz="8" w:space="0" w:color="F5C040" w:themeColor="accent5"/>
          <w:insideH w:val="nil"/>
          <w:insideV w:val="single" w:sz="8" w:space="0" w:color="F5C04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5C040" w:themeColor="accent5"/>
          <w:left w:val="single" w:sz="8" w:space="0" w:color="F5C040" w:themeColor="accent5"/>
          <w:bottom w:val="single" w:sz="8" w:space="0" w:color="F5C040" w:themeColor="accent5"/>
          <w:right w:val="single" w:sz="8" w:space="0" w:color="F5C040" w:themeColor="accent5"/>
          <w:insideH w:val="nil"/>
          <w:insideV w:val="single" w:sz="8" w:space="0" w:color="F5C04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5C040" w:themeColor="accent5"/>
          <w:left w:val="single" w:sz="8" w:space="0" w:color="F5C040" w:themeColor="accent5"/>
          <w:bottom w:val="single" w:sz="8" w:space="0" w:color="F5C040" w:themeColor="accent5"/>
          <w:right w:val="single" w:sz="8" w:space="0" w:color="F5C040" w:themeColor="accent5"/>
        </w:tcBorders>
      </w:tcPr>
    </w:tblStylePr>
    <w:tblStylePr w:type="band1Vert">
      <w:tblPr/>
      <w:tcPr>
        <w:tcBorders>
          <w:top w:val="single" w:sz="8" w:space="0" w:color="F5C040" w:themeColor="accent5"/>
          <w:left w:val="single" w:sz="8" w:space="0" w:color="F5C040" w:themeColor="accent5"/>
          <w:bottom w:val="single" w:sz="8" w:space="0" w:color="F5C040" w:themeColor="accent5"/>
          <w:right w:val="single" w:sz="8" w:space="0" w:color="F5C040" w:themeColor="accent5"/>
        </w:tcBorders>
        <w:shd w:val="clear" w:color="auto" w:fill="FCEFCF" w:themeFill="accent5" w:themeFillTint="3F"/>
      </w:tcPr>
    </w:tblStylePr>
    <w:tblStylePr w:type="band1Horz">
      <w:tblPr/>
      <w:tcPr>
        <w:tcBorders>
          <w:top w:val="single" w:sz="8" w:space="0" w:color="F5C040" w:themeColor="accent5"/>
          <w:left w:val="single" w:sz="8" w:space="0" w:color="F5C040" w:themeColor="accent5"/>
          <w:bottom w:val="single" w:sz="8" w:space="0" w:color="F5C040" w:themeColor="accent5"/>
          <w:right w:val="single" w:sz="8" w:space="0" w:color="F5C040" w:themeColor="accent5"/>
          <w:insideV w:val="single" w:sz="8" w:space="0" w:color="F5C040" w:themeColor="accent5"/>
        </w:tcBorders>
        <w:shd w:val="clear" w:color="auto" w:fill="FCEFCF" w:themeFill="accent5" w:themeFillTint="3F"/>
      </w:tcPr>
    </w:tblStylePr>
    <w:tblStylePr w:type="band2Horz">
      <w:tblPr/>
      <w:tcPr>
        <w:tcBorders>
          <w:top w:val="single" w:sz="8" w:space="0" w:color="F5C040" w:themeColor="accent5"/>
          <w:left w:val="single" w:sz="8" w:space="0" w:color="F5C040" w:themeColor="accent5"/>
          <w:bottom w:val="single" w:sz="8" w:space="0" w:color="F5C040" w:themeColor="accent5"/>
          <w:right w:val="single" w:sz="8" w:space="0" w:color="F5C040" w:themeColor="accent5"/>
          <w:insideV w:val="single" w:sz="8" w:space="0" w:color="F5C040" w:themeColor="accent5"/>
        </w:tcBorders>
      </w:tcPr>
    </w:tblStylePr>
  </w:style>
  <w:style w:type="table" w:styleId="Jasnasiatkaakcent1">
    <w:name w:val="Light Grid Accent 1"/>
    <w:basedOn w:val="Standardowy"/>
    <w:uiPriority w:val="62"/>
    <w:rsid w:val="00E320BC"/>
    <w:pPr>
      <w:spacing w:after="0" w:line="240" w:lineRule="auto"/>
    </w:pPr>
    <w:tblPr>
      <w:tblStyleRowBandSize w:val="1"/>
      <w:tblStyleColBandSize w:val="1"/>
      <w:tblBorders>
        <w:top w:val="single" w:sz="8" w:space="0" w:color="31B6FD" w:themeColor="accent1"/>
        <w:left w:val="single" w:sz="8" w:space="0" w:color="31B6FD" w:themeColor="accent1"/>
        <w:bottom w:val="single" w:sz="8" w:space="0" w:color="31B6FD" w:themeColor="accent1"/>
        <w:right w:val="single" w:sz="8" w:space="0" w:color="31B6FD" w:themeColor="accent1"/>
        <w:insideH w:val="single" w:sz="8" w:space="0" w:color="31B6FD" w:themeColor="accent1"/>
        <w:insideV w:val="single" w:sz="8" w:space="0" w:color="31B6F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1B6FD" w:themeColor="accent1"/>
          <w:left w:val="single" w:sz="8" w:space="0" w:color="31B6FD" w:themeColor="accent1"/>
          <w:bottom w:val="single" w:sz="18" w:space="0" w:color="31B6FD" w:themeColor="accent1"/>
          <w:right w:val="single" w:sz="8" w:space="0" w:color="31B6FD" w:themeColor="accent1"/>
          <w:insideH w:val="nil"/>
          <w:insideV w:val="single" w:sz="8" w:space="0" w:color="31B6F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1B6FD" w:themeColor="accent1"/>
          <w:left w:val="single" w:sz="8" w:space="0" w:color="31B6FD" w:themeColor="accent1"/>
          <w:bottom w:val="single" w:sz="8" w:space="0" w:color="31B6FD" w:themeColor="accent1"/>
          <w:right w:val="single" w:sz="8" w:space="0" w:color="31B6FD" w:themeColor="accent1"/>
          <w:insideH w:val="nil"/>
          <w:insideV w:val="single" w:sz="8" w:space="0" w:color="31B6F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1B6FD" w:themeColor="accent1"/>
          <w:left w:val="single" w:sz="8" w:space="0" w:color="31B6FD" w:themeColor="accent1"/>
          <w:bottom w:val="single" w:sz="8" w:space="0" w:color="31B6FD" w:themeColor="accent1"/>
          <w:right w:val="single" w:sz="8" w:space="0" w:color="31B6FD" w:themeColor="accent1"/>
        </w:tcBorders>
      </w:tcPr>
    </w:tblStylePr>
    <w:tblStylePr w:type="band1Vert">
      <w:tblPr/>
      <w:tcPr>
        <w:tcBorders>
          <w:top w:val="single" w:sz="8" w:space="0" w:color="31B6FD" w:themeColor="accent1"/>
          <w:left w:val="single" w:sz="8" w:space="0" w:color="31B6FD" w:themeColor="accent1"/>
          <w:bottom w:val="single" w:sz="8" w:space="0" w:color="31B6FD" w:themeColor="accent1"/>
          <w:right w:val="single" w:sz="8" w:space="0" w:color="31B6FD" w:themeColor="accent1"/>
        </w:tcBorders>
        <w:shd w:val="clear" w:color="auto" w:fill="CBECFE" w:themeFill="accent1" w:themeFillTint="3F"/>
      </w:tcPr>
    </w:tblStylePr>
    <w:tblStylePr w:type="band1Horz">
      <w:tblPr/>
      <w:tcPr>
        <w:tcBorders>
          <w:top w:val="single" w:sz="8" w:space="0" w:color="31B6FD" w:themeColor="accent1"/>
          <w:left w:val="single" w:sz="8" w:space="0" w:color="31B6FD" w:themeColor="accent1"/>
          <w:bottom w:val="single" w:sz="8" w:space="0" w:color="31B6FD" w:themeColor="accent1"/>
          <w:right w:val="single" w:sz="8" w:space="0" w:color="31B6FD" w:themeColor="accent1"/>
          <w:insideV w:val="single" w:sz="8" w:space="0" w:color="31B6FD" w:themeColor="accent1"/>
        </w:tcBorders>
        <w:shd w:val="clear" w:color="auto" w:fill="CBECFE" w:themeFill="accent1" w:themeFillTint="3F"/>
      </w:tcPr>
    </w:tblStylePr>
    <w:tblStylePr w:type="band2Horz">
      <w:tblPr/>
      <w:tcPr>
        <w:tcBorders>
          <w:top w:val="single" w:sz="8" w:space="0" w:color="31B6FD" w:themeColor="accent1"/>
          <w:left w:val="single" w:sz="8" w:space="0" w:color="31B6FD" w:themeColor="accent1"/>
          <w:bottom w:val="single" w:sz="8" w:space="0" w:color="31B6FD" w:themeColor="accent1"/>
          <w:right w:val="single" w:sz="8" w:space="0" w:color="31B6FD" w:themeColor="accent1"/>
          <w:insideV w:val="single" w:sz="8" w:space="0" w:color="31B6FD" w:themeColor="accent1"/>
        </w:tcBorders>
      </w:tcPr>
    </w:tblStylePr>
  </w:style>
  <w:style w:type="paragraph" w:styleId="Cytatintensywny">
    <w:name w:val="Intense Quote"/>
    <w:basedOn w:val="Normalny"/>
    <w:next w:val="Normalny"/>
    <w:link w:val="CytatintensywnyZnak"/>
    <w:uiPriority w:val="30"/>
    <w:qFormat/>
    <w:rsid w:val="003E7C8A"/>
    <w:pPr>
      <w:pBdr>
        <w:bottom w:val="single" w:sz="4" w:space="4" w:color="31B6FD" w:themeColor="accent1"/>
      </w:pBdr>
      <w:spacing w:before="200" w:after="280"/>
      <w:ind w:left="936" w:right="936"/>
    </w:pPr>
    <w:rPr>
      <w:rFonts w:ascii="Calibri" w:hAnsi="Calibri"/>
      <w:b/>
      <w:bCs/>
      <w:i/>
      <w:iCs/>
      <w:color w:val="31B6FD"/>
    </w:rPr>
  </w:style>
  <w:style w:type="character" w:customStyle="1" w:styleId="CytatintensywnyZnak1">
    <w:name w:val="Cytat intensywny Znak1"/>
    <w:basedOn w:val="Domylnaczcionkaakapitu"/>
    <w:uiPriority w:val="30"/>
    <w:rsid w:val="00E320BC"/>
    <w:rPr>
      <w:b/>
      <w:bCs/>
      <w:i/>
      <w:iCs/>
      <w:color w:val="31B6FD" w:themeColor="accent1"/>
    </w:rPr>
  </w:style>
  <w:style w:type="table" w:styleId="Jasnasiatkaakcent2">
    <w:name w:val="Light Grid Accent 2"/>
    <w:basedOn w:val="Standardowy"/>
    <w:uiPriority w:val="62"/>
    <w:rsid w:val="00E320BC"/>
    <w:pPr>
      <w:spacing w:after="0" w:line="240" w:lineRule="auto"/>
    </w:pPr>
    <w:tblPr>
      <w:tblStyleRowBandSize w:val="1"/>
      <w:tblStyleColBandSize w:val="1"/>
      <w:tblBorders>
        <w:top w:val="single" w:sz="8" w:space="0" w:color="4584D3" w:themeColor="accent2"/>
        <w:left w:val="single" w:sz="8" w:space="0" w:color="4584D3" w:themeColor="accent2"/>
        <w:bottom w:val="single" w:sz="8" w:space="0" w:color="4584D3" w:themeColor="accent2"/>
        <w:right w:val="single" w:sz="8" w:space="0" w:color="4584D3" w:themeColor="accent2"/>
        <w:insideH w:val="single" w:sz="8" w:space="0" w:color="4584D3" w:themeColor="accent2"/>
        <w:insideV w:val="single" w:sz="8" w:space="0" w:color="4584D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584D3" w:themeColor="accent2"/>
          <w:left w:val="single" w:sz="8" w:space="0" w:color="4584D3" w:themeColor="accent2"/>
          <w:bottom w:val="single" w:sz="18" w:space="0" w:color="4584D3" w:themeColor="accent2"/>
          <w:right w:val="single" w:sz="8" w:space="0" w:color="4584D3" w:themeColor="accent2"/>
          <w:insideH w:val="nil"/>
          <w:insideV w:val="single" w:sz="8" w:space="0" w:color="4584D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584D3" w:themeColor="accent2"/>
          <w:left w:val="single" w:sz="8" w:space="0" w:color="4584D3" w:themeColor="accent2"/>
          <w:bottom w:val="single" w:sz="8" w:space="0" w:color="4584D3" w:themeColor="accent2"/>
          <w:right w:val="single" w:sz="8" w:space="0" w:color="4584D3" w:themeColor="accent2"/>
          <w:insideH w:val="nil"/>
          <w:insideV w:val="single" w:sz="8" w:space="0" w:color="4584D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584D3" w:themeColor="accent2"/>
          <w:left w:val="single" w:sz="8" w:space="0" w:color="4584D3" w:themeColor="accent2"/>
          <w:bottom w:val="single" w:sz="8" w:space="0" w:color="4584D3" w:themeColor="accent2"/>
          <w:right w:val="single" w:sz="8" w:space="0" w:color="4584D3" w:themeColor="accent2"/>
        </w:tcBorders>
      </w:tcPr>
    </w:tblStylePr>
    <w:tblStylePr w:type="band1Vert">
      <w:tblPr/>
      <w:tcPr>
        <w:tcBorders>
          <w:top w:val="single" w:sz="8" w:space="0" w:color="4584D3" w:themeColor="accent2"/>
          <w:left w:val="single" w:sz="8" w:space="0" w:color="4584D3" w:themeColor="accent2"/>
          <w:bottom w:val="single" w:sz="8" w:space="0" w:color="4584D3" w:themeColor="accent2"/>
          <w:right w:val="single" w:sz="8" w:space="0" w:color="4584D3" w:themeColor="accent2"/>
        </w:tcBorders>
        <w:shd w:val="clear" w:color="auto" w:fill="D0E0F4" w:themeFill="accent2" w:themeFillTint="3F"/>
      </w:tcPr>
    </w:tblStylePr>
    <w:tblStylePr w:type="band1Horz">
      <w:tblPr/>
      <w:tcPr>
        <w:tcBorders>
          <w:top w:val="single" w:sz="8" w:space="0" w:color="4584D3" w:themeColor="accent2"/>
          <w:left w:val="single" w:sz="8" w:space="0" w:color="4584D3" w:themeColor="accent2"/>
          <w:bottom w:val="single" w:sz="8" w:space="0" w:color="4584D3" w:themeColor="accent2"/>
          <w:right w:val="single" w:sz="8" w:space="0" w:color="4584D3" w:themeColor="accent2"/>
          <w:insideV w:val="single" w:sz="8" w:space="0" w:color="4584D3" w:themeColor="accent2"/>
        </w:tcBorders>
        <w:shd w:val="clear" w:color="auto" w:fill="D0E0F4" w:themeFill="accent2" w:themeFillTint="3F"/>
      </w:tcPr>
    </w:tblStylePr>
    <w:tblStylePr w:type="band2Horz">
      <w:tblPr/>
      <w:tcPr>
        <w:tcBorders>
          <w:top w:val="single" w:sz="8" w:space="0" w:color="4584D3" w:themeColor="accent2"/>
          <w:left w:val="single" w:sz="8" w:space="0" w:color="4584D3" w:themeColor="accent2"/>
          <w:bottom w:val="single" w:sz="8" w:space="0" w:color="4584D3" w:themeColor="accent2"/>
          <w:right w:val="single" w:sz="8" w:space="0" w:color="4584D3" w:themeColor="accent2"/>
          <w:insideV w:val="single" w:sz="8" w:space="0" w:color="4584D3" w:themeColor="accent2"/>
        </w:tcBorders>
      </w:tcPr>
    </w:tblStylePr>
  </w:style>
  <w:style w:type="character" w:styleId="Hipercze">
    <w:name w:val="Hyperlink"/>
    <w:basedOn w:val="Domylnaczcionkaakapitu"/>
    <w:uiPriority w:val="99"/>
    <w:unhideWhenUsed/>
    <w:rsid w:val="00E320BC"/>
    <w:rPr>
      <w:color w:val="0080FF" w:themeColor="hyperlink"/>
      <w:u w:val="single"/>
    </w:rPr>
  </w:style>
  <w:style w:type="character" w:customStyle="1" w:styleId="markedcontent">
    <w:name w:val="markedcontent"/>
    <w:basedOn w:val="Domylnaczcionkaakapitu"/>
    <w:rsid w:val="00643390"/>
  </w:style>
  <w:style w:type="character" w:customStyle="1" w:styleId="highlight">
    <w:name w:val="highlight"/>
    <w:basedOn w:val="Domylnaczcionkaakapitu"/>
    <w:rsid w:val="008E22E6"/>
  </w:style>
  <w:style w:type="paragraph" w:styleId="Poprawka">
    <w:name w:val="Revision"/>
    <w:hidden/>
    <w:uiPriority w:val="99"/>
    <w:semiHidden/>
    <w:rsid w:val="008E22E6"/>
    <w:pPr>
      <w:spacing w:after="0" w:line="240" w:lineRule="auto"/>
    </w:pPr>
  </w:style>
  <w:style w:type="character" w:customStyle="1" w:styleId="Nagwek4Znak">
    <w:name w:val="Nagłówek 4 Znak"/>
    <w:basedOn w:val="Domylnaczcionkaakapitu"/>
    <w:link w:val="Nagwek4"/>
    <w:uiPriority w:val="9"/>
    <w:semiHidden/>
    <w:rsid w:val="00884604"/>
    <w:rPr>
      <w:rFonts w:asciiTheme="majorHAnsi" w:eastAsiaTheme="majorEastAsia" w:hAnsiTheme="majorHAnsi" w:cstheme="majorBidi"/>
      <w:b/>
      <w:bCs/>
      <w:i/>
      <w:iCs/>
      <w:color w:val="31B6FD" w:themeColor="accent1"/>
    </w:rPr>
  </w:style>
  <w:style w:type="table" w:styleId="Jasnecieniowanieakcent3">
    <w:name w:val="Light Shading Accent 3"/>
    <w:basedOn w:val="Standardowy"/>
    <w:uiPriority w:val="60"/>
    <w:rsid w:val="00097D26"/>
    <w:pPr>
      <w:spacing w:after="0" w:line="240" w:lineRule="auto"/>
    </w:pPr>
    <w:rPr>
      <w:color w:val="32AD50" w:themeColor="accent3" w:themeShade="BF"/>
    </w:rPr>
    <w:tblPr>
      <w:tblStyleRowBandSize w:val="1"/>
      <w:tblStyleColBandSize w:val="1"/>
      <w:tblBorders>
        <w:top w:val="single" w:sz="8" w:space="0" w:color="5BD078" w:themeColor="accent3"/>
        <w:bottom w:val="single" w:sz="8" w:space="0" w:color="5BD078" w:themeColor="accent3"/>
      </w:tblBorders>
    </w:tblPr>
    <w:tblStylePr w:type="firstRow">
      <w:pPr>
        <w:spacing w:before="0" w:after="0" w:line="240" w:lineRule="auto"/>
      </w:pPr>
      <w:rPr>
        <w:b/>
        <w:bCs/>
      </w:rPr>
      <w:tblPr/>
      <w:tcPr>
        <w:tcBorders>
          <w:top w:val="single" w:sz="8" w:space="0" w:color="5BD078" w:themeColor="accent3"/>
          <w:left w:val="nil"/>
          <w:bottom w:val="single" w:sz="8" w:space="0" w:color="5BD078" w:themeColor="accent3"/>
          <w:right w:val="nil"/>
          <w:insideH w:val="nil"/>
          <w:insideV w:val="nil"/>
        </w:tcBorders>
      </w:tcPr>
    </w:tblStylePr>
    <w:tblStylePr w:type="lastRow">
      <w:pPr>
        <w:spacing w:before="0" w:after="0" w:line="240" w:lineRule="auto"/>
      </w:pPr>
      <w:rPr>
        <w:b/>
        <w:bCs/>
      </w:rPr>
      <w:tblPr/>
      <w:tcPr>
        <w:tcBorders>
          <w:top w:val="single" w:sz="8" w:space="0" w:color="5BD078" w:themeColor="accent3"/>
          <w:left w:val="nil"/>
          <w:bottom w:val="single" w:sz="8" w:space="0" w:color="5BD07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F3DD" w:themeFill="accent3" w:themeFillTint="3F"/>
      </w:tcPr>
    </w:tblStylePr>
    <w:tblStylePr w:type="band1Horz">
      <w:tblPr/>
      <w:tcPr>
        <w:tcBorders>
          <w:left w:val="nil"/>
          <w:right w:val="nil"/>
          <w:insideH w:val="nil"/>
          <w:insideV w:val="nil"/>
        </w:tcBorders>
        <w:shd w:val="clear" w:color="auto" w:fill="D6F3DD" w:themeFill="accent3" w:themeFillTint="3F"/>
      </w:tcPr>
    </w:tblStylePr>
  </w:style>
  <w:style w:type="table" w:styleId="Jasnasiatkaakcent3">
    <w:name w:val="Light Grid Accent 3"/>
    <w:basedOn w:val="Standardowy"/>
    <w:uiPriority w:val="62"/>
    <w:rsid w:val="007C1786"/>
    <w:pPr>
      <w:spacing w:after="0" w:line="240" w:lineRule="auto"/>
    </w:pPr>
    <w:tblPr>
      <w:tblStyleRowBandSize w:val="1"/>
      <w:tblStyleColBandSize w:val="1"/>
      <w:tblBorders>
        <w:top w:val="single" w:sz="8" w:space="0" w:color="5BD078" w:themeColor="accent3"/>
        <w:left w:val="single" w:sz="8" w:space="0" w:color="5BD078" w:themeColor="accent3"/>
        <w:bottom w:val="single" w:sz="8" w:space="0" w:color="5BD078" w:themeColor="accent3"/>
        <w:right w:val="single" w:sz="8" w:space="0" w:color="5BD078" w:themeColor="accent3"/>
        <w:insideH w:val="single" w:sz="8" w:space="0" w:color="5BD078" w:themeColor="accent3"/>
        <w:insideV w:val="single" w:sz="8" w:space="0" w:color="5BD07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D078" w:themeColor="accent3"/>
          <w:left w:val="single" w:sz="8" w:space="0" w:color="5BD078" w:themeColor="accent3"/>
          <w:bottom w:val="single" w:sz="18" w:space="0" w:color="5BD078" w:themeColor="accent3"/>
          <w:right w:val="single" w:sz="8" w:space="0" w:color="5BD078" w:themeColor="accent3"/>
          <w:insideH w:val="nil"/>
          <w:insideV w:val="single" w:sz="8" w:space="0" w:color="5BD07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D078" w:themeColor="accent3"/>
          <w:left w:val="single" w:sz="8" w:space="0" w:color="5BD078" w:themeColor="accent3"/>
          <w:bottom w:val="single" w:sz="8" w:space="0" w:color="5BD078" w:themeColor="accent3"/>
          <w:right w:val="single" w:sz="8" w:space="0" w:color="5BD078" w:themeColor="accent3"/>
          <w:insideH w:val="nil"/>
          <w:insideV w:val="single" w:sz="8" w:space="0" w:color="5BD07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tcPr>
    </w:tblStylePr>
    <w:tblStylePr w:type="band1Vert">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shd w:val="clear" w:color="auto" w:fill="D6F3DD" w:themeFill="accent3" w:themeFillTint="3F"/>
      </w:tcPr>
    </w:tblStylePr>
    <w:tblStylePr w:type="band1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insideV w:val="single" w:sz="8" w:space="0" w:color="5BD078" w:themeColor="accent3"/>
        </w:tcBorders>
        <w:shd w:val="clear" w:color="auto" w:fill="D6F3DD" w:themeFill="accent3" w:themeFillTint="3F"/>
      </w:tcPr>
    </w:tblStylePr>
    <w:tblStylePr w:type="band2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insideV w:val="single" w:sz="8" w:space="0" w:color="5BD078" w:themeColor="accent3"/>
        </w:tcBorders>
      </w:tcPr>
    </w:tblStylePr>
  </w:style>
  <w:style w:type="character" w:customStyle="1" w:styleId="Znakiprzypiswdolnych">
    <w:name w:val="Znaki przypisów dolnych"/>
    <w:qFormat/>
    <w:rsid w:val="004D5110"/>
  </w:style>
  <w:style w:type="paragraph" w:styleId="Nagwekspisutreci">
    <w:name w:val="TOC Heading"/>
    <w:basedOn w:val="Nagwek1"/>
    <w:next w:val="Normalny"/>
    <w:uiPriority w:val="39"/>
    <w:semiHidden/>
    <w:unhideWhenUsed/>
    <w:qFormat/>
    <w:rsid w:val="00256894"/>
    <w:pPr>
      <w:ind w:firstLine="0"/>
      <w:jc w:val="left"/>
      <w:outlineLvl w:val="9"/>
    </w:pPr>
    <w:rPr>
      <w:rFonts w:asciiTheme="majorHAnsi" w:eastAsiaTheme="majorEastAsia" w:hAnsiTheme="majorHAnsi" w:cstheme="majorBidi"/>
      <w:color w:val="0292DF" w:themeColor="accent1" w:themeShade="BF"/>
      <w:sz w:val="28"/>
      <w:lang w:eastAsia="pl-PL"/>
    </w:rPr>
  </w:style>
  <w:style w:type="paragraph" w:styleId="Spistreci2">
    <w:name w:val="toc 2"/>
    <w:basedOn w:val="Normalny"/>
    <w:next w:val="Normalny"/>
    <w:autoRedefine/>
    <w:uiPriority w:val="39"/>
    <w:unhideWhenUsed/>
    <w:rsid w:val="00256894"/>
    <w:pPr>
      <w:tabs>
        <w:tab w:val="left" w:pos="880"/>
        <w:tab w:val="right" w:leader="dot" w:pos="9062"/>
      </w:tabs>
      <w:spacing w:after="100"/>
      <w:ind w:left="220"/>
      <w:jc w:val="left"/>
    </w:pPr>
  </w:style>
  <w:style w:type="paragraph" w:styleId="Spistreci1">
    <w:name w:val="toc 1"/>
    <w:basedOn w:val="Normalny"/>
    <w:next w:val="Normalny"/>
    <w:autoRedefine/>
    <w:uiPriority w:val="39"/>
    <w:unhideWhenUsed/>
    <w:rsid w:val="00256894"/>
    <w:pPr>
      <w:tabs>
        <w:tab w:val="left" w:pos="440"/>
        <w:tab w:val="right" w:leader="dot" w:pos="9062"/>
      </w:tabs>
      <w:spacing w:after="100"/>
      <w:jc w:val="left"/>
    </w:pPr>
  </w:style>
  <w:style w:type="paragraph" w:styleId="Spistreci3">
    <w:name w:val="toc 3"/>
    <w:basedOn w:val="Normalny"/>
    <w:next w:val="Normalny"/>
    <w:autoRedefine/>
    <w:uiPriority w:val="39"/>
    <w:unhideWhenUsed/>
    <w:rsid w:val="00256894"/>
    <w:pPr>
      <w:spacing w:after="100"/>
      <w:ind w:left="440"/>
    </w:pPr>
  </w:style>
  <w:style w:type="character" w:styleId="Wyrnienieintensywne">
    <w:name w:val="Intense Emphasis"/>
    <w:basedOn w:val="Domylnaczcionkaakapitu"/>
    <w:uiPriority w:val="21"/>
    <w:qFormat/>
    <w:rsid w:val="00142BB4"/>
    <w:rPr>
      <w:b/>
      <w:bCs/>
      <w:i/>
      <w:iCs/>
      <w:color w:val="31B6FD" w:themeColor="accent1"/>
    </w:rPr>
  </w:style>
  <w:style w:type="character" w:customStyle="1" w:styleId="newsbigdesc">
    <w:name w:val="news_big_desc"/>
    <w:basedOn w:val="Domylnaczcionkaakapitu"/>
    <w:rsid w:val="005D691D"/>
  </w:style>
  <w:style w:type="paragraph" w:styleId="Bezodstpw">
    <w:name w:val="No Spacing"/>
    <w:basedOn w:val="Normalny"/>
    <w:link w:val="BezodstpwZnak"/>
    <w:uiPriority w:val="1"/>
    <w:qFormat/>
    <w:rsid w:val="00052CFA"/>
    <w:pPr>
      <w:spacing w:before="0" w:after="0" w:line="240" w:lineRule="auto"/>
      <w:ind w:firstLine="0"/>
    </w:pPr>
    <w:rPr>
      <w:rFonts w:eastAsiaTheme="minorEastAsia"/>
      <w:color w:val="000000" w:themeColor="text1"/>
      <w:sz w:val="20"/>
      <w:szCs w:val="20"/>
      <w:lang w:eastAsia="ja-JP"/>
    </w:rPr>
  </w:style>
  <w:style w:type="character" w:customStyle="1" w:styleId="BezodstpwZnak">
    <w:name w:val="Bez odstępów Znak"/>
    <w:basedOn w:val="Domylnaczcionkaakapitu"/>
    <w:link w:val="Bezodstpw"/>
    <w:uiPriority w:val="1"/>
    <w:qFormat/>
    <w:rsid w:val="00052CFA"/>
    <w:rPr>
      <w:rFonts w:eastAsiaTheme="minorEastAsia"/>
      <w:color w:val="000000" w:themeColor="text1"/>
      <w:sz w:val="20"/>
      <w:szCs w:val="20"/>
      <w:lang w:eastAsia="ja-JP"/>
    </w:rPr>
  </w:style>
  <w:style w:type="character" w:styleId="Uwydatnienie">
    <w:name w:val="Emphasis"/>
    <w:basedOn w:val="Domylnaczcionkaakapitu"/>
    <w:uiPriority w:val="20"/>
    <w:qFormat/>
    <w:rsid w:val="000B6BB5"/>
    <w:rPr>
      <w:i/>
      <w:iCs/>
    </w:rPr>
  </w:style>
  <w:style w:type="numbering" w:customStyle="1" w:styleId="Bezlisty2">
    <w:name w:val="Bez listy2"/>
    <w:next w:val="Bezlisty"/>
    <w:uiPriority w:val="99"/>
    <w:semiHidden/>
    <w:unhideWhenUsed/>
    <w:rsid w:val="00ED6132"/>
  </w:style>
  <w:style w:type="paragraph" w:customStyle="1" w:styleId="Nagwek41">
    <w:name w:val="Nagłówek 41"/>
    <w:basedOn w:val="Normalny"/>
    <w:next w:val="Normalny"/>
    <w:uiPriority w:val="9"/>
    <w:semiHidden/>
    <w:unhideWhenUsed/>
    <w:qFormat/>
    <w:rsid w:val="00ED6132"/>
    <w:pPr>
      <w:keepNext/>
      <w:keepLines/>
      <w:spacing w:before="200" w:after="0"/>
      <w:outlineLvl w:val="3"/>
    </w:pPr>
    <w:rPr>
      <w:rFonts w:ascii="Cambria" w:eastAsia="Times New Roman" w:hAnsi="Cambria" w:cs="Times New Roman"/>
      <w:b/>
      <w:bCs/>
      <w:i/>
      <w:iCs/>
      <w:color w:val="31B6FD"/>
    </w:rPr>
  </w:style>
  <w:style w:type="numbering" w:customStyle="1" w:styleId="Bezlisty11">
    <w:name w:val="Bez listy11"/>
    <w:next w:val="Bezlisty"/>
    <w:uiPriority w:val="99"/>
    <w:semiHidden/>
    <w:unhideWhenUsed/>
    <w:rsid w:val="00ED6132"/>
  </w:style>
  <w:style w:type="numbering" w:customStyle="1" w:styleId="Bezlisty111">
    <w:name w:val="Bez listy111"/>
    <w:next w:val="Bezlisty"/>
    <w:uiPriority w:val="99"/>
    <w:semiHidden/>
    <w:unhideWhenUsed/>
    <w:rsid w:val="00ED6132"/>
  </w:style>
  <w:style w:type="table" w:customStyle="1" w:styleId="Jasnasiatkaakcent511">
    <w:name w:val="Jasna siatka — akcent 511"/>
    <w:basedOn w:val="Standardowy"/>
    <w:next w:val="Jasnasiatkaakcent5"/>
    <w:uiPriority w:val="62"/>
    <w:rsid w:val="00ED6132"/>
    <w:pPr>
      <w:spacing w:after="0" w:line="240" w:lineRule="auto"/>
    </w:pPr>
    <w:tblPr>
      <w:tblStyleRowBandSize w:val="1"/>
      <w:tblStyleColBandSize w:val="1"/>
      <w:tblBorders>
        <w:top w:val="single" w:sz="8" w:space="0" w:color="F5C040"/>
        <w:left w:val="single" w:sz="8" w:space="0" w:color="F5C040"/>
        <w:bottom w:val="single" w:sz="8" w:space="0" w:color="F5C040"/>
        <w:right w:val="single" w:sz="8" w:space="0" w:color="F5C040"/>
        <w:insideH w:val="single" w:sz="8" w:space="0" w:color="F5C040"/>
        <w:insideV w:val="single" w:sz="8" w:space="0" w:color="F5C040"/>
      </w:tblBorders>
    </w:tblPr>
    <w:tblStylePr w:type="firstRow">
      <w:pPr>
        <w:spacing w:before="0" w:after="0" w:line="240" w:lineRule="auto"/>
      </w:pPr>
      <w:rPr>
        <w:rFonts w:ascii="Candara" w:eastAsia="Times New Roman" w:hAnsi="Candara" w:cs="Times New Roman"/>
        <w:b/>
        <w:bCs/>
      </w:rPr>
      <w:tblPr/>
      <w:tcPr>
        <w:tcBorders>
          <w:top w:val="single" w:sz="8" w:space="0" w:color="F5C040"/>
          <w:left w:val="single" w:sz="8" w:space="0" w:color="F5C040"/>
          <w:bottom w:val="single" w:sz="18" w:space="0" w:color="F5C040"/>
          <w:right w:val="single" w:sz="8" w:space="0" w:color="F5C040"/>
          <w:insideH w:val="nil"/>
          <w:insideV w:val="single" w:sz="8" w:space="0" w:color="F5C040"/>
        </w:tcBorders>
      </w:tcPr>
    </w:tblStylePr>
    <w:tblStylePr w:type="lastRow">
      <w:pPr>
        <w:spacing w:before="0" w:after="0" w:line="240" w:lineRule="auto"/>
      </w:pPr>
      <w:rPr>
        <w:rFonts w:ascii="Candara" w:eastAsia="Times New Roman" w:hAnsi="Candara" w:cs="Times New Roman"/>
        <w:b/>
        <w:bCs/>
      </w:rPr>
      <w:tblPr/>
      <w:tcPr>
        <w:tcBorders>
          <w:top w:val="double" w:sz="6" w:space="0" w:color="F5C040"/>
          <w:left w:val="single" w:sz="8" w:space="0" w:color="F5C040"/>
          <w:bottom w:val="single" w:sz="8" w:space="0" w:color="F5C040"/>
          <w:right w:val="single" w:sz="8" w:space="0" w:color="F5C040"/>
          <w:insideH w:val="nil"/>
          <w:insideV w:val="single" w:sz="8" w:space="0" w:color="F5C040"/>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F5C040"/>
          <w:left w:val="single" w:sz="8" w:space="0" w:color="F5C040"/>
          <w:bottom w:val="single" w:sz="8" w:space="0" w:color="F5C040"/>
          <w:right w:val="single" w:sz="8" w:space="0" w:color="F5C040"/>
        </w:tcBorders>
      </w:tcPr>
    </w:tblStylePr>
    <w:tblStylePr w:type="band1Vert">
      <w:tblPr/>
      <w:tcPr>
        <w:tcBorders>
          <w:top w:val="single" w:sz="8" w:space="0" w:color="F5C040"/>
          <w:left w:val="single" w:sz="8" w:space="0" w:color="F5C040"/>
          <w:bottom w:val="single" w:sz="8" w:space="0" w:color="F5C040"/>
          <w:right w:val="single" w:sz="8" w:space="0" w:color="F5C040"/>
        </w:tcBorders>
        <w:shd w:val="clear" w:color="auto" w:fill="FCEFCF"/>
      </w:tcPr>
    </w:tblStylePr>
    <w:tblStylePr w:type="band1Horz">
      <w:tblPr/>
      <w:tcPr>
        <w:tcBorders>
          <w:top w:val="single" w:sz="8" w:space="0" w:color="F5C040"/>
          <w:left w:val="single" w:sz="8" w:space="0" w:color="F5C040"/>
          <w:bottom w:val="single" w:sz="8" w:space="0" w:color="F5C040"/>
          <w:right w:val="single" w:sz="8" w:space="0" w:color="F5C040"/>
          <w:insideV w:val="single" w:sz="8" w:space="0" w:color="F5C040"/>
        </w:tcBorders>
        <w:shd w:val="clear" w:color="auto" w:fill="FCEFCF"/>
      </w:tcPr>
    </w:tblStylePr>
    <w:tblStylePr w:type="band2Horz">
      <w:tblPr/>
      <w:tcPr>
        <w:tcBorders>
          <w:top w:val="single" w:sz="8" w:space="0" w:color="F5C040"/>
          <w:left w:val="single" w:sz="8" w:space="0" w:color="F5C040"/>
          <w:bottom w:val="single" w:sz="8" w:space="0" w:color="F5C040"/>
          <w:right w:val="single" w:sz="8" w:space="0" w:color="F5C040"/>
          <w:insideV w:val="single" w:sz="8" w:space="0" w:color="F5C040"/>
        </w:tcBorders>
      </w:tcPr>
    </w:tblStylePr>
  </w:style>
  <w:style w:type="table" w:customStyle="1" w:styleId="Jasnasiatkaakcent111">
    <w:name w:val="Jasna siatka — akcent 111"/>
    <w:basedOn w:val="Standardowy"/>
    <w:next w:val="Jasnasiatkaakcent1"/>
    <w:uiPriority w:val="62"/>
    <w:rsid w:val="00ED6132"/>
    <w:pPr>
      <w:spacing w:after="0" w:line="240" w:lineRule="auto"/>
    </w:pPr>
    <w:tblPr>
      <w:tblStyleRowBandSize w:val="1"/>
      <w:tblStyleColBandSize w:val="1"/>
      <w:tblBorders>
        <w:top w:val="single" w:sz="8" w:space="0" w:color="31B6FD"/>
        <w:left w:val="single" w:sz="8" w:space="0" w:color="31B6FD"/>
        <w:bottom w:val="single" w:sz="8" w:space="0" w:color="31B6FD"/>
        <w:right w:val="single" w:sz="8" w:space="0" w:color="31B6FD"/>
        <w:insideH w:val="single" w:sz="8" w:space="0" w:color="31B6FD"/>
        <w:insideV w:val="single" w:sz="8" w:space="0" w:color="31B6FD"/>
      </w:tblBorders>
    </w:tblPr>
    <w:tblStylePr w:type="firstRow">
      <w:pPr>
        <w:spacing w:before="0" w:after="0" w:line="240" w:lineRule="auto"/>
      </w:pPr>
      <w:rPr>
        <w:rFonts w:ascii="Candara" w:eastAsia="Times New Roman" w:hAnsi="Candara" w:cs="Times New Roman"/>
        <w:b/>
        <w:bCs/>
      </w:rPr>
      <w:tblPr/>
      <w:tcPr>
        <w:tcBorders>
          <w:top w:val="single" w:sz="8" w:space="0" w:color="31B6FD"/>
          <w:left w:val="single" w:sz="8" w:space="0" w:color="31B6FD"/>
          <w:bottom w:val="single" w:sz="18" w:space="0" w:color="31B6FD"/>
          <w:right w:val="single" w:sz="8" w:space="0" w:color="31B6FD"/>
          <w:insideH w:val="nil"/>
          <w:insideV w:val="single" w:sz="8" w:space="0" w:color="31B6FD"/>
        </w:tcBorders>
      </w:tcPr>
    </w:tblStylePr>
    <w:tblStylePr w:type="lastRow">
      <w:pPr>
        <w:spacing w:before="0" w:after="0" w:line="240" w:lineRule="auto"/>
      </w:pPr>
      <w:rPr>
        <w:rFonts w:ascii="Candara" w:eastAsia="Times New Roman" w:hAnsi="Candara" w:cs="Times New Roman"/>
        <w:b/>
        <w:bCs/>
      </w:rPr>
      <w:tblPr/>
      <w:tcPr>
        <w:tcBorders>
          <w:top w:val="double" w:sz="6" w:space="0" w:color="31B6FD"/>
          <w:left w:val="single" w:sz="8" w:space="0" w:color="31B6FD"/>
          <w:bottom w:val="single" w:sz="8" w:space="0" w:color="31B6FD"/>
          <w:right w:val="single" w:sz="8" w:space="0" w:color="31B6FD"/>
          <w:insideH w:val="nil"/>
          <w:insideV w:val="single" w:sz="8" w:space="0" w:color="31B6F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31B6FD"/>
          <w:left w:val="single" w:sz="8" w:space="0" w:color="31B6FD"/>
          <w:bottom w:val="single" w:sz="8" w:space="0" w:color="31B6FD"/>
          <w:right w:val="single" w:sz="8" w:space="0" w:color="31B6FD"/>
        </w:tcBorders>
      </w:tcPr>
    </w:tblStylePr>
    <w:tblStylePr w:type="band1Vert">
      <w:tblPr/>
      <w:tcPr>
        <w:tcBorders>
          <w:top w:val="single" w:sz="8" w:space="0" w:color="31B6FD"/>
          <w:left w:val="single" w:sz="8" w:space="0" w:color="31B6FD"/>
          <w:bottom w:val="single" w:sz="8" w:space="0" w:color="31B6FD"/>
          <w:right w:val="single" w:sz="8" w:space="0" w:color="31B6FD"/>
        </w:tcBorders>
        <w:shd w:val="clear" w:color="auto" w:fill="CBECFE"/>
      </w:tcPr>
    </w:tblStylePr>
    <w:tblStylePr w:type="band1Horz">
      <w:tblPr/>
      <w:tcPr>
        <w:tcBorders>
          <w:top w:val="single" w:sz="8" w:space="0" w:color="31B6FD"/>
          <w:left w:val="single" w:sz="8" w:space="0" w:color="31B6FD"/>
          <w:bottom w:val="single" w:sz="8" w:space="0" w:color="31B6FD"/>
          <w:right w:val="single" w:sz="8" w:space="0" w:color="31B6FD"/>
          <w:insideV w:val="single" w:sz="8" w:space="0" w:color="31B6FD"/>
        </w:tcBorders>
        <w:shd w:val="clear" w:color="auto" w:fill="CBECFE"/>
      </w:tcPr>
    </w:tblStylePr>
    <w:tblStylePr w:type="band2Horz">
      <w:tblPr/>
      <w:tcPr>
        <w:tcBorders>
          <w:top w:val="single" w:sz="8" w:space="0" w:color="31B6FD"/>
          <w:left w:val="single" w:sz="8" w:space="0" w:color="31B6FD"/>
          <w:bottom w:val="single" w:sz="8" w:space="0" w:color="31B6FD"/>
          <w:right w:val="single" w:sz="8" w:space="0" w:color="31B6FD"/>
          <w:insideV w:val="single" w:sz="8" w:space="0" w:color="31B6FD"/>
        </w:tcBorders>
      </w:tcPr>
    </w:tblStylePr>
  </w:style>
  <w:style w:type="table" w:customStyle="1" w:styleId="Jasnasiatkaakcent211">
    <w:name w:val="Jasna siatka — akcent 211"/>
    <w:basedOn w:val="Standardowy"/>
    <w:next w:val="Jasnasiatkaakcent2"/>
    <w:uiPriority w:val="62"/>
    <w:rsid w:val="00ED6132"/>
    <w:pPr>
      <w:spacing w:after="0" w:line="240" w:lineRule="auto"/>
    </w:pPr>
    <w:tblPr>
      <w:tblStyleRowBandSize w:val="1"/>
      <w:tblStyleColBandSize w:val="1"/>
      <w:tblBorders>
        <w:top w:val="single" w:sz="8" w:space="0" w:color="4584D3"/>
        <w:left w:val="single" w:sz="8" w:space="0" w:color="4584D3"/>
        <w:bottom w:val="single" w:sz="8" w:space="0" w:color="4584D3"/>
        <w:right w:val="single" w:sz="8" w:space="0" w:color="4584D3"/>
        <w:insideH w:val="single" w:sz="8" w:space="0" w:color="4584D3"/>
        <w:insideV w:val="single" w:sz="8" w:space="0" w:color="4584D3"/>
      </w:tblBorders>
    </w:tblPr>
    <w:tblStylePr w:type="firstRow">
      <w:pPr>
        <w:spacing w:before="0" w:after="0" w:line="240" w:lineRule="auto"/>
      </w:pPr>
      <w:rPr>
        <w:rFonts w:ascii="Candara" w:eastAsia="Times New Roman" w:hAnsi="Candara" w:cs="Times New Roman"/>
        <w:b/>
        <w:bCs/>
      </w:rPr>
      <w:tblPr/>
      <w:tcPr>
        <w:tcBorders>
          <w:top w:val="single" w:sz="8" w:space="0" w:color="4584D3"/>
          <w:left w:val="single" w:sz="8" w:space="0" w:color="4584D3"/>
          <w:bottom w:val="single" w:sz="18" w:space="0" w:color="4584D3"/>
          <w:right w:val="single" w:sz="8" w:space="0" w:color="4584D3"/>
          <w:insideH w:val="nil"/>
          <w:insideV w:val="single" w:sz="8" w:space="0" w:color="4584D3"/>
        </w:tcBorders>
      </w:tcPr>
    </w:tblStylePr>
    <w:tblStylePr w:type="lastRow">
      <w:pPr>
        <w:spacing w:before="0" w:after="0" w:line="240" w:lineRule="auto"/>
      </w:pPr>
      <w:rPr>
        <w:rFonts w:ascii="Candara" w:eastAsia="Times New Roman" w:hAnsi="Candara" w:cs="Times New Roman"/>
        <w:b/>
        <w:bCs/>
      </w:rPr>
      <w:tblPr/>
      <w:tcPr>
        <w:tcBorders>
          <w:top w:val="double" w:sz="6" w:space="0" w:color="4584D3"/>
          <w:left w:val="single" w:sz="8" w:space="0" w:color="4584D3"/>
          <w:bottom w:val="single" w:sz="8" w:space="0" w:color="4584D3"/>
          <w:right w:val="single" w:sz="8" w:space="0" w:color="4584D3"/>
          <w:insideH w:val="nil"/>
          <w:insideV w:val="single" w:sz="8" w:space="0" w:color="4584D3"/>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4584D3"/>
          <w:left w:val="single" w:sz="8" w:space="0" w:color="4584D3"/>
          <w:bottom w:val="single" w:sz="8" w:space="0" w:color="4584D3"/>
          <w:right w:val="single" w:sz="8" w:space="0" w:color="4584D3"/>
        </w:tcBorders>
      </w:tcPr>
    </w:tblStylePr>
    <w:tblStylePr w:type="band1Vert">
      <w:tblPr/>
      <w:tcPr>
        <w:tcBorders>
          <w:top w:val="single" w:sz="8" w:space="0" w:color="4584D3"/>
          <w:left w:val="single" w:sz="8" w:space="0" w:color="4584D3"/>
          <w:bottom w:val="single" w:sz="8" w:space="0" w:color="4584D3"/>
          <w:right w:val="single" w:sz="8" w:space="0" w:color="4584D3"/>
        </w:tcBorders>
        <w:shd w:val="clear" w:color="auto" w:fill="D0E0F4"/>
      </w:tcPr>
    </w:tblStylePr>
    <w:tblStylePr w:type="band1Horz">
      <w:tblPr/>
      <w:tcPr>
        <w:tcBorders>
          <w:top w:val="single" w:sz="8" w:space="0" w:color="4584D3"/>
          <w:left w:val="single" w:sz="8" w:space="0" w:color="4584D3"/>
          <w:bottom w:val="single" w:sz="8" w:space="0" w:color="4584D3"/>
          <w:right w:val="single" w:sz="8" w:space="0" w:color="4584D3"/>
          <w:insideV w:val="single" w:sz="8" w:space="0" w:color="4584D3"/>
        </w:tcBorders>
        <w:shd w:val="clear" w:color="auto" w:fill="D0E0F4"/>
      </w:tcPr>
    </w:tblStylePr>
    <w:tblStylePr w:type="band2Horz">
      <w:tblPr/>
      <w:tcPr>
        <w:tcBorders>
          <w:top w:val="single" w:sz="8" w:space="0" w:color="4584D3"/>
          <w:left w:val="single" w:sz="8" w:space="0" w:color="4584D3"/>
          <w:bottom w:val="single" w:sz="8" w:space="0" w:color="4584D3"/>
          <w:right w:val="single" w:sz="8" w:space="0" w:color="4584D3"/>
          <w:insideV w:val="single" w:sz="8" w:space="0" w:color="4584D3"/>
        </w:tcBorders>
      </w:tcPr>
    </w:tblStylePr>
  </w:style>
  <w:style w:type="table" w:customStyle="1" w:styleId="Tabela-Siatka1">
    <w:name w:val="Tabela - Siatka1"/>
    <w:basedOn w:val="Standardowy"/>
    <w:next w:val="Tabela-Siatka"/>
    <w:uiPriority w:val="59"/>
    <w:rsid w:val="00ED61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tu2">
    <w:name w:val="Tytuł2"/>
    <w:basedOn w:val="Normalny"/>
    <w:next w:val="Normalny"/>
    <w:uiPriority w:val="10"/>
    <w:qFormat/>
    <w:rsid w:val="00ED6132"/>
    <w:pPr>
      <w:pBdr>
        <w:bottom w:val="single" w:sz="8" w:space="4" w:color="31B6FD"/>
      </w:pBdr>
      <w:spacing w:after="300" w:line="240" w:lineRule="auto"/>
      <w:contextualSpacing/>
    </w:pPr>
    <w:rPr>
      <w:rFonts w:ascii="Candara" w:eastAsia="Times New Roman" w:hAnsi="Candara" w:cs="Times New Roman"/>
      <w:color w:val="052E65"/>
      <w:spacing w:val="5"/>
      <w:kern w:val="28"/>
      <w:sz w:val="52"/>
      <w:szCs w:val="52"/>
    </w:rPr>
  </w:style>
  <w:style w:type="character" w:customStyle="1" w:styleId="Wyrnieniedelikatne2">
    <w:name w:val="Wyróżnienie delikatne2"/>
    <w:basedOn w:val="Domylnaczcionkaakapitu"/>
    <w:uiPriority w:val="19"/>
    <w:qFormat/>
    <w:rsid w:val="00ED6132"/>
    <w:rPr>
      <w:i/>
      <w:iCs/>
      <w:color w:val="808080"/>
    </w:rPr>
  </w:style>
  <w:style w:type="table" w:customStyle="1" w:styleId="Jasnasiatkaakcent52">
    <w:name w:val="Jasna siatka — akcent 52"/>
    <w:basedOn w:val="Standardowy"/>
    <w:next w:val="Jasnasiatkaakcent5"/>
    <w:uiPriority w:val="62"/>
    <w:rsid w:val="00ED6132"/>
    <w:pPr>
      <w:spacing w:after="0" w:line="240" w:lineRule="auto"/>
    </w:pPr>
    <w:tblPr>
      <w:tblStyleRowBandSize w:val="1"/>
      <w:tblStyleColBandSize w:val="1"/>
      <w:tblBorders>
        <w:top w:val="single" w:sz="8" w:space="0" w:color="F5C040"/>
        <w:left w:val="single" w:sz="8" w:space="0" w:color="F5C040"/>
        <w:bottom w:val="single" w:sz="8" w:space="0" w:color="F5C040"/>
        <w:right w:val="single" w:sz="8" w:space="0" w:color="F5C040"/>
        <w:insideH w:val="single" w:sz="8" w:space="0" w:color="F5C040"/>
        <w:insideV w:val="single" w:sz="8" w:space="0" w:color="F5C040"/>
      </w:tblBorders>
    </w:tblPr>
    <w:tblStylePr w:type="firstRow">
      <w:pPr>
        <w:spacing w:before="0" w:after="0" w:line="240" w:lineRule="auto"/>
      </w:pPr>
      <w:rPr>
        <w:rFonts w:ascii="Cambria" w:eastAsia="Times New Roman" w:hAnsi="Cambria" w:cs="Times New Roman"/>
        <w:b/>
        <w:bCs/>
      </w:rPr>
      <w:tblPr/>
      <w:tcPr>
        <w:tcBorders>
          <w:top w:val="single" w:sz="8" w:space="0" w:color="F5C040"/>
          <w:left w:val="single" w:sz="8" w:space="0" w:color="F5C040"/>
          <w:bottom w:val="single" w:sz="18" w:space="0" w:color="F5C040"/>
          <w:right w:val="single" w:sz="8" w:space="0" w:color="F5C040"/>
          <w:insideH w:val="nil"/>
          <w:insideV w:val="single" w:sz="8" w:space="0" w:color="F5C040"/>
        </w:tcBorders>
      </w:tcPr>
    </w:tblStylePr>
    <w:tblStylePr w:type="lastRow">
      <w:pPr>
        <w:spacing w:before="0" w:after="0" w:line="240" w:lineRule="auto"/>
      </w:pPr>
      <w:rPr>
        <w:rFonts w:ascii="Cambria" w:eastAsia="Times New Roman" w:hAnsi="Cambria" w:cs="Times New Roman"/>
        <w:b/>
        <w:bCs/>
      </w:rPr>
      <w:tblPr/>
      <w:tcPr>
        <w:tcBorders>
          <w:top w:val="double" w:sz="6" w:space="0" w:color="F5C040"/>
          <w:left w:val="single" w:sz="8" w:space="0" w:color="F5C040"/>
          <w:bottom w:val="single" w:sz="8" w:space="0" w:color="F5C040"/>
          <w:right w:val="single" w:sz="8" w:space="0" w:color="F5C040"/>
          <w:insideH w:val="nil"/>
          <w:insideV w:val="single" w:sz="8" w:space="0" w:color="F5C04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5C040"/>
          <w:left w:val="single" w:sz="8" w:space="0" w:color="F5C040"/>
          <w:bottom w:val="single" w:sz="8" w:space="0" w:color="F5C040"/>
          <w:right w:val="single" w:sz="8" w:space="0" w:color="F5C040"/>
        </w:tcBorders>
      </w:tcPr>
    </w:tblStylePr>
    <w:tblStylePr w:type="band1Vert">
      <w:tblPr/>
      <w:tcPr>
        <w:tcBorders>
          <w:top w:val="single" w:sz="8" w:space="0" w:color="F5C040"/>
          <w:left w:val="single" w:sz="8" w:space="0" w:color="F5C040"/>
          <w:bottom w:val="single" w:sz="8" w:space="0" w:color="F5C040"/>
          <w:right w:val="single" w:sz="8" w:space="0" w:color="F5C040"/>
        </w:tcBorders>
        <w:shd w:val="clear" w:color="auto" w:fill="FCEFCF"/>
      </w:tcPr>
    </w:tblStylePr>
    <w:tblStylePr w:type="band1Horz">
      <w:tblPr/>
      <w:tcPr>
        <w:tcBorders>
          <w:top w:val="single" w:sz="8" w:space="0" w:color="F5C040"/>
          <w:left w:val="single" w:sz="8" w:space="0" w:color="F5C040"/>
          <w:bottom w:val="single" w:sz="8" w:space="0" w:color="F5C040"/>
          <w:right w:val="single" w:sz="8" w:space="0" w:color="F5C040"/>
          <w:insideV w:val="single" w:sz="8" w:space="0" w:color="F5C040"/>
        </w:tcBorders>
        <w:shd w:val="clear" w:color="auto" w:fill="FCEFCF"/>
      </w:tcPr>
    </w:tblStylePr>
    <w:tblStylePr w:type="band2Horz">
      <w:tblPr/>
      <w:tcPr>
        <w:tcBorders>
          <w:top w:val="single" w:sz="8" w:space="0" w:color="F5C040"/>
          <w:left w:val="single" w:sz="8" w:space="0" w:color="F5C040"/>
          <w:bottom w:val="single" w:sz="8" w:space="0" w:color="F5C040"/>
          <w:right w:val="single" w:sz="8" w:space="0" w:color="F5C040"/>
          <w:insideV w:val="single" w:sz="8" w:space="0" w:color="F5C040"/>
        </w:tcBorders>
      </w:tcPr>
    </w:tblStylePr>
  </w:style>
  <w:style w:type="table" w:customStyle="1" w:styleId="Jasnasiatkaakcent12">
    <w:name w:val="Jasna siatka — akcent 12"/>
    <w:basedOn w:val="Standardowy"/>
    <w:next w:val="Jasnasiatkaakcent1"/>
    <w:uiPriority w:val="62"/>
    <w:rsid w:val="00ED6132"/>
    <w:pPr>
      <w:spacing w:after="0" w:line="240" w:lineRule="auto"/>
    </w:pPr>
    <w:tblPr>
      <w:tblStyleRowBandSize w:val="1"/>
      <w:tblStyleColBandSize w:val="1"/>
      <w:tblBorders>
        <w:top w:val="single" w:sz="8" w:space="0" w:color="31B6FD"/>
        <w:left w:val="single" w:sz="8" w:space="0" w:color="31B6FD"/>
        <w:bottom w:val="single" w:sz="8" w:space="0" w:color="31B6FD"/>
        <w:right w:val="single" w:sz="8" w:space="0" w:color="31B6FD"/>
        <w:insideH w:val="single" w:sz="8" w:space="0" w:color="31B6FD"/>
        <w:insideV w:val="single" w:sz="8" w:space="0" w:color="31B6FD"/>
      </w:tblBorders>
    </w:tblPr>
    <w:tblStylePr w:type="firstRow">
      <w:pPr>
        <w:spacing w:before="0" w:after="0" w:line="240" w:lineRule="auto"/>
      </w:pPr>
      <w:rPr>
        <w:rFonts w:ascii="Cambria" w:eastAsia="Times New Roman" w:hAnsi="Cambria" w:cs="Times New Roman"/>
        <w:b/>
        <w:bCs/>
      </w:rPr>
      <w:tblPr/>
      <w:tcPr>
        <w:tcBorders>
          <w:top w:val="single" w:sz="8" w:space="0" w:color="31B6FD"/>
          <w:left w:val="single" w:sz="8" w:space="0" w:color="31B6FD"/>
          <w:bottom w:val="single" w:sz="18" w:space="0" w:color="31B6FD"/>
          <w:right w:val="single" w:sz="8" w:space="0" w:color="31B6FD"/>
          <w:insideH w:val="nil"/>
          <w:insideV w:val="single" w:sz="8" w:space="0" w:color="31B6FD"/>
        </w:tcBorders>
      </w:tcPr>
    </w:tblStylePr>
    <w:tblStylePr w:type="lastRow">
      <w:pPr>
        <w:spacing w:before="0" w:after="0" w:line="240" w:lineRule="auto"/>
      </w:pPr>
      <w:rPr>
        <w:rFonts w:ascii="Cambria" w:eastAsia="Times New Roman" w:hAnsi="Cambria" w:cs="Times New Roman"/>
        <w:b/>
        <w:bCs/>
      </w:rPr>
      <w:tblPr/>
      <w:tcPr>
        <w:tcBorders>
          <w:top w:val="double" w:sz="6" w:space="0" w:color="31B6FD"/>
          <w:left w:val="single" w:sz="8" w:space="0" w:color="31B6FD"/>
          <w:bottom w:val="single" w:sz="8" w:space="0" w:color="31B6FD"/>
          <w:right w:val="single" w:sz="8" w:space="0" w:color="31B6FD"/>
          <w:insideH w:val="nil"/>
          <w:insideV w:val="single" w:sz="8" w:space="0" w:color="31B6F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31B6FD"/>
          <w:left w:val="single" w:sz="8" w:space="0" w:color="31B6FD"/>
          <w:bottom w:val="single" w:sz="8" w:space="0" w:color="31B6FD"/>
          <w:right w:val="single" w:sz="8" w:space="0" w:color="31B6FD"/>
        </w:tcBorders>
      </w:tcPr>
    </w:tblStylePr>
    <w:tblStylePr w:type="band1Vert">
      <w:tblPr/>
      <w:tcPr>
        <w:tcBorders>
          <w:top w:val="single" w:sz="8" w:space="0" w:color="31B6FD"/>
          <w:left w:val="single" w:sz="8" w:space="0" w:color="31B6FD"/>
          <w:bottom w:val="single" w:sz="8" w:space="0" w:color="31B6FD"/>
          <w:right w:val="single" w:sz="8" w:space="0" w:color="31B6FD"/>
        </w:tcBorders>
        <w:shd w:val="clear" w:color="auto" w:fill="CBECFE"/>
      </w:tcPr>
    </w:tblStylePr>
    <w:tblStylePr w:type="band1Horz">
      <w:tblPr/>
      <w:tcPr>
        <w:tcBorders>
          <w:top w:val="single" w:sz="8" w:space="0" w:color="31B6FD"/>
          <w:left w:val="single" w:sz="8" w:space="0" w:color="31B6FD"/>
          <w:bottom w:val="single" w:sz="8" w:space="0" w:color="31B6FD"/>
          <w:right w:val="single" w:sz="8" w:space="0" w:color="31B6FD"/>
          <w:insideV w:val="single" w:sz="8" w:space="0" w:color="31B6FD"/>
        </w:tcBorders>
        <w:shd w:val="clear" w:color="auto" w:fill="CBECFE"/>
      </w:tcPr>
    </w:tblStylePr>
    <w:tblStylePr w:type="band2Horz">
      <w:tblPr/>
      <w:tcPr>
        <w:tcBorders>
          <w:top w:val="single" w:sz="8" w:space="0" w:color="31B6FD"/>
          <w:left w:val="single" w:sz="8" w:space="0" w:color="31B6FD"/>
          <w:bottom w:val="single" w:sz="8" w:space="0" w:color="31B6FD"/>
          <w:right w:val="single" w:sz="8" w:space="0" w:color="31B6FD"/>
          <w:insideV w:val="single" w:sz="8" w:space="0" w:color="31B6FD"/>
        </w:tcBorders>
      </w:tcPr>
    </w:tblStylePr>
  </w:style>
  <w:style w:type="paragraph" w:customStyle="1" w:styleId="Cytatintensywny2">
    <w:name w:val="Cytat intensywny2"/>
    <w:basedOn w:val="Normalny"/>
    <w:next w:val="Normalny"/>
    <w:uiPriority w:val="30"/>
    <w:qFormat/>
    <w:rsid w:val="00ED6132"/>
    <w:pPr>
      <w:pBdr>
        <w:bottom w:val="single" w:sz="4" w:space="4" w:color="31B6FD"/>
      </w:pBdr>
      <w:spacing w:before="200" w:after="280"/>
      <w:ind w:left="936" w:right="936"/>
    </w:pPr>
    <w:rPr>
      <w:rFonts w:ascii="Calibri" w:hAnsi="Calibri"/>
      <w:b/>
      <w:bCs/>
      <w:i/>
      <w:iCs/>
      <w:color w:val="31B6FD"/>
    </w:rPr>
  </w:style>
  <w:style w:type="table" w:customStyle="1" w:styleId="Jasnasiatkaakcent22">
    <w:name w:val="Jasna siatka — akcent 22"/>
    <w:basedOn w:val="Standardowy"/>
    <w:next w:val="Jasnasiatkaakcent2"/>
    <w:uiPriority w:val="62"/>
    <w:rsid w:val="00ED6132"/>
    <w:pPr>
      <w:spacing w:after="0" w:line="240" w:lineRule="auto"/>
    </w:pPr>
    <w:tblPr>
      <w:tblStyleRowBandSize w:val="1"/>
      <w:tblStyleColBandSize w:val="1"/>
      <w:tblBorders>
        <w:top w:val="single" w:sz="8" w:space="0" w:color="4584D3"/>
        <w:left w:val="single" w:sz="8" w:space="0" w:color="4584D3"/>
        <w:bottom w:val="single" w:sz="8" w:space="0" w:color="4584D3"/>
        <w:right w:val="single" w:sz="8" w:space="0" w:color="4584D3"/>
        <w:insideH w:val="single" w:sz="8" w:space="0" w:color="4584D3"/>
        <w:insideV w:val="single" w:sz="8" w:space="0" w:color="4584D3"/>
      </w:tblBorders>
    </w:tblPr>
    <w:tblStylePr w:type="firstRow">
      <w:pPr>
        <w:spacing w:before="0" w:after="0" w:line="240" w:lineRule="auto"/>
      </w:pPr>
      <w:rPr>
        <w:rFonts w:ascii="Cambria" w:eastAsia="Times New Roman" w:hAnsi="Cambria" w:cs="Times New Roman"/>
        <w:b/>
        <w:bCs/>
      </w:rPr>
      <w:tblPr/>
      <w:tcPr>
        <w:tcBorders>
          <w:top w:val="single" w:sz="8" w:space="0" w:color="4584D3"/>
          <w:left w:val="single" w:sz="8" w:space="0" w:color="4584D3"/>
          <w:bottom w:val="single" w:sz="18" w:space="0" w:color="4584D3"/>
          <w:right w:val="single" w:sz="8" w:space="0" w:color="4584D3"/>
          <w:insideH w:val="nil"/>
          <w:insideV w:val="single" w:sz="8" w:space="0" w:color="4584D3"/>
        </w:tcBorders>
      </w:tcPr>
    </w:tblStylePr>
    <w:tblStylePr w:type="lastRow">
      <w:pPr>
        <w:spacing w:before="0" w:after="0" w:line="240" w:lineRule="auto"/>
      </w:pPr>
      <w:rPr>
        <w:rFonts w:ascii="Cambria" w:eastAsia="Times New Roman" w:hAnsi="Cambria" w:cs="Times New Roman"/>
        <w:b/>
        <w:bCs/>
      </w:rPr>
      <w:tblPr/>
      <w:tcPr>
        <w:tcBorders>
          <w:top w:val="double" w:sz="6" w:space="0" w:color="4584D3"/>
          <w:left w:val="single" w:sz="8" w:space="0" w:color="4584D3"/>
          <w:bottom w:val="single" w:sz="8" w:space="0" w:color="4584D3"/>
          <w:right w:val="single" w:sz="8" w:space="0" w:color="4584D3"/>
          <w:insideH w:val="nil"/>
          <w:insideV w:val="single" w:sz="8" w:space="0" w:color="4584D3"/>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584D3"/>
          <w:left w:val="single" w:sz="8" w:space="0" w:color="4584D3"/>
          <w:bottom w:val="single" w:sz="8" w:space="0" w:color="4584D3"/>
          <w:right w:val="single" w:sz="8" w:space="0" w:color="4584D3"/>
        </w:tcBorders>
      </w:tcPr>
    </w:tblStylePr>
    <w:tblStylePr w:type="band1Vert">
      <w:tblPr/>
      <w:tcPr>
        <w:tcBorders>
          <w:top w:val="single" w:sz="8" w:space="0" w:color="4584D3"/>
          <w:left w:val="single" w:sz="8" w:space="0" w:color="4584D3"/>
          <w:bottom w:val="single" w:sz="8" w:space="0" w:color="4584D3"/>
          <w:right w:val="single" w:sz="8" w:space="0" w:color="4584D3"/>
        </w:tcBorders>
        <w:shd w:val="clear" w:color="auto" w:fill="D0E0F4"/>
      </w:tcPr>
    </w:tblStylePr>
    <w:tblStylePr w:type="band1Horz">
      <w:tblPr/>
      <w:tcPr>
        <w:tcBorders>
          <w:top w:val="single" w:sz="8" w:space="0" w:color="4584D3"/>
          <w:left w:val="single" w:sz="8" w:space="0" w:color="4584D3"/>
          <w:bottom w:val="single" w:sz="8" w:space="0" w:color="4584D3"/>
          <w:right w:val="single" w:sz="8" w:space="0" w:color="4584D3"/>
          <w:insideV w:val="single" w:sz="8" w:space="0" w:color="4584D3"/>
        </w:tcBorders>
        <w:shd w:val="clear" w:color="auto" w:fill="D0E0F4"/>
      </w:tcPr>
    </w:tblStylePr>
    <w:tblStylePr w:type="band2Horz">
      <w:tblPr/>
      <w:tcPr>
        <w:tcBorders>
          <w:top w:val="single" w:sz="8" w:space="0" w:color="4584D3"/>
          <w:left w:val="single" w:sz="8" w:space="0" w:color="4584D3"/>
          <w:bottom w:val="single" w:sz="8" w:space="0" w:color="4584D3"/>
          <w:right w:val="single" w:sz="8" w:space="0" w:color="4584D3"/>
          <w:insideV w:val="single" w:sz="8" w:space="0" w:color="4584D3"/>
        </w:tcBorders>
      </w:tcPr>
    </w:tblStylePr>
  </w:style>
  <w:style w:type="character" w:customStyle="1" w:styleId="Hipercze2">
    <w:name w:val="Hiperłącze2"/>
    <w:basedOn w:val="Domylnaczcionkaakapitu"/>
    <w:uiPriority w:val="99"/>
    <w:unhideWhenUsed/>
    <w:rsid w:val="00ED6132"/>
    <w:rPr>
      <w:color w:val="0080FF"/>
      <w:u w:val="single"/>
    </w:rPr>
  </w:style>
  <w:style w:type="table" w:customStyle="1" w:styleId="Jasnecieniowanieakcent31">
    <w:name w:val="Jasne cieniowanie — akcent 31"/>
    <w:basedOn w:val="Standardowy"/>
    <w:next w:val="Jasnecieniowanieakcent3"/>
    <w:uiPriority w:val="60"/>
    <w:rsid w:val="00ED6132"/>
    <w:pPr>
      <w:spacing w:after="0" w:line="240" w:lineRule="auto"/>
    </w:pPr>
    <w:rPr>
      <w:color w:val="32AD50"/>
    </w:rPr>
    <w:tblPr>
      <w:tblStyleRowBandSize w:val="1"/>
      <w:tblStyleColBandSize w:val="1"/>
      <w:tblBorders>
        <w:top w:val="single" w:sz="8" w:space="0" w:color="5BD078"/>
        <w:bottom w:val="single" w:sz="8" w:space="0" w:color="5BD078"/>
      </w:tblBorders>
    </w:tblPr>
    <w:tblStylePr w:type="firstRow">
      <w:pPr>
        <w:spacing w:before="0" w:after="0" w:line="240" w:lineRule="auto"/>
      </w:pPr>
      <w:rPr>
        <w:b/>
        <w:bCs/>
      </w:rPr>
      <w:tblPr/>
      <w:tcPr>
        <w:tcBorders>
          <w:top w:val="single" w:sz="8" w:space="0" w:color="5BD078"/>
          <w:left w:val="nil"/>
          <w:bottom w:val="single" w:sz="8" w:space="0" w:color="5BD078"/>
          <w:right w:val="nil"/>
          <w:insideH w:val="nil"/>
          <w:insideV w:val="nil"/>
        </w:tcBorders>
      </w:tcPr>
    </w:tblStylePr>
    <w:tblStylePr w:type="lastRow">
      <w:pPr>
        <w:spacing w:before="0" w:after="0" w:line="240" w:lineRule="auto"/>
      </w:pPr>
      <w:rPr>
        <w:b/>
        <w:bCs/>
      </w:rPr>
      <w:tblPr/>
      <w:tcPr>
        <w:tcBorders>
          <w:top w:val="single" w:sz="8" w:space="0" w:color="5BD078"/>
          <w:left w:val="nil"/>
          <w:bottom w:val="single" w:sz="8" w:space="0" w:color="5BD07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F3DD"/>
      </w:tcPr>
    </w:tblStylePr>
    <w:tblStylePr w:type="band1Horz">
      <w:tblPr/>
      <w:tcPr>
        <w:tcBorders>
          <w:left w:val="nil"/>
          <w:right w:val="nil"/>
          <w:insideH w:val="nil"/>
          <w:insideV w:val="nil"/>
        </w:tcBorders>
        <w:shd w:val="clear" w:color="auto" w:fill="D6F3DD"/>
      </w:tcPr>
    </w:tblStylePr>
  </w:style>
  <w:style w:type="table" w:customStyle="1" w:styleId="Jasnasiatkaakcent31">
    <w:name w:val="Jasna siatka — akcent 31"/>
    <w:basedOn w:val="Standardowy"/>
    <w:next w:val="Jasnasiatkaakcent3"/>
    <w:uiPriority w:val="62"/>
    <w:rsid w:val="00ED6132"/>
    <w:pPr>
      <w:spacing w:after="0" w:line="240" w:lineRule="auto"/>
    </w:pPr>
    <w:tblPr>
      <w:tblStyleRowBandSize w:val="1"/>
      <w:tblStyleColBandSize w:val="1"/>
      <w:tblBorders>
        <w:top w:val="single" w:sz="8" w:space="0" w:color="5BD078"/>
        <w:left w:val="single" w:sz="8" w:space="0" w:color="5BD078"/>
        <w:bottom w:val="single" w:sz="8" w:space="0" w:color="5BD078"/>
        <w:right w:val="single" w:sz="8" w:space="0" w:color="5BD078"/>
        <w:insideH w:val="single" w:sz="8" w:space="0" w:color="5BD078"/>
        <w:insideV w:val="single" w:sz="8" w:space="0" w:color="5BD078"/>
      </w:tblBorders>
    </w:tblPr>
    <w:tblStylePr w:type="firstRow">
      <w:pPr>
        <w:spacing w:before="0" w:after="0" w:line="240" w:lineRule="auto"/>
      </w:pPr>
      <w:rPr>
        <w:rFonts w:ascii="Cambria" w:eastAsia="Times New Roman" w:hAnsi="Cambria" w:cs="Times New Roman"/>
        <w:b/>
        <w:bCs/>
      </w:rPr>
      <w:tblPr/>
      <w:tcPr>
        <w:tcBorders>
          <w:top w:val="single" w:sz="8" w:space="0" w:color="5BD078"/>
          <w:left w:val="single" w:sz="8" w:space="0" w:color="5BD078"/>
          <w:bottom w:val="single" w:sz="18" w:space="0" w:color="5BD078"/>
          <w:right w:val="single" w:sz="8" w:space="0" w:color="5BD078"/>
          <w:insideH w:val="nil"/>
          <w:insideV w:val="single" w:sz="8" w:space="0" w:color="5BD078"/>
        </w:tcBorders>
      </w:tcPr>
    </w:tblStylePr>
    <w:tblStylePr w:type="lastRow">
      <w:pPr>
        <w:spacing w:before="0" w:after="0" w:line="240" w:lineRule="auto"/>
      </w:pPr>
      <w:rPr>
        <w:rFonts w:ascii="Cambria" w:eastAsia="Times New Roman" w:hAnsi="Cambria" w:cs="Times New Roman"/>
        <w:b/>
        <w:bCs/>
      </w:rPr>
      <w:tblPr/>
      <w:tcPr>
        <w:tcBorders>
          <w:top w:val="double" w:sz="6" w:space="0" w:color="5BD078"/>
          <w:left w:val="single" w:sz="8" w:space="0" w:color="5BD078"/>
          <w:bottom w:val="single" w:sz="8" w:space="0" w:color="5BD078"/>
          <w:right w:val="single" w:sz="8" w:space="0" w:color="5BD078"/>
          <w:insideH w:val="nil"/>
          <w:insideV w:val="single" w:sz="8" w:space="0" w:color="5BD078"/>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BD078"/>
          <w:left w:val="single" w:sz="8" w:space="0" w:color="5BD078"/>
          <w:bottom w:val="single" w:sz="8" w:space="0" w:color="5BD078"/>
          <w:right w:val="single" w:sz="8" w:space="0" w:color="5BD078"/>
        </w:tcBorders>
      </w:tcPr>
    </w:tblStylePr>
    <w:tblStylePr w:type="band1Vert">
      <w:tblPr/>
      <w:tcPr>
        <w:tcBorders>
          <w:top w:val="single" w:sz="8" w:space="0" w:color="5BD078"/>
          <w:left w:val="single" w:sz="8" w:space="0" w:color="5BD078"/>
          <w:bottom w:val="single" w:sz="8" w:space="0" w:color="5BD078"/>
          <w:right w:val="single" w:sz="8" w:space="0" w:color="5BD078"/>
        </w:tcBorders>
        <w:shd w:val="clear" w:color="auto" w:fill="D6F3DD"/>
      </w:tcPr>
    </w:tblStylePr>
    <w:tblStylePr w:type="band1Horz">
      <w:tblPr/>
      <w:tcPr>
        <w:tcBorders>
          <w:top w:val="single" w:sz="8" w:space="0" w:color="5BD078"/>
          <w:left w:val="single" w:sz="8" w:space="0" w:color="5BD078"/>
          <w:bottom w:val="single" w:sz="8" w:space="0" w:color="5BD078"/>
          <w:right w:val="single" w:sz="8" w:space="0" w:color="5BD078"/>
          <w:insideV w:val="single" w:sz="8" w:space="0" w:color="5BD078"/>
        </w:tcBorders>
        <w:shd w:val="clear" w:color="auto" w:fill="D6F3DD"/>
      </w:tcPr>
    </w:tblStylePr>
    <w:tblStylePr w:type="band2Horz">
      <w:tblPr/>
      <w:tcPr>
        <w:tcBorders>
          <w:top w:val="single" w:sz="8" w:space="0" w:color="5BD078"/>
          <w:left w:val="single" w:sz="8" w:space="0" w:color="5BD078"/>
          <w:bottom w:val="single" w:sz="8" w:space="0" w:color="5BD078"/>
          <w:right w:val="single" w:sz="8" w:space="0" w:color="5BD078"/>
          <w:insideV w:val="single" w:sz="8" w:space="0" w:color="5BD078"/>
        </w:tcBorders>
      </w:tcPr>
    </w:tblStylePr>
  </w:style>
  <w:style w:type="paragraph" w:customStyle="1" w:styleId="Nagwekspisutreci1">
    <w:name w:val="Nagłówek spisu treści1"/>
    <w:basedOn w:val="Nagwek1"/>
    <w:next w:val="Normalny"/>
    <w:uiPriority w:val="39"/>
    <w:semiHidden/>
    <w:unhideWhenUsed/>
    <w:qFormat/>
    <w:rsid w:val="00ED6132"/>
    <w:pPr>
      <w:ind w:firstLine="0"/>
      <w:jc w:val="left"/>
      <w:outlineLvl w:val="9"/>
    </w:pPr>
    <w:rPr>
      <w:rFonts w:ascii="Cambria" w:hAnsi="Cambria"/>
      <w:sz w:val="28"/>
      <w:lang w:eastAsia="pl-PL"/>
    </w:rPr>
  </w:style>
  <w:style w:type="character" w:customStyle="1" w:styleId="Wyrnienieintensywne1">
    <w:name w:val="Wyróżnienie intensywne1"/>
    <w:basedOn w:val="Domylnaczcionkaakapitu"/>
    <w:uiPriority w:val="21"/>
    <w:qFormat/>
    <w:rsid w:val="00ED6132"/>
    <w:rPr>
      <w:b/>
      <w:bCs/>
      <w:i/>
      <w:iCs/>
      <w:color w:val="31B6FD"/>
    </w:rPr>
  </w:style>
  <w:style w:type="paragraph" w:customStyle="1" w:styleId="Bezodstpw1">
    <w:name w:val="Bez odstępów1"/>
    <w:basedOn w:val="Normalny"/>
    <w:next w:val="Bezodstpw"/>
    <w:uiPriority w:val="1"/>
    <w:qFormat/>
    <w:rsid w:val="00ED6132"/>
    <w:pPr>
      <w:spacing w:before="0" w:after="0" w:line="240" w:lineRule="auto"/>
      <w:ind w:firstLine="0"/>
    </w:pPr>
    <w:rPr>
      <w:rFonts w:eastAsia="Times New Roman"/>
      <w:color w:val="000000"/>
      <w:sz w:val="20"/>
      <w:szCs w:val="20"/>
      <w:lang w:eastAsia="ja-JP"/>
    </w:rPr>
  </w:style>
  <w:style w:type="character" w:customStyle="1" w:styleId="TytuZnak2">
    <w:name w:val="Tytuł Znak2"/>
    <w:basedOn w:val="Domylnaczcionkaakapitu"/>
    <w:uiPriority w:val="10"/>
    <w:rsid w:val="00ED6132"/>
    <w:rPr>
      <w:rFonts w:ascii="Cambria" w:eastAsia="Times New Roman" w:hAnsi="Cambria" w:cs="Times New Roman"/>
      <w:color w:val="17365D"/>
      <w:spacing w:val="5"/>
      <w:kern w:val="28"/>
      <w:sz w:val="52"/>
      <w:szCs w:val="52"/>
    </w:rPr>
  </w:style>
  <w:style w:type="table" w:customStyle="1" w:styleId="Jasnasiatkaakcent53">
    <w:name w:val="Jasna siatka — akcent 53"/>
    <w:basedOn w:val="Standardowy"/>
    <w:next w:val="Jasnasiatkaakcent5"/>
    <w:uiPriority w:val="62"/>
    <w:rsid w:val="00ED6132"/>
    <w:pPr>
      <w:spacing w:after="0" w:line="240" w:lineRule="auto"/>
    </w:p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Jasnasiatkaakcent13">
    <w:name w:val="Jasna siatka — akcent 13"/>
    <w:basedOn w:val="Standardowy"/>
    <w:next w:val="Jasnasiatkaakcent1"/>
    <w:uiPriority w:val="62"/>
    <w:rsid w:val="00ED6132"/>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CytatintensywnyZnak2">
    <w:name w:val="Cytat intensywny Znak2"/>
    <w:basedOn w:val="Domylnaczcionkaakapitu"/>
    <w:uiPriority w:val="30"/>
    <w:rsid w:val="00ED6132"/>
    <w:rPr>
      <w:b/>
      <w:bCs/>
      <w:i/>
      <w:iCs/>
      <w:color w:val="4F81BD"/>
    </w:rPr>
  </w:style>
  <w:style w:type="table" w:customStyle="1" w:styleId="Jasnasiatkaakcent23">
    <w:name w:val="Jasna siatka — akcent 23"/>
    <w:basedOn w:val="Standardowy"/>
    <w:next w:val="Jasnasiatkaakcent2"/>
    <w:uiPriority w:val="62"/>
    <w:rsid w:val="00ED6132"/>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Nagwek4Znak1">
    <w:name w:val="Nagłówek 4 Znak1"/>
    <w:basedOn w:val="Domylnaczcionkaakapitu"/>
    <w:uiPriority w:val="9"/>
    <w:semiHidden/>
    <w:rsid w:val="00ED6132"/>
    <w:rPr>
      <w:rFonts w:ascii="Cambria" w:eastAsia="Times New Roman" w:hAnsi="Cambria" w:cs="Times New Roman"/>
      <w:b/>
      <w:bCs/>
      <w:i/>
      <w:iCs/>
      <w:color w:val="4F81BD"/>
    </w:rPr>
  </w:style>
  <w:style w:type="table" w:customStyle="1" w:styleId="Jasnecieniowanieakcent32">
    <w:name w:val="Jasne cieniowanie — akcent 32"/>
    <w:basedOn w:val="Standardowy"/>
    <w:next w:val="Jasnecieniowanieakcent3"/>
    <w:uiPriority w:val="60"/>
    <w:rsid w:val="00ED6132"/>
    <w:pPr>
      <w:spacing w:after="0" w:line="240" w:lineRule="auto"/>
    </w:pPr>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Jasnasiatkaakcent32">
    <w:name w:val="Jasna siatka — akcent 32"/>
    <w:basedOn w:val="Standardowy"/>
    <w:next w:val="Jasnasiatkaakcent3"/>
    <w:uiPriority w:val="62"/>
    <w:rsid w:val="00ED6132"/>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Spisilustracji">
    <w:name w:val="table of figures"/>
    <w:basedOn w:val="Normalny"/>
    <w:next w:val="Normalny"/>
    <w:uiPriority w:val="99"/>
    <w:unhideWhenUsed/>
    <w:rsid w:val="00577C1C"/>
    <w:pPr>
      <w:spacing w:after="0"/>
    </w:pPr>
  </w:style>
  <w:style w:type="paragraph" w:styleId="NormalnyWeb">
    <w:name w:val="Normal (Web)"/>
    <w:basedOn w:val="Normalny"/>
    <w:uiPriority w:val="99"/>
    <w:semiHidden/>
    <w:unhideWhenUsed/>
    <w:rsid w:val="00771D22"/>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qFormat="1"/>
    <w:lsdException w:name="caption" w:uiPriority="35" w:qFormat="1"/>
    <w:lsdException w:name="footnote reference" w:uiPriority="0"/>
    <w:lsdException w:name="annotation reference"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73D3F"/>
    <w:pPr>
      <w:spacing w:before="120"/>
      <w:ind w:firstLine="510"/>
      <w:jc w:val="both"/>
    </w:pPr>
  </w:style>
  <w:style w:type="paragraph" w:styleId="Nagwek1">
    <w:name w:val="heading 1"/>
    <w:basedOn w:val="Normalny"/>
    <w:next w:val="Normalny"/>
    <w:link w:val="Nagwek1Znak"/>
    <w:uiPriority w:val="9"/>
    <w:qFormat/>
    <w:rsid w:val="00E320BC"/>
    <w:pPr>
      <w:keepNext/>
      <w:keepLines/>
      <w:spacing w:before="480" w:after="0"/>
      <w:outlineLvl w:val="0"/>
    </w:pPr>
    <w:rPr>
      <w:rFonts w:ascii="Candara" w:eastAsia="Times New Roman" w:hAnsi="Candara" w:cs="Times New Roman"/>
      <w:b/>
      <w:bCs/>
      <w:color w:val="0292DF"/>
      <w:sz w:val="32"/>
      <w:szCs w:val="28"/>
    </w:rPr>
  </w:style>
  <w:style w:type="paragraph" w:styleId="Nagwek2">
    <w:name w:val="heading 2"/>
    <w:basedOn w:val="Normalny"/>
    <w:next w:val="Normalny"/>
    <w:link w:val="Nagwek2Znak"/>
    <w:uiPriority w:val="9"/>
    <w:unhideWhenUsed/>
    <w:qFormat/>
    <w:rsid w:val="00E320BC"/>
    <w:pPr>
      <w:keepNext/>
      <w:keepLines/>
      <w:spacing w:before="200" w:after="0"/>
      <w:outlineLvl w:val="1"/>
    </w:pPr>
    <w:rPr>
      <w:rFonts w:ascii="Candara" w:eastAsia="Times New Roman" w:hAnsi="Candara" w:cs="Times New Roman"/>
      <w:b/>
      <w:bCs/>
      <w:color w:val="31B6FD"/>
      <w:sz w:val="26"/>
      <w:szCs w:val="26"/>
    </w:rPr>
  </w:style>
  <w:style w:type="paragraph" w:styleId="Nagwek3">
    <w:name w:val="heading 3"/>
    <w:basedOn w:val="Normalny"/>
    <w:next w:val="Normalny"/>
    <w:link w:val="Nagwek3Znak"/>
    <w:uiPriority w:val="9"/>
    <w:semiHidden/>
    <w:unhideWhenUsed/>
    <w:qFormat/>
    <w:rsid w:val="00E320BC"/>
    <w:pPr>
      <w:keepNext/>
      <w:keepLines/>
      <w:spacing w:before="200" w:after="0"/>
      <w:outlineLvl w:val="2"/>
    </w:pPr>
    <w:rPr>
      <w:rFonts w:ascii="Candara" w:eastAsia="Times New Roman" w:hAnsi="Candara" w:cs="Times New Roman"/>
      <w:b/>
      <w:bCs/>
      <w:color w:val="31B6FD"/>
    </w:rPr>
  </w:style>
  <w:style w:type="paragraph" w:styleId="Nagwek4">
    <w:name w:val="heading 4"/>
    <w:basedOn w:val="Normalny"/>
    <w:next w:val="Normalny"/>
    <w:link w:val="Nagwek4Znak"/>
    <w:uiPriority w:val="9"/>
    <w:semiHidden/>
    <w:unhideWhenUsed/>
    <w:qFormat/>
    <w:rsid w:val="00884604"/>
    <w:pPr>
      <w:keepNext/>
      <w:keepLines/>
      <w:spacing w:before="200" w:after="0"/>
      <w:outlineLvl w:val="3"/>
    </w:pPr>
    <w:rPr>
      <w:rFonts w:asciiTheme="majorHAnsi" w:eastAsiaTheme="majorEastAsia" w:hAnsiTheme="majorHAnsi" w:cstheme="majorBidi"/>
      <w:b/>
      <w:bCs/>
      <w:i/>
      <w:iCs/>
      <w:color w:val="31B6F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E320BC"/>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320BC"/>
    <w:rPr>
      <w:rFonts w:ascii="Tahoma" w:hAnsi="Tahoma" w:cs="Tahoma"/>
      <w:sz w:val="16"/>
      <w:szCs w:val="16"/>
    </w:rPr>
  </w:style>
  <w:style w:type="paragraph" w:styleId="Tekstprzypisudolnego">
    <w:name w:val="footnote text"/>
    <w:aliases w:val="Tekst przypisu,Podrozdział,Footnote,Podrozdzia3"/>
    <w:basedOn w:val="Normalny"/>
    <w:link w:val="TekstprzypisudolnegoZnak"/>
    <w:unhideWhenUsed/>
    <w:rsid w:val="00E320BC"/>
    <w:pPr>
      <w:spacing w:after="0" w:line="240" w:lineRule="auto"/>
    </w:pPr>
    <w:rPr>
      <w:sz w:val="20"/>
      <w:szCs w:val="20"/>
    </w:rPr>
  </w:style>
  <w:style w:type="character" w:customStyle="1" w:styleId="TekstprzypisudolnegoZnak">
    <w:name w:val="Tekst przypisu dolnego Znak"/>
    <w:aliases w:val="Tekst przypisu Znak,Podrozdział Znak,Footnote Znak,Podrozdzia3 Znak"/>
    <w:basedOn w:val="Domylnaczcionkaakapitu"/>
    <w:link w:val="Tekstprzypisudolnego"/>
    <w:qFormat/>
    <w:rsid w:val="00E320BC"/>
    <w:rPr>
      <w:sz w:val="20"/>
      <w:szCs w:val="20"/>
    </w:rPr>
  </w:style>
  <w:style w:type="paragraph" w:styleId="Legenda">
    <w:name w:val="caption"/>
    <w:basedOn w:val="Normalny"/>
    <w:next w:val="Normalny"/>
    <w:uiPriority w:val="35"/>
    <w:unhideWhenUsed/>
    <w:qFormat/>
    <w:rsid w:val="003E7C8A"/>
    <w:pPr>
      <w:spacing w:line="240" w:lineRule="auto"/>
    </w:pPr>
    <w:rPr>
      <w:b/>
      <w:bCs/>
      <w:color w:val="00B0F0"/>
      <w:sz w:val="18"/>
      <w:szCs w:val="18"/>
    </w:rPr>
  </w:style>
  <w:style w:type="paragraph" w:customStyle="1" w:styleId="Nagwek11">
    <w:name w:val="Nagłówek 11"/>
    <w:basedOn w:val="Normalny"/>
    <w:next w:val="Normalny"/>
    <w:uiPriority w:val="9"/>
    <w:qFormat/>
    <w:rsid w:val="00E320BC"/>
    <w:pPr>
      <w:keepNext/>
      <w:keepLines/>
      <w:numPr>
        <w:numId w:val="55"/>
      </w:numPr>
      <w:spacing w:before="480" w:after="0"/>
      <w:outlineLvl w:val="0"/>
    </w:pPr>
    <w:rPr>
      <w:rFonts w:ascii="Candara" w:eastAsia="Times New Roman" w:hAnsi="Candara" w:cs="Times New Roman"/>
      <w:b/>
      <w:bCs/>
      <w:color w:val="0292DF"/>
      <w:sz w:val="32"/>
      <w:szCs w:val="28"/>
    </w:rPr>
  </w:style>
  <w:style w:type="character" w:styleId="Odwoanieprzypisudolnego">
    <w:name w:val="footnote reference"/>
    <w:aliases w:val="Footnote Reference Number,Znak Znak1, Znak Znak1"/>
    <w:basedOn w:val="Domylnaczcionkaakapitu"/>
    <w:unhideWhenUsed/>
    <w:rsid w:val="00E320BC"/>
    <w:rPr>
      <w:vertAlign w:val="superscript"/>
    </w:rPr>
  </w:style>
  <w:style w:type="paragraph" w:customStyle="1" w:styleId="Nagwek12">
    <w:name w:val="Nagłówek 12"/>
    <w:basedOn w:val="Normalny"/>
    <w:next w:val="Normalny"/>
    <w:uiPriority w:val="9"/>
    <w:qFormat/>
    <w:rsid w:val="00843AE8"/>
    <w:pPr>
      <w:keepNext/>
      <w:keepLines/>
      <w:spacing w:before="480" w:after="0"/>
      <w:ind w:left="720" w:hanging="360"/>
      <w:outlineLvl w:val="0"/>
    </w:pPr>
    <w:rPr>
      <w:rFonts w:ascii="Candara" w:eastAsia="Times New Roman" w:hAnsi="Candara" w:cs="Times New Roman"/>
      <w:b/>
      <w:bCs/>
      <w:color w:val="984806"/>
      <w:sz w:val="28"/>
      <w:szCs w:val="28"/>
    </w:rPr>
  </w:style>
  <w:style w:type="paragraph" w:customStyle="1" w:styleId="Nagwek21">
    <w:name w:val="Nagłówek 21"/>
    <w:basedOn w:val="Normalny"/>
    <w:next w:val="Normalny"/>
    <w:uiPriority w:val="9"/>
    <w:unhideWhenUsed/>
    <w:qFormat/>
    <w:rsid w:val="00E320BC"/>
    <w:pPr>
      <w:keepNext/>
      <w:keepLines/>
      <w:numPr>
        <w:numId w:val="6"/>
      </w:numPr>
      <w:spacing w:before="200" w:after="0"/>
      <w:outlineLvl w:val="1"/>
    </w:pPr>
    <w:rPr>
      <w:rFonts w:ascii="Candara" w:eastAsia="Times New Roman" w:hAnsi="Candara" w:cs="Times New Roman"/>
      <w:b/>
      <w:bCs/>
      <w:color w:val="31B6FD"/>
      <w:sz w:val="26"/>
      <w:szCs w:val="26"/>
    </w:rPr>
  </w:style>
  <w:style w:type="paragraph" w:customStyle="1" w:styleId="Nagwek31">
    <w:name w:val="Nagłówek 31"/>
    <w:basedOn w:val="Normalny"/>
    <w:next w:val="Normalny"/>
    <w:uiPriority w:val="9"/>
    <w:unhideWhenUsed/>
    <w:qFormat/>
    <w:rsid w:val="00E320BC"/>
    <w:pPr>
      <w:keepNext/>
      <w:keepLines/>
      <w:spacing w:before="200" w:after="0"/>
      <w:ind w:firstLine="357"/>
      <w:outlineLvl w:val="2"/>
    </w:pPr>
    <w:rPr>
      <w:rFonts w:ascii="Candara" w:eastAsia="Times New Roman" w:hAnsi="Candara" w:cs="Times New Roman"/>
      <w:b/>
      <w:bCs/>
      <w:color w:val="31B6FD"/>
    </w:rPr>
  </w:style>
  <w:style w:type="numbering" w:customStyle="1" w:styleId="Bezlisty1">
    <w:name w:val="Bez listy1"/>
    <w:next w:val="Bezlisty"/>
    <w:uiPriority w:val="99"/>
    <w:semiHidden/>
    <w:unhideWhenUsed/>
    <w:rsid w:val="00E320BC"/>
  </w:style>
  <w:style w:type="character" w:styleId="Odwoaniedokomentarza">
    <w:name w:val="annotation reference"/>
    <w:basedOn w:val="Domylnaczcionkaakapitu"/>
    <w:uiPriority w:val="99"/>
    <w:semiHidden/>
    <w:unhideWhenUsed/>
    <w:qFormat/>
    <w:rsid w:val="00E320BC"/>
    <w:rPr>
      <w:sz w:val="16"/>
      <w:szCs w:val="16"/>
    </w:rPr>
  </w:style>
  <w:style w:type="paragraph" w:customStyle="1" w:styleId="Tekstkomentarza1">
    <w:name w:val="Tekst komentarza1"/>
    <w:basedOn w:val="Normalny"/>
    <w:next w:val="Tekstkomentarza"/>
    <w:link w:val="TekstkomentarzaZnak"/>
    <w:uiPriority w:val="99"/>
    <w:unhideWhenUsed/>
    <w:rsid w:val="00E320BC"/>
    <w:pPr>
      <w:spacing w:after="0" w:line="240" w:lineRule="auto"/>
      <w:ind w:firstLine="357"/>
    </w:pPr>
    <w:rPr>
      <w:rFonts w:ascii="Calibri" w:hAnsi="Calibri"/>
      <w:sz w:val="20"/>
      <w:szCs w:val="20"/>
    </w:rPr>
  </w:style>
  <w:style w:type="character" w:customStyle="1" w:styleId="TekstkomentarzaZnak">
    <w:name w:val="Tekst komentarza Znak"/>
    <w:basedOn w:val="Domylnaczcionkaakapitu"/>
    <w:link w:val="Tekstkomentarza1"/>
    <w:uiPriority w:val="99"/>
    <w:rsid w:val="00E320BC"/>
    <w:rPr>
      <w:rFonts w:ascii="Calibri" w:hAnsi="Calibri"/>
      <w:sz w:val="20"/>
      <w:szCs w:val="20"/>
    </w:rPr>
  </w:style>
  <w:style w:type="paragraph" w:styleId="Tekstkomentarza">
    <w:name w:val="annotation text"/>
    <w:basedOn w:val="Normalny"/>
    <w:link w:val="TekstkomentarzaZnak1"/>
    <w:uiPriority w:val="99"/>
    <w:unhideWhenUsed/>
    <w:qFormat/>
    <w:rsid w:val="00E320BC"/>
    <w:pPr>
      <w:spacing w:after="0" w:line="240" w:lineRule="auto"/>
      <w:ind w:firstLine="357"/>
    </w:pPr>
    <w:rPr>
      <w:rFonts w:ascii="Calibri" w:hAnsi="Calibri"/>
      <w:sz w:val="20"/>
      <w:szCs w:val="20"/>
    </w:rPr>
  </w:style>
  <w:style w:type="character" w:customStyle="1" w:styleId="TekstkomentarzaZnak1">
    <w:name w:val="Tekst komentarza Znak1"/>
    <w:basedOn w:val="Domylnaczcionkaakapitu"/>
    <w:link w:val="Tekstkomentarza"/>
    <w:uiPriority w:val="99"/>
    <w:qFormat/>
    <w:rsid w:val="00E320BC"/>
    <w:rPr>
      <w:rFonts w:ascii="Calibri" w:hAnsi="Calibri"/>
      <w:sz w:val="20"/>
      <w:szCs w:val="20"/>
    </w:rPr>
  </w:style>
  <w:style w:type="character" w:customStyle="1" w:styleId="Nagwek1Znak">
    <w:name w:val="Nagłówek 1 Znak"/>
    <w:basedOn w:val="Domylnaczcionkaakapitu"/>
    <w:link w:val="Nagwek1"/>
    <w:uiPriority w:val="9"/>
    <w:rsid w:val="00E320BC"/>
    <w:rPr>
      <w:rFonts w:ascii="Candara" w:eastAsia="Times New Roman" w:hAnsi="Candara" w:cs="Times New Roman"/>
      <w:b/>
      <w:bCs/>
      <w:color w:val="0292DF"/>
      <w:sz w:val="32"/>
      <w:szCs w:val="28"/>
    </w:rPr>
  </w:style>
  <w:style w:type="paragraph" w:styleId="Akapitzlist">
    <w:name w:val="List Paragraph"/>
    <w:aliases w:val="L1,Numerowanie,List Paragraph,Akapit normalny,Lista XXX,Akapit z listą5,T_SZ_List Paragraph,normalny tekst,Akapit z listą BS,Kolorowa lista — akcent 11"/>
    <w:basedOn w:val="Normalny"/>
    <w:link w:val="AkapitzlistZnak"/>
    <w:uiPriority w:val="34"/>
    <w:qFormat/>
    <w:rsid w:val="00E320BC"/>
    <w:pPr>
      <w:spacing w:after="0"/>
      <w:ind w:left="720" w:firstLine="357"/>
      <w:contextualSpacing/>
    </w:pPr>
    <w:rPr>
      <w:rFonts w:ascii="Calibri" w:hAnsi="Calibri"/>
    </w:rPr>
  </w:style>
  <w:style w:type="character" w:styleId="Pogrubienie">
    <w:name w:val="Strong"/>
    <w:basedOn w:val="Domylnaczcionkaakapitu"/>
    <w:uiPriority w:val="22"/>
    <w:qFormat/>
    <w:rsid w:val="00E320BC"/>
    <w:rPr>
      <w:b/>
      <w:bCs/>
    </w:rPr>
  </w:style>
  <w:style w:type="paragraph" w:customStyle="1" w:styleId="Default">
    <w:name w:val="Default"/>
    <w:rsid w:val="00E320BC"/>
    <w:pPr>
      <w:autoSpaceDE w:val="0"/>
      <w:autoSpaceDN w:val="0"/>
      <w:adjustRightInd w:val="0"/>
      <w:spacing w:after="0" w:line="240" w:lineRule="auto"/>
    </w:pPr>
    <w:rPr>
      <w:rFonts w:ascii="Cambria" w:hAnsi="Cambria" w:cs="Cambria"/>
      <w:color w:val="000000"/>
      <w:sz w:val="24"/>
      <w:szCs w:val="24"/>
    </w:rPr>
  </w:style>
  <w:style w:type="character" w:customStyle="1" w:styleId="Nagwek3Znak">
    <w:name w:val="Nagłówek 3 Znak"/>
    <w:basedOn w:val="Domylnaczcionkaakapitu"/>
    <w:link w:val="Nagwek3"/>
    <w:uiPriority w:val="9"/>
    <w:rsid w:val="00E320BC"/>
    <w:rPr>
      <w:rFonts w:ascii="Candara" w:eastAsia="Times New Roman" w:hAnsi="Candara" w:cs="Times New Roman"/>
      <w:b/>
      <w:bCs/>
      <w:color w:val="31B6FD"/>
    </w:rPr>
  </w:style>
  <w:style w:type="character" w:customStyle="1" w:styleId="AkapitzlistZnak">
    <w:name w:val="Akapit z listą Znak"/>
    <w:aliases w:val="L1 Znak,Numerowanie Znak,List Paragraph Znak,Akapit normalny Znak,Lista XXX Znak,Akapit z listą5 Znak,T_SZ_List Paragraph Znak,normalny tekst Znak,Akapit z listą BS Znak,Kolorowa lista — akcent 11 Znak"/>
    <w:basedOn w:val="Domylnaczcionkaakapitu"/>
    <w:link w:val="Akapitzlist"/>
    <w:uiPriority w:val="34"/>
    <w:qFormat/>
    <w:rsid w:val="00E320BC"/>
    <w:rPr>
      <w:rFonts w:ascii="Calibri" w:hAnsi="Calibri"/>
    </w:rPr>
  </w:style>
  <w:style w:type="paragraph" w:styleId="Tematkomentarza">
    <w:name w:val="annotation subject"/>
    <w:basedOn w:val="Tekstkomentarza"/>
    <w:next w:val="Tekstkomentarza"/>
    <w:link w:val="TematkomentarzaZnak"/>
    <w:uiPriority w:val="99"/>
    <w:semiHidden/>
    <w:unhideWhenUsed/>
    <w:rsid w:val="00E320BC"/>
    <w:rPr>
      <w:b/>
      <w:bCs/>
    </w:rPr>
  </w:style>
  <w:style w:type="character" w:customStyle="1" w:styleId="TematkomentarzaZnak">
    <w:name w:val="Temat komentarza Znak"/>
    <w:basedOn w:val="TekstkomentarzaZnak1"/>
    <w:link w:val="Tematkomentarza"/>
    <w:uiPriority w:val="99"/>
    <w:semiHidden/>
    <w:rsid w:val="00E320BC"/>
    <w:rPr>
      <w:rFonts w:ascii="Calibri" w:hAnsi="Calibri"/>
      <w:b/>
      <w:bCs/>
      <w:sz w:val="20"/>
      <w:szCs w:val="20"/>
    </w:rPr>
  </w:style>
  <w:style w:type="character" w:customStyle="1" w:styleId="Nagwek2Znak">
    <w:name w:val="Nagłówek 2 Znak"/>
    <w:basedOn w:val="Domylnaczcionkaakapitu"/>
    <w:link w:val="Nagwek2"/>
    <w:uiPriority w:val="9"/>
    <w:rsid w:val="00E320BC"/>
    <w:rPr>
      <w:rFonts w:ascii="Candara" w:eastAsia="Times New Roman" w:hAnsi="Candara" w:cs="Times New Roman"/>
      <w:b/>
      <w:bCs/>
      <w:color w:val="31B6FD"/>
      <w:sz w:val="26"/>
      <w:szCs w:val="26"/>
    </w:rPr>
  </w:style>
  <w:style w:type="paragraph" w:customStyle="1" w:styleId="Tytu1">
    <w:name w:val="Tytuł1"/>
    <w:basedOn w:val="Normalny"/>
    <w:next w:val="Normalny"/>
    <w:uiPriority w:val="10"/>
    <w:qFormat/>
    <w:rsid w:val="00E320BC"/>
    <w:pPr>
      <w:pBdr>
        <w:bottom w:val="single" w:sz="8" w:space="4" w:color="31B6FD"/>
      </w:pBdr>
      <w:spacing w:after="300" w:line="240" w:lineRule="auto"/>
      <w:ind w:firstLine="357"/>
      <w:contextualSpacing/>
    </w:pPr>
    <w:rPr>
      <w:rFonts w:ascii="Candara" w:eastAsia="Times New Roman" w:hAnsi="Candara" w:cs="Times New Roman"/>
      <w:color w:val="052E65"/>
      <w:spacing w:val="5"/>
      <w:kern w:val="28"/>
      <w:sz w:val="52"/>
      <w:szCs w:val="52"/>
    </w:rPr>
  </w:style>
  <w:style w:type="character" w:customStyle="1" w:styleId="TytuZnak">
    <w:name w:val="Tytuł Znak"/>
    <w:basedOn w:val="Domylnaczcionkaakapitu"/>
    <w:link w:val="Tytu"/>
    <w:uiPriority w:val="10"/>
    <w:rsid w:val="00E320BC"/>
    <w:rPr>
      <w:rFonts w:ascii="Candara" w:eastAsia="Times New Roman" w:hAnsi="Candara" w:cs="Times New Roman"/>
      <w:color w:val="052E65"/>
      <w:spacing w:val="5"/>
      <w:kern w:val="28"/>
      <w:sz w:val="52"/>
      <w:szCs w:val="52"/>
    </w:rPr>
  </w:style>
  <w:style w:type="character" w:customStyle="1" w:styleId="Wyrnieniedelikatne1">
    <w:name w:val="Wyróżnienie delikatne1"/>
    <w:basedOn w:val="Domylnaczcionkaakapitu"/>
    <w:uiPriority w:val="19"/>
    <w:qFormat/>
    <w:rsid w:val="00E320BC"/>
    <w:rPr>
      <w:i/>
      <w:iCs/>
      <w:color w:val="808080"/>
    </w:rPr>
  </w:style>
  <w:style w:type="table" w:customStyle="1" w:styleId="Jasnasiatkaakcent51">
    <w:name w:val="Jasna siatka — akcent 51"/>
    <w:basedOn w:val="Standardowy"/>
    <w:next w:val="Jasnasiatkaakcent5"/>
    <w:uiPriority w:val="62"/>
    <w:rsid w:val="00E320BC"/>
    <w:pPr>
      <w:spacing w:after="0" w:line="240" w:lineRule="auto"/>
    </w:pPr>
    <w:tblPr>
      <w:tblStyleRowBandSize w:val="1"/>
      <w:tblStyleColBandSize w:val="1"/>
      <w:tblBorders>
        <w:top w:val="single" w:sz="8" w:space="0" w:color="F5C040"/>
        <w:left w:val="single" w:sz="8" w:space="0" w:color="F5C040"/>
        <w:bottom w:val="single" w:sz="8" w:space="0" w:color="F5C040"/>
        <w:right w:val="single" w:sz="8" w:space="0" w:color="F5C040"/>
        <w:insideH w:val="single" w:sz="8" w:space="0" w:color="F5C040"/>
        <w:insideV w:val="single" w:sz="8" w:space="0" w:color="F5C040"/>
      </w:tblBorders>
    </w:tblPr>
    <w:tblStylePr w:type="firstRow">
      <w:pPr>
        <w:spacing w:before="0" w:after="0" w:line="240" w:lineRule="auto"/>
      </w:pPr>
      <w:rPr>
        <w:rFonts w:ascii="Candara" w:eastAsia="Times New Roman" w:hAnsi="Candara" w:cs="Times New Roman"/>
        <w:b/>
        <w:bCs/>
      </w:rPr>
      <w:tblPr/>
      <w:tcPr>
        <w:tcBorders>
          <w:top w:val="single" w:sz="8" w:space="0" w:color="F5C040"/>
          <w:left w:val="single" w:sz="8" w:space="0" w:color="F5C040"/>
          <w:bottom w:val="single" w:sz="18" w:space="0" w:color="F5C040"/>
          <w:right w:val="single" w:sz="8" w:space="0" w:color="F5C040"/>
          <w:insideH w:val="nil"/>
          <w:insideV w:val="single" w:sz="8" w:space="0" w:color="F5C040"/>
        </w:tcBorders>
      </w:tcPr>
    </w:tblStylePr>
    <w:tblStylePr w:type="lastRow">
      <w:pPr>
        <w:spacing w:before="0" w:after="0" w:line="240" w:lineRule="auto"/>
      </w:pPr>
      <w:rPr>
        <w:rFonts w:ascii="Candara" w:eastAsia="Times New Roman" w:hAnsi="Candara" w:cs="Times New Roman"/>
        <w:b/>
        <w:bCs/>
      </w:rPr>
      <w:tblPr/>
      <w:tcPr>
        <w:tcBorders>
          <w:top w:val="double" w:sz="6" w:space="0" w:color="F5C040"/>
          <w:left w:val="single" w:sz="8" w:space="0" w:color="F5C040"/>
          <w:bottom w:val="single" w:sz="8" w:space="0" w:color="F5C040"/>
          <w:right w:val="single" w:sz="8" w:space="0" w:color="F5C040"/>
          <w:insideH w:val="nil"/>
          <w:insideV w:val="single" w:sz="8" w:space="0" w:color="F5C040"/>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F5C040"/>
          <w:left w:val="single" w:sz="8" w:space="0" w:color="F5C040"/>
          <w:bottom w:val="single" w:sz="8" w:space="0" w:color="F5C040"/>
          <w:right w:val="single" w:sz="8" w:space="0" w:color="F5C040"/>
        </w:tcBorders>
      </w:tcPr>
    </w:tblStylePr>
    <w:tblStylePr w:type="band1Vert">
      <w:tblPr/>
      <w:tcPr>
        <w:tcBorders>
          <w:top w:val="single" w:sz="8" w:space="0" w:color="F5C040"/>
          <w:left w:val="single" w:sz="8" w:space="0" w:color="F5C040"/>
          <w:bottom w:val="single" w:sz="8" w:space="0" w:color="F5C040"/>
          <w:right w:val="single" w:sz="8" w:space="0" w:color="F5C040"/>
        </w:tcBorders>
        <w:shd w:val="clear" w:color="auto" w:fill="FCEFCF"/>
      </w:tcPr>
    </w:tblStylePr>
    <w:tblStylePr w:type="band1Horz">
      <w:tblPr/>
      <w:tcPr>
        <w:tcBorders>
          <w:top w:val="single" w:sz="8" w:space="0" w:color="F5C040"/>
          <w:left w:val="single" w:sz="8" w:space="0" w:color="F5C040"/>
          <w:bottom w:val="single" w:sz="8" w:space="0" w:color="F5C040"/>
          <w:right w:val="single" w:sz="8" w:space="0" w:color="F5C040"/>
          <w:insideV w:val="single" w:sz="8" w:space="0" w:color="F5C040"/>
        </w:tcBorders>
        <w:shd w:val="clear" w:color="auto" w:fill="FCEFCF"/>
      </w:tcPr>
    </w:tblStylePr>
    <w:tblStylePr w:type="band2Horz">
      <w:tblPr/>
      <w:tcPr>
        <w:tcBorders>
          <w:top w:val="single" w:sz="8" w:space="0" w:color="F5C040"/>
          <w:left w:val="single" w:sz="8" w:space="0" w:color="F5C040"/>
          <w:bottom w:val="single" w:sz="8" w:space="0" w:color="F5C040"/>
          <w:right w:val="single" w:sz="8" w:space="0" w:color="F5C040"/>
          <w:insideV w:val="single" w:sz="8" w:space="0" w:color="F5C040"/>
        </w:tcBorders>
      </w:tcPr>
    </w:tblStylePr>
  </w:style>
  <w:style w:type="table" w:customStyle="1" w:styleId="Jasnasiatkaakcent11">
    <w:name w:val="Jasna siatka — akcent 11"/>
    <w:basedOn w:val="Standardowy"/>
    <w:next w:val="Jasnasiatkaakcent1"/>
    <w:uiPriority w:val="62"/>
    <w:rsid w:val="00E320BC"/>
    <w:pPr>
      <w:spacing w:after="0" w:line="240" w:lineRule="auto"/>
    </w:pPr>
    <w:tblPr>
      <w:tblStyleRowBandSize w:val="1"/>
      <w:tblStyleColBandSize w:val="1"/>
      <w:tblBorders>
        <w:top w:val="single" w:sz="8" w:space="0" w:color="31B6FD"/>
        <w:left w:val="single" w:sz="8" w:space="0" w:color="31B6FD"/>
        <w:bottom w:val="single" w:sz="8" w:space="0" w:color="31B6FD"/>
        <w:right w:val="single" w:sz="8" w:space="0" w:color="31B6FD"/>
        <w:insideH w:val="single" w:sz="8" w:space="0" w:color="31B6FD"/>
        <w:insideV w:val="single" w:sz="8" w:space="0" w:color="31B6FD"/>
      </w:tblBorders>
    </w:tblPr>
    <w:tblStylePr w:type="firstRow">
      <w:pPr>
        <w:spacing w:before="0" w:after="0" w:line="240" w:lineRule="auto"/>
      </w:pPr>
      <w:rPr>
        <w:rFonts w:ascii="Candara" w:eastAsia="Times New Roman" w:hAnsi="Candara" w:cs="Times New Roman"/>
        <w:b/>
        <w:bCs/>
      </w:rPr>
      <w:tblPr/>
      <w:tcPr>
        <w:tcBorders>
          <w:top w:val="single" w:sz="8" w:space="0" w:color="31B6FD"/>
          <w:left w:val="single" w:sz="8" w:space="0" w:color="31B6FD"/>
          <w:bottom w:val="single" w:sz="18" w:space="0" w:color="31B6FD"/>
          <w:right w:val="single" w:sz="8" w:space="0" w:color="31B6FD"/>
          <w:insideH w:val="nil"/>
          <w:insideV w:val="single" w:sz="8" w:space="0" w:color="31B6FD"/>
        </w:tcBorders>
      </w:tcPr>
    </w:tblStylePr>
    <w:tblStylePr w:type="lastRow">
      <w:pPr>
        <w:spacing w:before="0" w:after="0" w:line="240" w:lineRule="auto"/>
      </w:pPr>
      <w:rPr>
        <w:rFonts w:ascii="Candara" w:eastAsia="Times New Roman" w:hAnsi="Candara" w:cs="Times New Roman"/>
        <w:b/>
        <w:bCs/>
      </w:rPr>
      <w:tblPr/>
      <w:tcPr>
        <w:tcBorders>
          <w:top w:val="double" w:sz="6" w:space="0" w:color="31B6FD"/>
          <w:left w:val="single" w:sz="8" w:space="0" w:color="31B6FD"/>
          <w:bottom w:val="single" w:sz="8" w:space="0" w:color="31B6FD"/>
          <w:right w:val="single" w:sz="8" w:space="0" w:color="31B6FD"/>
          <w:insideH w:val="nil"/>
          <w:insideV w:val="single" w:sz="8" w:space="0" w:color="31B6F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31B6FD"/>
          <w:left w:val="single" w:sz="8" w:space="0" w:color="31B6FD"/>
          <w:bottom w:val="single" w:sz="8" w:space="0" w:color="31B6FD"/>
          <w:right w:val="single" w:sz="8" w:space="0" w:color="31B6FD"/>
        </w:tcBorders>
      </w:tcPr>
    </w:tblStylePr>
    <w:tblStylePr w:type="band1Vert">
      <w:tblPr/>
      <w:tcPr>
        <w:tcBorders>
          <w:top w:val="single" w:sz="8" w:space="0" w:color="31B6FD"/>
          <w:left w:val="single" w:sz="8" w:space="0" w:color="31B6FD"/>
          <w:bottom w:val="single" w:sz="8" w:space="0" w:color="31B6FD"/>
          <w:right w:val="single" w:sz="8" w:space="0" w:color="31B6FD"/>
        </w:tcBorders>
        <w:shd w:val="clear" w:color="auto" w:fill="CBECFE"/>
      </w:tcPr>
    </w:tblStylePr>
    <w:tblStylePr w:type="band1Horz">
      <w:tblPr/>
      <w:tcPr>
        <w:tcBorders>
          <w:top w:val="single" w:sz="8" w:space="0" w:color="31B6FD"/>
          <w:left w:val="single" w:sz="8" w:space="0" w:color="31B6FD"/>
          <w:bottom w:val="single" w:sz="8" w:space="0" w:color="31B6FD"/>
          <w:right w:val="single" w:sz="8" w:space="0" w:color="31B6FD"/>
          <w:insideV w:val="single" w:sz="8" w:space="0" w:color="31B6FD"/>
        </w:tcBorders>
        <w:shd w:val="clear" w:color="auto" w:fill="CBECFE"/>
      </w:tcPr>
    </w:tblStylePr>
    <w:tblStylePr w:type="band2Horz">
      <w:tblPr/>
      <w:tcPr>
        <w:tcBorders>
          <w:top w:val="single" w:sz="8" w:space="0" w:color="31B6FD"/>
          <w:left w:val="single" w:sz="8" w:space="0" w:color="31B6FD"/>
          <w:bottom w:val="single" w:sz="8" w:space="0" w:color="31B6FD"/>
          <w:right w:val="single" w:sz="8" w:space="0" w:color="31B6FD"/>
          <w:insideV w:val="single" w:sz="8" w:space="0" w:color="31B6FD"/>
        </w:tcBorders>
      </w:tcPr>
    </w:tblStylePr>
  </w:style>
  <w:style w:type="character" w:styleId="Tytuksiki">
    <w:name w:val="Book Title"/>
    <w:basedOn w:val="Domylnaczcionkaakapitu"/>
    <w:uiPriority w:val="33"/>
    <w:qFormat/>
    <w:rsid w:val="00E320BC"/>
    <w:rPr>
      <w:b/>
      <w:bCs/>
      <w:smallCaps/>
      <w:spacing w:val="5"/>
    </w:rPr>
  </w:style>
  <w:style w:type="paragraph" w:customStyle="1" w:styleId="Cytatintensywny1">
    <w:name w:val="Cytat intensywny1"/>
    <w:basedOn w:val="Normalny"/>
    <w:next w:val="Normalny"/>
    <w:uiPriority w:val="30"/>
    <w:qFormat/>
    <w:rsid w:val="00E320BC"/>
    <w:pPr>
      <w:pBdr>
        <w:bottom w:val="single" w:sz="4" w:space="4" w:color="31B6FD"/>
      </w:pBdr>
      <w:spacing w:before="200" w:after="280"/>
      <w:ind w:left="936" w:right="936" w:firstLine="357"/>
    </w:pPr>
    <w:rPr>
      <w:rFonts w:ascii="Calibri" w:hAnsi="Calibri"/>
      <w:b/>
      <w:bCs/>
      <w:i/>
      <w:iCs/>
      <w:color w:val="31B6FD"/>
    </w:rPr>
  </w:style>
  <w:style w:type="character" w:customStyle="1" w:styleId="CytatintensywnyZnak">
    <w:name w:val="Cytat intensywny Znak"/>
    <w:basedOn w:val="Domylnaczcionkaakapitu"/>
    <w:link w:val="Cytatintensywny"/>
    <w:uiPriority w:val="30"/>
    <w:rsid w:val="003E7C8A"/>
    <w:rPr>
      <w:rFonts w:ascii="Calibri" w:hAnsi="Calibri"/>
      <w:b/>
      <w:bCs/>
      <w:i/>
      <w:iCs/>
      <w:color w:val="31B6FD"/>
    </w:rPr>
  </w:style>
  <w:style w:type="table" w:customStyle="1" w:styleId="Jasnasiatkaakcent21">
    <w:name w:val="Jasna siatka — akcent 21"/>
    <w:basedOn w:val="Standardowy"/>
    <w:next w:val="Jasnasiatkaakcent2"/>
    <w:uiPriority w:val="62"/>
    <w:rsid w:val="00E320BC"/>
    <w:pPr>
      <w:spacing w:after="0" w:line="240" w:lineRule="auto"/>
    </w:pPr>
    <w:tblPr>
      <w:tblStyleRowBandSize w:val="1"/>
      <w:tblStyleColBandSize w:val="1"/>
      <w:tblBorders>
        <w:top w:val="single" w:sz="8" w:space="0" w:color="4584D3"/>
        <w:left w:val="single" w:sz="8" w:space="0" w:color="4584D3"/>
        <w:bottom w:val="single" w:sz="8" w:space="0" w:color="4584D3"/>
        <w:right w:val="single" w:sz="8" w:space="0" w:color="4584D3"/>
        <w:insideH w:val="single" w:sz="8" w:space="0" w:color="4584D3"/>
        <w:insideV w:val="single" w:sz="8" w:space="0" w:color="4584D3"/>
      </w:tblBorders>
    </w:tblPr>
    <w:tblStylePr w:type="firstRow">
      <w:pPr>
        <w:spacing w:before="0" w:after="0" w:line="240" w:lineRule="auto"/>
      </w:pPr>
      <w:rPr>
        <w:rFonts w:ascii="Candara" w:eastAsia="Times New Roman" w:hAnsi="Candara" w:cs="Times New Roman"/>
        <w:b/>
        <w:bCs/>
      </w:rPr>
      <w:tblPr/>
      <w:tcPr>
        <w:tcBorders>
          <w:top w:val="single" w:sz="8" w:space="0" w:color="4584D3"/>
          <w:left w:val="single" w:sz="8" w:space="0" w:color="4584D3"/>
          <w:bottom w:val="single" w:sz="18" w:space="0" w:color="4584D3"/>
          <w:right w:val="single" w:sz="8" w:space="0" w:color="4584D3"/>
          <w:insideH w:val="nil"/>
          <w:insideV w:val="single" w:sz="8" w:space="0" w:color="4584D3"/>
        </w:tcBorders>
      </w:tcPr>
    </w:tblStylePr>
    <w:tblStylePr w:type="lastRow">
      <w:pPr>
        <w:spacing w:before="0" w:after="0" w:line="240" w:lineRule="auto"/>
      </w:pPr>
      <w:rPr>
        <w:rFonts w:ascii="Candara" w:eastAsia="Times New Roman" w:hAnsi="Candara" w:cs="Times New Roman"/>
        <w:b/>
        <w:bCs/>
      </w:rPr>
      <w:tblPr/>
      <w:tcPr>
        <w:tcBorders>
          <w:top w:val="double" w:sz="6" w:space="0" w:color="4584D3"/>
          <w:left w:val="single" w:sz="8" w:space="0" w:color="4584D3"/>
          <w:bottom w:val="single" w:sz="8" w:space="0" w:color="4584D3"/>
          <w:right w:val="single" w:sz="8" w:space="0" w:color="4584D3"/>
          <w:insideH w:val="nil"/>
          <w:insideV w:val="single" w:sz="8" w:space="0" w:color="4584D3"/>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4584D3"/>
          <w:left w:val="single" w:sz="8" w:space="0" w:color="4584D3"/>
          <w:bottom w:val="single" w:sz="8" w:space="0" w:color="4584D3"/>
          <w:right w:val="single" w:sz="8" w:space="0" w:color="4584D3"/>
        </w:tcBorders>
      </w:tcPr>
    </w:tblStylePr>
    <w:tblStylePr w:type="band1Vert">
      <w:tblPr/>
      <w:tcPr>
        <w:tcBorders>
          <w:top w:val="single" w:sz="8" w:space="0" w:color="4584D3"/>
          <w:left w:val="single" w:sz="8" w:space="0" w:color="4584D3"/>
          <w:bottom w:val="single" w:sz="8" w:space="0" w:color="4584D3"/>
          <w:right w:val="single" w:sz="8" w:space="0" w:color="4584D3"/>
        </w:tcBorders>
        <w:shd w:val="clear" w:color="auto" w:fill="D0E0F4"/>
      </w:tcPr>
    </w:tblStylePr>
    <w:tblStylePr w:type="band1Horz">
      <w:tblPr/>
      <w:tcPr>
        <w:tcBorders>
          <w:top w:val="single" w:sz="8" w:space="0" w:color="4584D3"/>
          <w:left w:val="single" w:sz="8" w:space="0" w:color="4584D3"/>
          <w:bottom w:val="single" w:sz="8" w:space="0" w:color="4584D3"/>
          <w:right w:val="single" w:sz="8" w:space="0" w:color="4584D3"/>
          <w:insideV w:val="single" w:sz="8" w:space="0" w:color="4584D3"/>
        </w:tcBorders>
        <w:shd w:val="clear" w:color="auto" w:fill="D0E0F4"/>
      </w:tcPr>
    </w:tblStylePr>
    <w:tblStylePr w:type="band2Horz">
      <w:tblPr/>
      <w:tcPr>
        <w:tcBorders>
          <w:top w:val="single" w:sz="8" w:space="0" w:color="4584D3"/>
          <w:left w:val="single" w:sz="8" w:space="0" w:color="4584D3"/>
          <w:bottom w:val="single" w:sz="8" w:space="0" w:color="4584D3"/>
          <w:right w:val="single" w:sz="8" w:space="0" w:color="4584D3"/>
          <w:insideV w:val="single" w:sz="8" w:space="0" w:color="4584D3"/>
        </w:tcBorders>
      </w:tcPr>
    </w:tblStylePr>
  </w:style>
  <w:style w:type="table" w:styleId="Tabela-Siatka">
    <w:name w:val="Table Grid"/>
    <w:basedOn w:val="Standardowy"/>
    <w:uiPriority w:val="59"/>
    <w:rsid w:val="00E320B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percze1">
    <w:name w:val="Hiperłącze1"/>
    <w:basedOn w:val="Domylnaczcionkaakapitu"/>
    <w:uiPriority w:val="99"/>
    <w:unhideWhenUsed/>
    <w:rsid w:val="00E320BC"/>
    <w:rPr>
      <w:color w:val="0080FF"/>
      <w:u w:val="single"/>
    </w:rPr>
  </w:style>
  <w:style w:type="paragraph" w:styleId="Nagwek">
    <w:name w:val="header"/>
    <w:basedOn w:val="Normalny"/>
    <w:link w:val="NagwekZnak"/>
    <w:uiPriority w:val="99"/>
    <w:unhideWhenUsed/>
    <w:rsid w:val="00E320BC"/>
    <w:pPr>
      <w:tabs>
        <w:tab w:val="center" w:pos="4536"/>
        <w:tab w:val="right" w:pos="9072"/>
      </w:tabs>
      <w:spacing w:after="0" w:line="240" w:lineRule="auto"/>
      <w:ind w:firstLine="357"/>
    </w:pPr>
    <w:rPr>
      <w:rFonts w:ascii="Calibri" w:hAnsi="Calibri"/>
    </w:rPr>
  </w:style>
  <w:style w:type="character" w:customStyle="1" w:styleId="NagwekZnak">
    <w:name w:val="Nagłówek Znak"/>
    <w:basedOn w:val="Domylnaczcionkaakapitu"/>
    <w:link w:val="Nagwek"/>
    <w:uiPriority w:val="99"/>
    <w:rsid w:val="00E320BC"/>
    <w:rPr>
      <w:rFonts w:ascii="Calibri" w:hAnsi="Calibri"/>
    </w:rPr>
  </w:style>
  <w:style w:type="paragraph" w:styleId="Stopka">
    <w:name w:val="footer"/>
    <w:basedOn w:val="Normalny"/>
    <w:link w:val="StopkaZnak"/>
    <w:uiPriority w:val="99"/>
    <w:unhideWhenUsed/>
    <w:rsid w:val="00E320BC"/>
    <w:pPr>
      <w:tabs>
        <w:tab w:val="center" w:pos="4536"/>
        <w:tab w:val="right" w:pos="9072"/>
      </w:tabs>
      <w:spacing w:after="0" w:line="240" w:lineRule="auto"/>
      <w:ind w:firstLine="357"/>
    </w:pPr>
    <w:rPr>
      <w:rFonts w:ascii="Calibri" w:hAnsi="Calibri"/>
    </w:rPr>
  </w:style>
  <w:style w:type="character" w:customStyle="1" w:styleId="StopkaZnak">
    <w:name w:val="Stopka Znak"/>
    <w:basedOn w:val="Domylnaczcionkaakapitu"/>
    <w:link w:val="Stopka"/>
    <w:uiPriority w:val="99"/>
    <w:rsid w:val="00E320BC"/>
    <w:rPr>
      <w:rFonts w:ascii="Calibri" w:hAnsi="Calibri"/>
    </w:rPr>
  </w:style>
  <w:style w:type="character" w:styleId="Tekstzastpczy">
    <w:name w:val="Placeholder Text"/>
    <w:basedOn w:val="Domylnaczcionkaakapitu"/>
    <w:uiPriority w:val="99"/>
    <w:semiHidden/>
    <w:rsid w:val="00E320BC"/>
    <w:rPr>
      <w:color w:val="808080"/>
    </w:rPr>
  </w:style>
  <w:style w:type="character" w:customStyle="1" w:styleId="Nagwek1Znak1">
    <w:name w:val="Nagłówek 1 Znak1"/>
    <w:basedOn w:val="Domylnaczcionkaakapitu"/>
    <w:uiPriority w:val="9"/>
    <w:rsid w:val="00E320BC"/>
    <w:rPr>
      <w:rFonts w:asciiTheme="majorHAnsi" w:eastAsiaTheme="majorEastAsia" w:hAnsiTheme="majorHAnsi" w:cstheme="majorBidi"/>
      <w:b/>
      <w:bCs/>
      <w:color w:val="0292DF" w:themeColor="accent1" w:themeShade="BF"/>
      <w:sz w:val="28"/>
      <w:szCs w:val="28"/>
    </w:rPr>
  </w:style>
  <w:style w:type="character" w:customStyle="1" w:styleId="Nagwek3Znak1">
    <w:name w:val="Nagłówek 3 Znak1"/>
    <w:basedOn w:val="Domylnaczcionkaakapitu"/>
    <w:uiPriority w:val="9"/>
    <w:semiHidden/>
    <w:rsid w:val="00E320BC"/>
    <w:rPr>
      <w:rFonts w:asciiTheme="majorHAnsi" w:eastAsiaTheme="majorEastAsia" w:hAnsiTheme="majorHAnsi" w:cstheme="majorBidi"/>
      <w:b/>
      <w:bCs/>
      <w:color w:val="31B6FD" w:themeColor="accent1"/>
    </w:rPr>
  </w:style>
  <w:style w:type="character" w:customStyle="1" w:styleId="Nagwek2Znak1">
    <w:name w:val="Nagłówek 2 Znak1"/>
    <w:basedOn w:val="Domylnaczcionkaakapitu"/>
    <w:uiPriority w:val="9"/>
    <w:semiHidden/>
    <w:rsid w:val="00E320BC"/>
    <w:rPr>
      <w:rFonts w:asciiTheme="majorHAnsi" w:eastAsiaTheme="majorEastAsia" w:hAnsiTheme="majorHAnsi" w:cstheme="majorBidi"/>
      <w:b/>
      <w:bCs/>
      <w:color w:val="31B6FD" w:themeColor="accent1"/>
      <w:sz w:val="26"/>
      <w:szCs w:val="26"/>
    </w:rPr>
  </w:style>
  <w:style w:type="paragraph" w:styleId="Tytu">
    <w:name w:val="Title"/>
    <w:basedOn w:val="Normalny"/>
    <w:next w:val="Normalny"/>
    <w:link w:val="TytuZnak"/>
    <w:uiPriority w:val="10"/>
    <w:qFormat/>
    <w:rsid w:val="00E320BC"/>
    <w:pPr>
      <w:pBdr>
        <w:bottom w:val="single" w:sz="8" w:space="4" w:color="31B6FD" w:themeColor="accent1"/>
      </w:pBdr>
      <w:spacing w:after="300" w:line="240" w:lineRule="auto"/>
      <w:contextualSpacing/>
    </w:pPr>
    <w:rPr>
      <w:rFonts w:ascii="Candara" w:eastAsia="Times New Roman" w:hAnsi="Candara" w:cs="Times New Roman"/>
      <w:color w:val="052E65"/>
      <w:spacing w:val="5"/>
      <w:kern w:val="28"/>
      <w:sz w:val="52"/>
      <w:szCs w:val="52"/>
    </w:rPr>
  </w:style>
  <w:style w:type="character" w:customStyle="1" w:styleId="TytuZnak1">
    <w:name w:val="Tytuł Znak1"/>
    <w:basedOn w:val="Domylnaczcionkaakapitu"/>
    <w:uiPriority w:val="10"/>
    <w:rsid w:val="00E320BC"/>
    <w:rPr>
      <w:rFonts w:asciiTheme="majorHAnsi" w:eastAsiaTheme="majorEastAsia" w:hAnsiTheme="majorHAnsi" w:cstheme="majorBidi"/>
      <w:color w:val="052E65" w:themeColor="text2" w:themeShade="BF"/>
      <w:spacing w:val="5"/>
      <w:kern w:val="28"/>
      <w:sz w:val="52"/>
      <w:szCs w:val="52"/>
    </w:rPr>
  </w:style>
  <w:style w:type="character" w:styleId="Wyrnieniedelikatne">
    <w:name w:val="Subtle Emphasis"/>
    <w:basedOn w:val="Domylnaczcionkaakapitu"/>
    <w:uiPriority w:val="19"/>
    <w:qFormat/>
    <w:rsid w:val="00E320BC"/>
    <w:rPr>
      <w:i/>
      <w:iCs/>
      <w:color w:val="808080" w:themeColor="text1" w:themeTint="7F"/>
    </w:rPr>
  </w:style>
  <w:style w:type="table" w:styleId="Jasnasiatkaakcent5">
    <w:name w:val="Light Grid Accent 5"/>
    <w:basedOn w:val="Standardowy"/>
    <w:uiPriority w:val="62"/>
    <w:rsid w:val="00E320BC"/>
    <w:pPr>
      <w:spacing w:after="0" w:line="240" w:lineRule="auto"/>
    </w:pPr>
    <w:tblPr>
      <w:tblStyleRowBandSize w:val="1"/>
      <w:tblStyleColBandSize w:val="1"/>
      <w:tblBorders>
        <w:top w:val="single" w:sz="8" w:space="0" w:color="F5C040" w:themeColor="accent5"/>
        <w:left w:val="single" w:sz="8" w:space="0" w:color="F5C040" w:themeColor="accent5"/>
        <w:bottom w:val="single" w:sz="8" w:space="0" w:color="F5C040" w:themeColor="accent5"/>
        <w:right w:val="single" w:sz="8" w:space="0" w:color="F5C040" w:themeColor="accent5"/>
        <w:insideH w:val="single" w:sz="8" w:space="0" w:color="F5C040" w:themeColor="accent5"/>
        <w:insideV w:val="single" w:sz="8" w:space="0" w:color="F5C040"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5C040" w:themeColor="accent5"/>
          <w:left w:val="single" w:sz="8" w:space="0" w:color="F5C040" w:themeColor="accent5"/>
          <w:bottom w:val="single" w:sz="18" w:space="0" w:color="F5C040" w:themeColor="accent5"/>
          <w:right w:val="single" w:sz="8" w:space="0" w:color="F5C040" w:themeColor="accent5"/>
          <w:insideH w:val="nil"/>
          <w:insideV w:val="single" w:sz="8" w:space="0" w:color="F5C040"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5C040" w:themeColor="accent5"/>
          <w:left w:val="single" w:sz="8" w:space="0" w:color="F5C040" w:themeColor="accent5"/>
          <w:bottom w:val="single" w:sz="8" w:space="0" w:color="F5C040" w:themeColor="accent5"/>
          <w:right w:val="single" w:sz="8" w:space="0" w:color="F5C040" w:themeColor="accent5"/>
          <w:insideH w:val="nil"/>
          <w:insideV w:val="single" w:sz="8" w:space="0" w:color="F5C040"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5C040" w:themeColor="accent5"/>
          <w:left w:val="single" w:sz="8" w:space="0" w:color="F5C040" w:themeColor="accent5"/>
          <w:bottom w:val="single" w:sz="8" w:space="0" w:color="F5C040" w:themeColor="accent5"/>
          <w:right w:val="single" w:sz="8" w:space="0" w:color="F5C040" w:themeColor="accent5"/>
        </w:tcBorders>
      </w:tcPr>
    </w:tblStylePr>
    <w:tblStylePr w:type="band1Vert">
      <w:tblPr/>
      <w:tcPr>
        <w:tcBorders>
          <w:top w:val="single" w:sz="8" w:space="0" w:color="F5C040" w:themeColor="accent5"/>
          <w:left w:val="single" w:sz="8" w:space="0" w:color="F5C040" w:themeColor="accent5"/>
          <w:bottom w:val="single" w:sz="8" w:space="0" w:color="F5C040" w:themeColor="accent5"/>
          <w:right w:val="single" w:sz="8" w:space="0" w:color="F5C040" w:themeColor="accent5"/>
        </w:tcBorders>
        <w:shd w:val="clear" w:color="auto" w:fill="FCEFCF" w:themeFill="accent5" w:themeFillTint="3F"/>
      </w:tcPr>
    </w:tblStylePr>
    <w:tblStylePr w:type="band1Horz">
      <w:tblPr/>
      <w:tcPr>
        <w:tcBorders>
          <w:top w:val="single" w:sz="8" w:space="0" w:color="F5C040" w:themeColor="accent5"/>
          <w:left w:val="single" w:sz="8" w:space="0" w:color="F5C040" w:themeColor="accent5"/>
          <w:bottom w:val="single" w:sz="8" w:space="0" w:color="F5C040" w:themeColor="accent5"/>
          <w:right w:val="single" w:sz="8" w:space="0" w:color="F5C040" w:themeColor="accent5"/>
          <w:insideV w:val="single" w:sz="8" w:space="0" w:color="F5C040" w:themeColor="accent5"/>
        </w:tcBorders>
        <w:shd w:val="clear" w:color="auto" w:fill="FCEFCF" w:themeFill="accent5" w:themeFillTint="3F"/>
      </w:tcPr>
    </w:tblStylePr>
    <w:tblStylePr w:type="band2Horz">
      <w:tblPr/>
      <w:tcPr>
        <w:tcBorders>
          <w:top w:val="single" w:sz="8" w:space="0" w:color="F5C040" w:themeColor="accent5"/>
          <w:left w:val="single" w:sz="8" w:space="0" w:color="F5C040" w:themeColor="accent5"/>
          <w:bottom w:val="single" w:sz="8" w:space="0" w:color="F5C040" w:themeColor="accent5"/>
          <w:right w:val="single" w:sz="8" w:space="0" w:color="F5C040" w:themeColor="accent5"/>
          <w:insideV w:val="single" w:sz="8" w:space="0" w:color="F5C040" w:themeColor="accent5"/>
        </w:tcBorders>
      </w:tcPr>
    </w:tblStylePr>
  </w:style>
  <w:style w:type="table" w:styleId="Jasnasiatkaakcent1">
    <w:name w:val="Light Grid Accent 1"/>
    <w:basedOn w:val="Standardowy"/>
    <w:uiPriority w:val="62"/>
    <w:rsid w:val="00E320BC"/>
    <w:pPr>
      <w:spacing w:after="0" w:line="240" w:lineRule="auto"/>
    </w:pPr>
    <w:tblPr>
      <w:tblStyleRowBandSize w:val="1"/>
      <w:tblStyleColBandSize w:val="1"/>
      <w:tblBorders>
        <w:top w:val="single" w:sz="8" w:space="0" w:color="31B6FD" w:themeColor="accent1"/>
        <w:left w:val="single" w:sz="8" w:space="0" w:color="31B6FD" w:themeColor="accent1"/>
        <w:bottom w:val="single" w:sz="8" w:space="0" w:color="31B6FD" w:themeColor="accent1"/>
        <w:right w:val="single" w:sz="8" w:space="0" w:color="31B6FD" w:themeColor="accent1"/>
        <w:insideH w:val="single" w:sz="8" w:space="0" w:color="31B6FD" w:themeColor="accent1"/>
        <w:insideV w:val="single" w:sz="8" w:space="0" w:color="31B6F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31B6FD" w:themeColor="accent1"/>
          <w:left w:val="single" w:sz="8" w:space="0" w:color="31B6FD" w:themeColor="accent1"/>
          <w:bottom w:val="single" w:sz="18" w:space="0" w:color="31B6FD" w:themeColor="accent1"/>
          <w:right w:val="single" w:sz="8" w:space="0" w:color="31B6FD" w:themeColor="accent1"/>
          <w:insideH w:val="nil"/>
          <w:insideV w:val="single" w:sz="8" w:space="0" w:color="31B6F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31B6FD" w:themeColor="accent1"/>
          <w:left w:val="single" w:sz="8" w:space="0" w:color="31B6FD" w:themeColor="accent1"/>
          <w:bottom w:val="single" w:sz="8" w:space="0" w:color="31B6FD" w:themeColor="accent1"/>
          <w:right w:val="single" w:sz="8" w:space="0" w:color="31B6FD" w:themeColor="accent1"/>
          <w:insideH w:val="nil"/>
          <w:insideV w:val="single" w:sz="8" w:space="0" w:color="31B6F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31B6FD" w:themeColor="accent1"/>
          <w:left w:val="single" w:sz="8" w:space="0" w:color="31B6FD" w:themeColor="accent1"/>
          <w:bottom w:val="single" w:sz="8" w:space="0" w:color="31B6FD" w:themeColor="accent1"/>
          <w:right w:val="single" w:sz="8" w:space="0" w:color="31B6FD" w:themeColor="accent1"/>
        </w:tcBorders>
      </w:tcPr>
    </w:tblStylePr>
    <w:tblStylePr w:type="band1Vert">
      <w:tblPr/>
      <w:tcPr>
        <w:tcBorders>
          <w:top w:val="single" w:sz="8" w:space="0" w:color="31B6FD" w:themeColor="accent1"/>
          <w:left w:val="single" w:sz="8" w:space="0" w:color="31B6FD" w:themeColor="accent1"/>
          <w:bottom w:val="single" w:sz="8" w:space="0" w:color="31B6FD" w:themeColor="accent1"/>
          <w:right w:val="single" w:sz="8" w:space="0" w:color="31B6FD" w:themeColor="accent1"/>
        </w:tcBorders>
        <w:shd w:val="clear" w:color="auto" w:fill="CBECFE" w:themeFill="accent1" w:themeFillTint="3F"/>
      </w:tcPr>
    </w:tblStylePr>
    <w:tblStylePr w:type="band1Horz">
      <w:tblPr/>
      <w:tcPr>
        <w:tcBorders>
          <w:top w:val="single" w:sz="8" w:space="0" w:color="31B6FD" w:themeColor="accent1"/>
          <w:left w:val="single" w:sz="8" w:space="0" w:color="31B6FD" w:themeColor="accent1"/>
          <w:bottom w:val="single" w:sz="8" w:space="0" w:color="31B6FD" w:themeColor="accent1"/>
          <w:right w:val="single" w:sz="8" w:space="0" w:color="31B6FD" w:themeColor="accent1"/>
          <w:insideV w:val="single" w:sz="8" w:space="0" w:color="31B6FD" w:themeColor="accent1"/>
        </w:tcBorders>
        <w:shd w:val="clear" w:color="auto" w:fill="CBECFE" w:themeFill="accent1" w:themeFillTint="3F"/>
      </w:tcPr>
    </w:tblStylePr>
    <w:tblStylePr w:type="band2Horz">
      <w:tblPr/>
      <w:tcPr>
        <w:tcBorders>
          <w:top w:val="single" w:sz="8" w:space="0" w:color="31B6FD" w:themeColor="accent1"/>
          <w:left w:val="single" w:sz="8" w:space="0" w:color="31B6FD" w:themeColor="accent1"/>
          <w:bottom w:val="single" w:sz="8" w:space="0" w:color="31B6FD" w:themeColor="accent1"/>
          <w:right w:val="single" w:sz="8" w:space="0" w:color="31B6FD" w:themeColor="accent1"/>
          <w:insideV w:val="single" w:sz="8" w:space="0" w:color="31B6FD" w:themeColor="accent1"/>
        </w:tcBorders>
      </w:tcPr>
    </w:tblStylePr>
  </w:style>
  <w:style w:type="paragraph" w:styleId="Cytatintensywny">
    <w:name w:val="Intense Quote"/>
    <w:basedOn w:val="Normalny"/>
    <w:next w:val="Normalny"/>
    <w:link w:val="CytatintensywnyZnak"/>
    <w:uiPriority w:val="30"/>
    <w:qFormat/>
    <w:rsid w:val="003E7C8A"/>
    <w:pPr>
      <w:pBdr>
        <w:bottom w:val="single" w:sz="4" w:space="4" w:color="31B6FD" w:themeColor="accent1"/>
      </w:pBdr>
      <w:spacing w:before="200" w:after="280"/>
      <w:ind w:left="936" w:right="936"/>
    </w:pPr>
    <w:rPr>
      <w:rFonts w:ascii="Calibri" w:hAnsi="Calibri"/>
      <w:b/>
      <w:bCs/>
      <w:i/>
      <w:iCs/>
      <w:color w:val="31B6FD"/>
    </w:rPr>
  </w:style>
  <w:style w:type="character" w:customStyle="1" w:styleId="CytatintensywnyZnak1">
    <w:name w:val="Cytat intensywny Znak1"/>
    <w:basedOn w:val="Domylnaczcionkaakapitu"/>
    <w:uiPriority w:val="30"/>
    <w:rsid w:val="00E320BC"/>
    <w:rPr>
      <w:b/>
      <w:bCs/>
      <w:i/>
      <w:iCs/>
      <w:color w:val="31B6FD" w:themeColor="accent1"/>
    </w:rPr>
  </w:style>
  <w:style w:type="table" w:styleId="Jasnasiatkaakcent2">
    <w:name w:val="Light Grid Accent 2"/>
    <w:basedOn w:val="Standardowy"/>
    <w:uiPriority w:val="62"/>
    <w:rsid w:val="00E320BC"/>
    <w:pPr>
      <w:spacing w:after="0" w:line="240" w:lineRule="auto"/>
    </w:pPr>
    <w:tblPr>
      <w:tblStyleRowBandSize w:val="1"/>
      <w:tblStyleColBandSize w:val="1"/>
      <w:tblBorders>
        <w:top w:val="single" w:sz="8" w:space="0" w:color="4584D3" w:themeColor="accent2"/>
        <w:left w:val="single" w:sz="8" w:space="0" w:color="4584D3" w:themeColor="accent2"/>
        <w:bottom w:val="single" w:sz="8" w:space="0" w:color="4584D3" w:themeColor="accent2"/>
        <w:right w:val="single" w:sz="8" w:space="0" w:color="4584D3" w:themeColor="accent2"/>
        <w:insideH w:val="single" w:sz="8" w:space="0" w:color="4584D3" w:themeColor="accent2"/>
        <w:insideV w:val="single" w:sz="8" w:space="0" w:color="4584D3"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584D3" w:themeColor="accent2"/>
          <w:left w:val="single" w:sz="8" w:space="0" w:color="4584D3" w:themeColor="accent2"/>
          <w:bottom w:val="single" w:sz="18" w:space="0" w:color="4584D3" w:themeColor="accent2"/>
          <w:right w:val="single" w:sz="8" w:space="0" w:color="4584D3" w:themeColor="accent2"/>
          <w:insideH w:val="nil"/>
          <w:insideV w:val="single" w:sz="8" w:space="0" w:color="4584D3"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584D3" w:themeColor="accent2"/>
          <w:left w:val="single" w:sz="8" w:space="0" w:color="4584D3" w:themeColor="accent2"/>
          <w:bottom w:val="single" w:sz="8" w:space="0" w:color="4584D3" w:themeColor="accent2"/>
          <w:right w:val="single" w:sz="8" w:space="0" w:color="4584D3" w:themeColor="accent2"/>
          <w:insideH w:val="nil"/>
          <w:insideV w:val="single" w:sz="8" w:space="0" w:color="4584D3"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584D3" w:themeColor="accent2"/>
          <w:left w:val="single" w:sz="8" w:space="0" w:color="4584D3" w:themeColor="accent2"/>
          <w:bottom w:val="single" w:sz="8" w:space="0" w:color="4584D3" w:themeColor="accent2"/>
          <w:right w:val="single" w:sz="8" w:space="0" w:color="4584D3" w:themeColor="accent2"/>
        </w:tcBorders>
      </w:tcPr>
    </w:tblStylePr>
    <w:tblStylePr w:type="band1Vert">
      <w:tblPr/>
      <w:tcPr>
        <w:tcBorders>
          <w:top w:val="single" w:sz="8" w:space="0" w:color="4584D3" w:themeColor="accent2"/>
          <w:left w:val="single" w:sz="8" w:space="0" w:color="4584D3" w:themeColor="accent2"/>
          <w:bottom w:val="single" w:sz="8" w:space="0" w:color="4584D3" w:themeColor="accent2"/>
          <w:right w:val="single" w:sz="8" w:space="0" w:color="4584D3" w:themeColor="accent2"/>
        </w:tcBorders>
        <w:shd w:val="clear" w:color="auto" w:fill="D0E0F4" w:themeFill="accent2" w:themeFillTint="3F"/>
      </w:tcPr>
    </w:tblStylePr>
    <w:tblStylePr w:type="band1Horz">
      <w:tblPr/>
      <w:tcPr>
        <w:tcBorders>
          <w:top w:val="single" w:sz="8" w:space="0" w:color="4584D3" w:themeColor="accent2"/>
          <w:left w:val="single" w:sz="8" w:space="0" w:color="4584D3" w:themeColor="accent2"/>
          <w:bottom w:val="single" w:sz="8" w:space="0" w:color="4584D3" w:themeColor="accent2"/>
          <w:right w:val="single" w:sz="8" w:space="0" w:color="4584D3" w:themeColor="accent2"/>
          <w:insideV w:val="single" w:sz="8" w:space="0" w:color="4584D3" w:themeColor="accent2"/>
        </w:tcBorders>
        <w:shd w:val="clear" w:color="auto" w:fill="D0E0F4" w:themeFill="accent2" w:themeFillTint="3F"/>
      </w:tcPr>
    </w:tblStylePr>
    <w:tblStylePr w:type="band2Horz">
      <w:tblPr/>
      <w:tcPr>
        <w:tcBorders>
          <w:top w:val="single" w:sz="8" w:space="0" w:color="4584D3" w:themeColor="accent2"/>
          <w:left w:val="single" w:sz="8" w:space="0" w:color="4584D3" w:themeColor="accent2"/>
          <w:bottom w:val="single" w:sz="8" w:space="0" w:color="4584D3" w:themeColor="accent2"/>
          <w:right w:val="single" w:sz="8" w:space="0" w:color="4584D3" w:themeColor="accent2"/>
          <w:insideV w:val="single" w:sz="8" w:space="0" w:color="4584D3" w:themeColor="accent2"/>
        </w:tcBorders>
      </w:tcPr>
    </w:tblStylePr>
  </w:style>
  <w:style w:type="character" w:styleId="Hipercze">
    <w:name w:val="Hyperlink"/>
    <w:basedOn w:val="Domylnaczcionkaakapitu"/>
    <w:uiPriority w:val="99"/>
    <w:unhideWhenUsed/>
    <w:rsid w:val="00E320BC"/>
    <w:rPr>
      <w:color w:val="0080FF" w:themeColor="hyperlink"/>
      <w:u w:val="single"/>
    </w:rPr>
  </w:style>
  <w:style w:type="character" w:customStyle="1" w:styleId="markedcontent">
    <w:name w:val="markedcontent"/>
    <w:basedOn w:val="Domylnaczcionkaakapitu"/>
    <w:rsid w:val="00643390"/>
  </w:style>
  <w:style w:type="character" w:customStyle="1" w:styleId="highlight">
    <w:name w:val="highlight"/>
    <w:basedOn w:val="Domylnaczcionkaakapitu"/>
    <w:rsid w:val="008E22E6"/>
  </w:style>
  <w:style w:type="paragraph" w:styleId="Poprawka">
    <w:name w:val="Revision"/>
    <w:hidden/>
    <w:uiPriority w:val="99"/>
    <w:semiHidden/>
    <w:rsid w:val="008E22E6"/>
    <w:pPr>
      <w:spacing w:after="0" w:line="240" w:lineRule="auto"/>
    </w:pPr>
  </w:style>
  <w:style w:type="character" w:customStyle="1" w:styleId="Nagwek4Znak">
    <w:name w:val="Nagłówek 4 Znak"/>
    <w:basedOn w:val="Domylnaczcionkaakapitu"/>
    <w:link w:val="Nagwek4"/>
    <w:uiPriority w:val="9"/>
    <w:semiHidden/>
    <w:rsid w:val="00884604"/>
    <w:rPr>
      <w:rFonts w:asciiTheme="majorHAnsi" w:eastAsiaTheme="majorEastAsia" w:hAnsiTheme="majorHAnsi" w:cstheme="majorBidi"/>
      <w:b/>
      <w:bCs/>
      <w:i/>
      <w:iCs/>
      <w:color w:val="31B6FD" w:themeColor="accent1"/>
    </w:rPr>
  </w:style>
  <w:style w:type="table" w:styleId="Jasnecieniowanieakcent3">
    <w:name w:val="Light Shading Accent 3"/>
    <w:basedOn w:val="Standardowy"/>
    <w:uiPriority w:val="60"/>
    <w:rsid w:val="00097D26"/>
    <w:pPr>
      <w:spacing w:after="0" w:line="240" w:lineRule="auto"/>
    </w:pPr>
    <w:rPr>
      <w:color w:val="32AD50" w:themeColor="accent3" w:themeShade="BF"/>
    </w:rPr>
    <w:tblPr>
      <w:tblStyleRowBandSize w:val="1"/>
      <w:tblStyleColBandSize w:val="1"/>
      <w:tblBorders>
        <w:top w:val="single" w:sz="8" w:space="0" w:color="5BD078" w:themeColor="accent3"/>
        <w:bottom w:val="single" w:sz="8" w:space="0" w:color="5BD078" w:themeColor="accent3"/>
      </w:tblBorders>
    </w:tblPr>
    <w:tblStylePr w:type="firstRow">
      <w:pPr>
        <w:spacing w:before="0" w:after="0" w:line="240" w:lineRule="auto"/>
      </w:pPr>
      <w:rPr>
        <w:b/>
        <w:bCs/>
      </w:rPr>
      <w:tblPr/>
      <w:tcPr>
        <w:tcBorders>
          <w:top w:val="single" w:sz="8" w:space="0" w:color="5BD078" w:themeColor="accent3"/>
          <w:left w:val="nil"/>
          <w:bottom w:val="single" w:sz="8" w:space="0" w:color="5BD078" w:themeColor="accent3"/>
          <w:right w:val="nil"/>
          <w:insideH w:val="nil"/>
          <w:insideV w:val="nil"/>
        </w:tcBorders>
      </w:tcPr>
    </w:tblStylePr>
    <w:tblStylePr w:type="lastRow">
      <w:pPr>
        <w:spacing w:before="0" w:after="0" w:line="240" w:lineRule="auto"/>
      </w:pPr>
      <w:rPr>
        <w:b/>
        <w:bCs/>
      </w:rPr>
      <w:tblPr/>
      <w:tcPr>
        <w:tcBorders>
          <w:top w:val="single" w:sz="8" w:space="0" w:color="5BD078" w:themeColor="accent3"/>
          <w:left w:val="nil"/>
          <w:bottom w:val="single" w:sz="8" w:space="0" w:color="5BD078"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F3DD" w:themeFill="accent3" w:themeFillTint="3F"/>
      </w:tcPr>
    </w:tblStylePr>
    <w:tblStylePr w:type="band1Horz">
      <w:tblPr/>
      <w:tcPr>
        <w:tcBorders>
          <w:left w:val="nil"/>
          <w:right w:val="nil"/>
          <w:insideH w:val="nil"/>
          <w:insideV w:val="nil"/>
        </w:tcBorders>
        <w:shd w:val="clear" w:color="auto" w:fill="D6F3DD" w:themeFill="accent3" w:themeFillTint="3F"/>
      </w:tcPr>
    </w:tblStylePr>
  </w:style>
  <w:style w:type="table" w:styleId="Jasnasiatkaakcent3">
    <w:name w:val="Light Grid Accent 3"/>
    <w:basedOn w:val="Standardowy"/>
    <w:uiPriority w:val="62"/>
    <w:rsid w:val="007C1786"/>
    <w:pPr>
      <w:spacing w:after="0" w:line="240" w:lineRule="auto"/>
    </w:pPr>
    <w:tblPr>
      <w:tblStyleRowBandSize w:val="1"/>
      <w:tblStyleColBandSize w:val="1"/>
      <w:tblBorders>
        <w:top w:val="single" w:sz="8" w:space="0" w:color="5BD078" w:themeColor="accent3"/>
        <w:left w:val="single" w:sz="8" w:space="0" w:color="5BD078" w:themeColor="accent3"/>
        <w:bottom w:val="single" w:sz="8" w:space="0" w:color="5BD078" w:themeColor="accent3"/>
        <w:right w:val="single" w:sz="8" w:space="0" w:color="5BD078" w:themeColor="accent3"/>
        <w:insideH w:val="single" w:sz="8" w:space="0" w:color="5BD078" w:themeColor="accent3"/>
        <w:insideV w:val="single" w:sz="8" w:space="0" w:color="5BD078"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D078" w:themeColor="accent3"/>
          <w:left w:val="single" w:sz="8" w:space="0" w:color="5BD078" w:themeColor="accent3"/>
          <w:bottom w:val="single" w:sz="18" w:space="0" w:color="5BD078" w:themeColor="accent3"/>
          <w:right w:val="single" w:sz="8" w:space="0" w:color="5BD078" w:themeColor="accent3"/>
          <w:insideH w:val="nil"/>
          <w:insideV w:val="single" w:sz="8" w:space="0" w:color="5BD078"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D078" w:themeColor="accent3"/>
          <w:left w:val="single" w:sz="8" w:space="0" w:color="5BD078" w:themeColor="accent3"/>
          <w:bottom w:val="single" w:sz="8" w:space="0" w:color="5BD078" w:themeColor="accent3"/>
          <w:right w:val="single" w:sz="8" w:space="0" w:color="5BD078" w:themeColor="accent3"/>
          <w:insideH w:val="nil"/>
          <w:insideV w:val="single" w:sz="8" w:space="0" w:color="5BD078"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tcPr>
    </w:tblStylePr>
    <w:tblStylePr w:type="band1Vert">
      <w:tblPr/>
      <w:tcPr>
        <w:tcBorders>
          <w:top w:val="single" w:sz="8" w:space="0" w:color="5BD078" w:themeColor="accent3"/>
          <w:left w:val="single" w:sz="8" w:space="0" w:color="5BD078" w:themeColor="accent3"/>
          <w:bottom w:val="single" w:sz="8" w:space="0" w:color="5BD078" w:themeColor="accent3"/>
          <w:right w:val="single" w:sz="8" w:space="0" w:color="5BD078" w:themeColor="accent3"/>
        </w:tcBorders>
        <w:shd w:val="clear" w:color="auto" w:fill="D6F3DD" w:themeFill="accent3" w:themeFillTint="3F"/>
      </w:tcPr>
    </w:tblStylePr>
    <w:tblStylePr w:type="band1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insideV w:val="single" w:sz="8" w:space="0" w:color="5BD078" w:themeColor="accent3"/>
        </w:tcBorders>
        <w:shd w:val="clear" w:color="auto" w:fill="D6F3DD" w:themeFill="accent3" w:themeFillTint="3F"/>
      </w:tcPr>
    </w:tblStylePr>
    <w:tblStylePr w:type="band2Horz">
      <w:tblPr/>
      <w:tcPr>
        <w:tcBorders>
          <w:top w:val="single" w:sz="8" w:space="0" w:color="5BD078" w:themeColor="accent3"/>
          <w:left w:val="single" w:sz="8" w:space="0" w:color="5BD078" w:themeColor="accent3"/>
          <w:bottom w:val="single" w:sz="8" w:space="0" w:color="5BD078" w:themeColor="accent3"/>
          <w:right w:val="single" w:sz="8" w:space="0" w:color="5BD078" w:themeColor="accent3"/>
          <w:insideV w:val="single" w:sz="8" w:space="0" w:color="5BD078" w:themeColor="accent3"/>
        </w:tcBorders>
      </w:tcPr>
    </w:tblStylePr>
  </w:style>
  <w:style w:type="character" w:customStyle="1" w:styleId="Znakiprzypiswdolnych">
    <w:name w:val="Znaki przypisów dolnych"/>
    <w:qFormat/>
    <w:rsid w:val="004D5110"/>
  </w:style>
  <w:style w:type="paragraph" w:styleId="Nagwekspisutreci">
    <w:name w:val="TOC Heading"/>
    <w:basedOn w:val="Nagwek1"/>
    <w:next w:val="Normalny"/>
    <w:uiPriority w:val="39"/>
    <w:semiHidden/>
    <w:unhideWhenUsed/>
    <w:qFormat/>
    <w:rsid w:val="00256894"/>
    <w:pPr>
      <w:ind w:firstLine="0"/>
      <w:jc w:val="left"/>
      <w:outlineLvl w:val="9"/>
    </w:pPr>
    <w:rPr>
      <w:rFonts w:asciiTheme="majorHAnsi" w:eastAsiaTheme="majorEastAsia" w:hAnsiTheme="majorHAnsi" w:cstheme="majorBidi"/>
      <w:color w:val="0292DF" w:themeColor="accent1" w:themeShade="BF"/>
      <w:sz w:val="28"/>
      <w:lang w:eastAsia="pl-PL"/>
    </w:rPr>
  </w:style>
  <w:style w:type="paragraph" w:styleId="Spistreci2">
    <w:name w:val="toc 2"/>
    <w:basedOn w:val="Normalny"/>
    <w:next w:val="Normalny"/>
    <w:autoRedefine/>
    <w:uiPriority w:val="39"/>
    <w:unhideWhenUsed/>
    <w:rsid w:val="00256894"/>
    <w:pPr>
      <w:tabs>
        <w:tab w:val="left" w:pos="880"/>
        <w:tab w:val="right" w:leader="dot" w:pos="9062"/>
      </w:tabs>
      <w:spacing w:after="100"/>
      <w:ind w:left="220"/>
      <w:jc w:val="left"/>
    </w:pPr>
  </w:style>
  <w:style w:type="paragraph" w:styleId="Spistreci1">
    <w:name w:val="toc 1"/>
    <w:basedOn w:val="Normalny"/>
    <w:next w:val="Normalny"/>
    <w:autoRedefine/>
    <w:uiPriority w:val="39"/>
    <w:unhideWhenUsed/>
    <w:rsid w:val="00256894"/>
    <w:pPr>
      <w:tabs>
        <w:tab w:val="left" w:pos="440"/>
        <w:tab w:val="right" w:leader="dot" w:pos="9062"/>
      </w:tabs>
      <w:spacing w:after="100"/>
      <w:jc w:val="left"/>
    </w:pPr>
  </w:style>
  <w:style w:type="paragraph" w:styleId="Spistreci3">
    <w:name w:val="toc 3"/>
    <w:basedOn w:val="Normalny"/>
    <w:next w:val="Normalny"/>
    <w:autoRedefine/>
    <w:uiPriority w:val="39"/>
    <w:unhideWhenUsed/>
    <w:rsid w:val="00256894"/>
    <w:pPr>
      <w:spacing w:after="100"/>
      <w:ind w:left="440"/>
    </w:pPr>
  </w:style>
  <w:style w:type="character" w:styleId="Wyrnienieintensywne">
    <w:name w:val="Intense Emphasis"/>
    <w:basedOn w:val="Domylnaczcionkaakapitu"/>
    <w:uiPriority w:val="21"/>
    <w:qFormat/>
    <w:rsid w:val="00142BB4"/>
    <w:rPr>
      <w:b/>
      <w:bCs/>
      <w:i/>
      <w:iCs/>
      <w:color w:val="31B6FD" w:themeColor="accent1"/>
    </w:rPr>
  </w:style>
  <w:style w:type="character" w:customStyle="1" w:styleId="newsbigdesc">
    <w:name w:val="news_big_desc"/>
    <w:basedOn w:val="Domylnaczcionkaakapitu"/>
    <w:rsid w:val="005D691D"/>
  </w:style>
  <w:style w:type="paragraph" w:styleId="Bezodstpw">
    <w:name w:val="No Spacing"/>
    <w:basedOn w:val="Normalny"/>
    <w:link w:val="BezodstpwZnak"/>
    <w:uiPriority w:val="1"/>
    <w:qFormat/>
    <w:rsid w:val="00052CFA"/>
    <w:pPr>
      <w:spacing w:before="0" w:after="0" w:line="240" w:lineRule="auto"/>
      <w:ind w:firstLine="0"/>
    </w:pPr>
    <w:rPr>
      <w:rFonts w:eastAsiaTheme="minorEastAsia"/>
      <w:color w:val="000000" w:themeColor="text1"/>
      <w:sz w:val="20"/>
      <w:szCs w:val="20"/>
      <w:lang w:eastAsia="ja-JP"/>
    </w:rPr>
  </w:style>
  <w:style w:type="character" w:customStyle="1" w:styleId="BezodstpwZnak">
    <w:name w:val="Bez odstępów Znak"/>
    <w:basedOn w:val="Domylnaczcionkaakapitu"/>
    <w:link w:val="Bezodstpw"/>
    <w:uiPriority w:val="1"/>
    <w:qFormat/>
    <w:rsid w:val="00052CFA"/>
    <w:rPr>
      <w:rFonts w:eastAsiaTheme="minorEastAsia"/>
      <w:color w:val="000000" w:themeColor="text1"/>
      <w:sz w:val="20"/>
      <w:szCs w:val="20"/>
      <w:lang w:eastAsia="ja-JP"/>
    </w:rPr>
  </w:style>
  <w:style w:type="character" w:styleId="Uwydatnienie">
    <w:name w:val="Emphasis"/>
    <w:basedOn w:val="Domylnaczcionkaakapitu"/>
    <w:uiPriority w:val="20"/>
    <w:qFormat/>
    <w:rsid w:val="000B6BB5"/>
    <w:rPr>
      <w:i/>
      <w:iCs/>
    </w:rPr>
  </w:style>
  <w:style w:type="numbering" w:customStyle="1" w:styleId="Bezlisty2">
    <w:name w:val="Bez listy2"/>
    <w:next w:val="Bezlisty"/>
    <w:uiPriority w:val="99"/>
    <w:semiHidden/>
    <w:unhideWhenUsed/>
    <w:rsid w:val="00ED6132"/>
  </w:style>
  <w:style w:type="paragraph" w:customStyle="1" w:styleId="Nagwek41">
    <w:name w:val="Nagłówek 41"/>
    <w:basedOn w:val="Normalny"/>
    <w:next w:val="Normalny"/>
    <w:uiPriority w:val="9"/>
    <w:semiHidden/>
    <w:unhideWhenUsed/>
    <w:qFormat/>
    <w:rsid w:val="00ED6132"/>
    <w:pPr>
      <w:keepNext/>
      <w:keepLines/>
      <w:spacing w:before="200" w:after="0"/>
      <w:outlineLvl w:val="3"/>
    </w:pPr>
    <w:rPr>
      <w:rFonts w:ascii="Cambria" w:eastAsia="Times New Roman" w:hAnsi="Cambria" w:cs="Times New Roman"/>
      <w:b/>
      <w:bCs/>
      <w:i/>
      <w:iCs/>
      <w:color w:val="31B6FD"/>
    </w:rPr>
  </w:style>
  <w:style w:type="numbering" w:customStyle="1" w:styleId="Bezlisty11">
    <w:name w:val="Bez listy11"/>
    <w:next w:val="Bezlisty"/>
    <w:uiPriority w:val="99"/>
    <w:semiHidden/>
    <w:unhideWhenUsed/>
    <w:rsid w:val="00ED6132"/>
  </w:style>
  <w:style w:type="numbering" w:customStyle="1" w:styleId="Bezlisty111">
    <w:name w:val="Bez listy111"/>
    <w:next w:val="Bezlisty"/>
    <w:uiPriority w:val="99"/>
    <w:semiHidden/>
    <w:unhideWhenUsed/>
    <w:rsid w:val="00ED6132"/>
  </w:style>
  <w:style w:type="table" w:customStyle="1" w:styleId="Jasnasiatkaakcent511">
    <w:name w:val="Jasna siatka — akcent 511"/>
    <w:basedOn w:val="Standardowy"/>
    <w:next w:val="Jasnasiatkaakcent5"/>
    <w:uiPriority w:val="62"/>
    <w:rsid w:val="00ED6132"/>
    <w:pPr>
      <w:spacing w:after="0" w:line="240" w:lineRule="auto"/>
    </w:pPr>
    <w:tblPr>
      <w:tblStyleRowBandSize w:val="1"/>
      <w:tblStyleColBandSize w:val="1"/>
      <w:tblBorders>
        <w:top w:val="single" w:sz="8" w:space="0" w:color="F5C040"/>
        <w:left w:val="single" w:sz="8" w:space="0" w:color="F5C040"/>
        <w:bottom w:val="single" w:sz="8" w:space="0" w:color="F5C040"/>
        <w:right w:val="single" w:sz="8" w:space="0" w:color="F5C040"/>
        <w:insideH w:val="single" w:sz="8" w:space="0" w:color="F5C040"/>
        <w:insideV w:val="single" w:sz="8" w:space="0" w:color="F5C040"/>
      </w:tblBorders>
    </w:tblPr>
    <w:tblStylePr w:type="firstRow">
      <w:pPr>
        <w:spacing w:before="0" w:after="0" w:line="240" w:lineRule="auto"/>
      </w:pPr>
      <w:rPr>
        <w:rFonts w:ascii="Candara" w:eastAsia="Times New Roman" w:hAnsi="Candara" w:cs="Times New Roman"/>
        <w:b/>
        <w:bCs/>
      </w:rPr>
      <w:tblPr/>
      <w:tcPr>
        <w:tcBorders>
          <w:top w:val="single" w:sz="8" w:space="0" w:color="F5C040"/>
          <w:left w:val="single" w:sz="8" w:space="0" w:color="F5C040"/>
          <w:bottom w:val="single" w:sz="18" w:space="0" w:color="F5C040"/>
          <w:right w:val="single" w:sz="8" w:space="0" w:color="F5C040"/>
          <w:insideH w:val="nil"/>
          <w:insideV w:val="single" w:sz="8" w:space="0" w:color="F5C040"/>
        </w:tcBorders>
      </w:tcPr>
    </w:tblStylePr>
    <w:tblStylePr w:type="lastRow">
      <w:pPr>
        <w:spacing w:before="0" w:after="0" w:line="240" w:lineRule="auto"/>
      </w:pPr>
      <w:rPr>
        <w:rFonts w:ascii="Candara" w:eastAsia="Times New Roman" w:hAnsi="Candara" w:cs="Times New Roman"/>
        <w:b/>
        <w:bCs/>
      </w:rPr>
      <w:tblPr/>
      <w:tcPr>
        <w:tcBorders>
          <w:top w:val="double" w:sz="6" w:space="0" w:color="F5C040"/>
          <w:left w:val="single" w:sz="8" w:space="0" w:color="F5C040"/>
          <w:bottom w:val="single" w:sz="8" w:space="0" w:color="F5C040"/>
          <w:right w:val="single" w:sz="8" w:space="0" w:color="F5C040"/>
          <w:insideH w:val="nil"/>
          <w:insideV w:val="single" w:sz="8" w:space="0" w:color="F5C040"/>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F5C040"/>
          <w:left w:val="single" w:sz="8" w:space="0" w:color="F5C040"/>
          <w:bottom w:val="single" w:sz="8" w:space="0" w:color="F5C040"/>
          <w:right w:val="single" w:sz="8" w:space="0" w:color="F5C040"/>
        </w:tcBorders>
      </w:tcPr>
    </w:tblStylePr>
    <w:tblStylePr w:type="band1Vert">
      <w:tblPr/>
      <w:tcPr>
        <w:tcBorders>
          <w:top w:val="single" w:sz="8" w:space="0" w:color="F5C040"/>
          <w:left w:val="single" w:sz="8" w:space="0" w:color="F5C040"/>
          <w:bottom w:val="single" w:sz="8" w:space="0" w:color="F5C040"/>
          <w:right w:val="single" w:sz="8" w:space="0" w:color="F5C040"/>
        </w:tcBorders>
        <w:shd w:val="clear" w:color="auto" w:fill="FCEFCF"/>
      </w:tcPr>
    </w:tblStylePr>
    <w:tblStylePr w:type="band1Horz">
      <w:tblPr/>
      <w:tcPr>
        <w:tcBorders>
          <w:top w:val="single" w:sz="8" w:space="0" w:color="F5C040"/>
          <w:left w:val="single" w:sz="8" w:space="0" w:color="F5C040"/>
          <w:bottom w:val="single" w:sz="8" w:space="0" w:color="F5C040"/>
          <w:right w:val="single" w:sz="8" w:space="0" w:color="F5C040"/>
          <w:insideV w:val="single" w:sz="8" w:space="0" w:color="F5C040"/>
        </w:tcBorders>
        <w:shd w:val="clear" w:color="auto" w:fill="FCEFCF"/>
      </w:tcPr>
    </w:tblStylePr>
    <w:tblStylePr w:type="band2Horz">
      <w:tblPr/>
      <w:tcPr>
        <w:tcBorders>
          <w:top w:val="single" w:sz="8" w:space="0" w:color="F5C040"/>
          <w:left w:val="single" w:sz="8" w:space="0" w:color="F5C040"/>
          <w:bottom w:val="single" w:sz="8" w:space="0" w:color="F5C040"/>
          <w:right w:val="single" w:sz="8" w:space="0" w:color="F5C040"/>
          <w:insideV w:val="single" w:sz="8" w:space="0" w:color="F5C040"/>
        </w:tcBorders>
      </w:tcPr>
    </w:tblStylePr>
  </w:style>
  <w:style w:type="table" w:customStyle="1" w:styleId="Jasnasiatkaakcent111">
    <w:name w:val="Jasna siatka — akcent 111"/>
    <w:basedOn w:val="Standardowy"/>
    <w:next w:val="Jasnasiatkaakcent1"/>
    <w:uiPriority w:val="62"/>
    <w:rsid w:val="00ED6132"/>
    <w:pPr>
      <w:spacing w:after="0" w:line="240" w:lineRule="auto"/>
    </w:pPr>
    <w:tblPr>
      <w:tblStyleRowBandSize w:val="1"/>
      <w:tblStyleColBandSize w:val="1"/>
      <w:tblBorders>
        <w:top w:val="single" w:sz="8" w:space="0" w:color="31B6FD"/>
        <w:left w:val="single" w:sz="8" w:space="0" w:color="31B6FD"/>
        <w:bottom w:val="single" w:sz="8" w:space="0" w:color="31B6FD"/>
        <w:right w:val="single" w:sz="8" w:space="0" w:color="31B6FD"/>
        <w:insideH w:val="single" w:sz="8" w:space="0" w:color="31B6FD"/>
        <w:insideV w:val="single" w:sz="8" w:space="0" w:color="31B6FD"/>
      </w:tblBorders>
    </w:tblPr>
    <w:tblStylePr w:type="firstRow">
      <w:pPr>
        <w:spacing w:before="0" w:after="0" w:line="240" w:lineRule="auto"/>
      </w:pPr>
      <w:rPr>
        <w:rFonts w:ascii="Candara" w:eastAsia="Times New Roman" w:hAnsi="Candara" w:cs="Times New Roman"/>
        <w:b/>
        <w:bCs/>
      </w:rPr>
      <w:tblPr/>
      <w:tcPr>
        <w:tcBorders>
          <w:top w:val="single" w:sz="8" w:space="0" w:color="31B6FD"/>
          <w:left w:val="single" w:sz="8" w:space="0" w:color="31B6FD"/>
          <w:bottom w:val="single" w:sz="18" w:space="0" w:color="31B6FD"/>
          <w:right w:val="single" w:sz="8" w:space="0" w:color="31B6FD"/>
          <w:insideH w:val="nil"/>
          <w:insideV w:val="single" w:sz="8" w:space="0" w:color="31B6FD"/>
        </w:tcBorders>
      </w:tcPr>
    </w:tblStylePr>
    <w:tblStylePr w:type="lastRow">
      <w:pPr>
        <w:spacing w:before="0" w:after="0" w:line="240" w:lineRule="auto"/>
      </w:pPr>
      <w:rPr>
        <w:rFonts w:ascii="Candara" w:eastAsia="Times New Roman" w:hAnsi="Candara" w:cs="Times New Roman"/>
        <w:b/>
        <w:bCs/>
      </w:rPr>
      <w:tblPr/>
      <w:tcPr>
        <w:tcBorders>
          <w:top w:val="double" w:sz="6" w:space="0" w:color="31B6FD"/>
          <w:left w:val="single" w:sz="8" w:space="0" w:color="31B6FD"/>
          <w:bottom w:val="single" w:sz="8" w:space="0" w:color="31B6FD"/>
          <w:right w:val="single" w:sz="8" w:space="0" w:color="31B6FD"/>
          <w:insideH w:val="nil"/>
          <w:insideV w:val="single" w:sz="8" w:space="0" w:color="31B6FD"/>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31B6FD"/>
          <w:left w:val="single" w:sz="8" w:space="0" w:color="31B6FD"/>
          <w:bottom w:val="single" w:sz="8" w:space="0" w:color="31B6FD"/>
          <w:right w:val="single" w:sz="8" w:space="0" w:color="31B6FD"/>
        </w:tcBorders>
      </w:tcPr>
    </w:tblStylePr>
    <w:tblStylePr w:type="band1Vert">
      <w:tblPr/>
      <w:tcPr>
        <w:tcBorders>
          <w:top w:val="single" w:sz="8" w:space="0" w:color="31B6FD"/>
          <w:left w:val="single" w:sz="8" w:space="0" w:color="31B6FD"/>
          <w:bottom w:val="single" w:sz="8" w:space="0" w:color="31B6FD"/>
          <w:right w:val="single" w:sz="8" w:space="0" w:color="31B6FD"/>
        </w:tcBorders>
        <w:shd w:val="clear" w:color="auto" w:fill="CBECFE"/>
      </w:tcPr>
    </w:tblStylePr>
    <w:tblStylePr w:type="band1Horz">
      <w:tblPr/>
      <w:tcPr>
        <w:tcBorders>
          <w:top w:val="single" w:sz="8" w:space="0" w:color="31B6FD"/>
          <w:left w:val="single" w:sz="8" w:space="0" w:color="31B6FD"/>
          <w:bottom w:val="single" w:sz="8" w:space="0" w:color="31B6FD"/>
          <w:right w:val="single" w:sz="8" w:space="0" w:color="31B6FD"/>
          <w:insideV w:val="single" w:sz="8" w:space="0" w:color="31B6FD"/>
        </w:tcBorders>
        <w:shd w:val="clear" w:color="auto" w:fill="CBECFE"/>
      </w:tcPr>
    </w:tblStylePr>
    <w:tblStylePr w:type="band2Horz">
      <w:tblPr/>
      <w:tcPr>
        <w:tcBorders>
          <w:top w:val="single" w:sz="8" w:space="0" w:color="31B6FD"/>
          <w:left w:val="single" w:sz="8" w:space="0" w:color="31B6FD"/>
          <w:bottom w:val="single" w:sz="8" w:space="0" w:color="31B6FD"/>
          <w:right w:val="single" w:sz="8" w:space="0" w:color="31B6FD"/>
          <w:insideV w:val="single" w:sz="8" w:space="0" w:color="31B6FD"/>
        </w:tcBorders>
      </w:tcPr>
    </w:tblStylePr>
  </w:style>
  <w:style w:type="table" w:customStyle="1" w:styleId="Jasnasiatkaakcent211">
    <w:name w:val="Jasna siatka — akcent 211"/>
    <w:basedOn w:val="Standardowy"/>
    <w:next w:val="Jasnasiatkaakcent2"/>
    <w:uiPriority w:val="62"/>
    <w:rsid w:val="00ED6132"/>
    <w:pPr>
      <w:spacing w:after="0" w:line="240" w:lineRule="auto"/>
    </w:pPr>
    <w:tblPr>
      <w:tblStyleRowBandSize w:val="1"/>
      <w:tblStyleColBandSize w:val="1"/>
      <w:tblBorders>
        <w:top w:val="single" w:sz="8" w:space="0" w:color="4584D3"/>
        <w:left w:val="single" w:sz="8" w:space="0" w:color="4584D3"/>
        <w:bottom w:val="single" w:sz="8" w:space="0" w:color="4584D3"/>
        <w:right w:val="single" w:sz="8" w:space="0" w:color="4584D3"/>
        <w:insideH w:val="single" w:sz="8" w:space="0" w:color="4584D3"/>
        <w:insideV w:val="single" w:sz="8" w:space="0" w:color="4584D3"/>
      </w:tblBorders>
    </w:tblPr>
    <w:tblStylePr w:type="firstRow">
      <w:pPr>
        <w:spacing w:before="0" w:after="0" w:line="240" w:lineRule="auto"/>
      </w:pPr>
      <w:rPr>
        <w:rFonts w:ascii="Candara" w:eastAsia="Times New Roman" w:hAnsi="Candara" w:cs="Times New Roman"/>
        <w:b/>
        <w:bCs/>
      </w:rPr>
      <w:tblPr/>
      <w:tcPr>
        <w:tcBorders>
          <w:top w:val="single" w:sz="8" w:space="0" w:color="4584D3"/>
          <w:left w:val="single" w:sz="8" w:space="0" w:color="4584D3"/>
          <w:bottom w:val="single" w:sz="18" w:space="0" w:color="4584D3"/>
          <w:right w:val="single" w:sz="8" w:space="0" w:color="4584D3"/>
          <w:insideH w:val="nil"/>
          <w:insideV w:val="single" w:sz="8" w:space="0" w:color="4584D3"/>
        </w:tcBorders>
      </w:tcPr>
    </w:tblStylePr>
    <w:tblStylePr w:type="lastRow">
      <w:pPr>
        <w:spacing w:before="0" w:after="0" w:line="240" w:lineRule="auto"/>
      </w:pPr>
      <w:rPr>
        <w:rFonts w:ascii="Candara" w:eastAsia="Times New Roman" w:hAnsi="Candara" w:cs="Times New Roman"/>
        <w:b/>
        <w:bCs/>
      </w:rPr>
      <w:tblPr/>
      <w:tcPr>
        <w:tcBorders>
          <w:top w:val="double" w:sz="6" w:space="0" w:color="4584D3"/>
          <w:left w:val="single" w:sz="8" w:space="0" w:color="4584D3"/>
          <w:bottom w:val="single" w:sz="8" w:space="0" w:color="4584D3"/>
          <w:right w:val="single" w:sz="8" w:space="0" w:color="4584D3"/>
          <w:insideH w:val="nil"/>
          <w:insideV w:val="single" w:sz="8" w:space="0" w:color="4584D3"/>
        </w:tcBorders>
      </w:tcPr>
    </w:tblStylePr>
    <w:tblStylePr w:type="firstCol">
      <w:rPr>
        <w:rFonts w:ascii="Candara" w:eastAsia="Times New Roman" w:hAnsi="Candara" w:cs="Times New Roman"/>
        <w:b/>
        <w:bCs/>
      </w:rPr>
    </w:tblStylePr>
    <w:tblStylePr w:type="lastCol">
      <w:rPr>
        <w:rFonts w:ascii="Candara" w:eastAsia="Times New Roman" w:hAnsi="Candara" w:cs="Times New Roman"/>
        <w:b/>
        <w:bCs/>
      </w:rPr>
      <w:tblPr/>
      <w:tcPr>
        <w:tcBorders>
          <w:top w:val="single" w:sz="8" w:space="0" w:color="4584D3"/>
          <w:left w:val="single" w:sz="8" w:space="0" w:color="4584D3"/>
          <w:bottom w:val="single" w:sz="8" w:space="0" w:color="4584D3"/>
          <w:right w:val="single" w:sz="8" w:space="0" w:color="4584D3"/>
        </w:tcBorders>
      </w:tcPr>
    </w:tblStylePr>
    <w:tblStylePr w:type="band1Vert">
      <w:tblPr/>
      <w:tcPr>
        <w:tcBorders>
          <w:top w:val="single" w:sz="8" w:space="0" w:color="4584D3"/>
          <w:left w:val="single" w:sz="8" w:space="0" w:color="4584D3"/>
          <w:bottom w:val="single" w:sz="8" w:space="0" w:color="4584D3"/>
          <w:right w:val="single" w:sz="8" w:space="0" w:color="4584D3"/>
        </w:tcBorders>
        <w:shd w:val="clear" w:color="auto" w:fill="D0E0F4"/>
      </w:tcPr>
    </w:tblStylePr>
    <w:tblStylePr w:type="band1Horz">
      <w:tblPr/>
      <w:tcPr>
        <w:tcBorders>
          <w:top w:val="single" w:sz="8" w:space="0" w:color="4584D3"/>
          <w:left w:val="single" w:sz="8" w:space="0" w:color="4584D3"/>
          <w:bottom w:val="single" w:sz="8" w:space="0" w:color="4584D3"/>
          <w:right w:val="single" w:sz="8" w:space="0" w:color="4584D3"/>
          <w:insideV w:val="single" w:sz="8" w:space="0" w:color="4584D3"/>
        </w:tcBorders>
        <w:shd w:val="clear" w:color="auto" w:fill="D0E0F4"/>
      </w:tcPr>
    </w:tblStylePr>
    <w:tblStylePr w:type="band2Horz">
      <w:tblPr/>
      <w:tcPr>
        <w:tcBorders>
          <w:top w:val="single" w:sz="8" w:space="0" w:color="4584D3"/>
          <w:left w:val="single" w:sz="8" w:space="0" w:color="4584D3"/>
          <w:bottom w:val="single" w:sz="8" w:space="0" w:color="4584D3"/>
          <w:right w:val="single" w:sz="8" w:space="0" w:color="4584D3"/>
          <w:insideV w:val="single" w:sz="8" w:space="0" w:color="4584D3"/>
        </w:tcBorders>
      </w:tcPr>
    </w:tblStylePr>
  </w:style>
  <w:style w:type="table" w:customStyle="1" w:styleId="Tabela-Siatka1">
    <w:name w:val="Tabela - Siatka1"/>
    <w:basedOn w:val="Standardowy"/>
    <w:next w:val="Tabela-Siatka"/>
    <w:uiPriority w:val="59"/>
    <w:rsid w:val="00ED61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ytu2">
    <w:name w:val="Tytuł2"/>
    <w:basedOn w:val="Normalny"/>
    <w:next w:val="Normalny"/>
    <w:uiPriority w:val="10"/>
    <w:qFormat/>
    <w:rsid w:val="00ED6132"/>
    <w:pPr>
      <w:pBdr>
        <w:bottom w:val="single" w:sz="8" w:space="4" w:color="31B6FD"/>
      </w:pBdr>
      <w:spacing w:after="300" w:line="240" w:lineRule="auto"/>
      <w:contextualSpacing/>
    </w:pPr>
    <w:rPr>
      <w:rFonts w:ascii="Candara" w:eastAsia="Times New Roman" w:hAnsi="Candara" w:cs="Times New Roman"/>
      <w:color w:val="052E65"/>
      <w:spacing w:val="5"/>
      <w:kern w:val="28"/>
      <w:sz w:val="52"/>
      <w:szCs w:val="52"/>
    </w:rPr>
  </w:style>
  <w:style w:type="character" w:customStyle="1" w:styleId="Wyrnieniedelikatne2">
    <w:name w:val="Wyróżnienie delikatne2"/>
    <w:basedOn w:val="Domylnaczcionkaakapitu"/>
    <w:uiPriority w:val="19"/>
    <w:qFormat/>
    <w:rsid w:val="00ED6132"/>
    <w:rPr>
      <w:i/>
      <w:iCs/>
      <w:color w:val="808080"/>
    </w:rPr>
  </w:style>
  <w:style w:type="table" w:customStyle="1" w:styleId="Jasnasiatkaakcent52">
    <w:name w:val="Jasna siatka — akcent 52"/>
    <w:basedOn w:val="Standardowy"/>
    <w:next w:val="Jasnasiatkaakcent5"/>
    <w:uiPriority w:val="62"/>
    <w:rsid w:val="00ED6132"/>
    <w:pPr>
      <w:spacing w:after="0" w:line="240" w:lineRule="auto"/>
    </w:pPr>
    <w:tblPr>
      <w:tblStyleRowBandSize w:val="1"/>
      <w:tblStyleColBandSize w:val="1"/>
      <w:tblBorders>
        <w:top w:val="single" w:sz="8" w:space="0" w:color="F5C040"/>
        <w:left w:val="single" w:sz="8" w:space="0" w:color="F5C040"/>
        <w:bottom w:val="single" w:sz="8" w:space="0" w:color="F5C040"/>
        <w:right w:val="single" w:sz="8" w:space="0" w:color="F5C040"/>
        <w:insideH w:val="single" w:sz="8" w:space="0" w:color="F5C040"/>
        <w:insideV w:val="single" w:sz="8" w:space="0" w:color="F5C040"/>
      </w:tblBorders>
    </w:tblPr>
    <w:tblStylePr w:type="firstRow">
      <w:pPr>
        <w:spacing w:before="0" w:after="0" w:line="240" w:lineRule="auto"/>
      </w:pPr>
      <w:rPr>
        <w:rFonts w:ascii="Cambria" w:eastAsia="Times New Roman" w:hAnsi="Cambria" w:cs="Times New Roman"/>
        <w:b/>
        <w:bCs/>
      </w:rPr>
      <w:tblPr/>
      <w:tcPr>
        <w:tcBorders>
          <w:top w:val="single" w:sz="8" w:space="0" w:color="F5C040"/>
          <w:left w:val="single" w:sz="8" w:space="0" w:color="F5C040"/>
          <w:bottom w:val="single" w:sz="18" w:space="0" w:color="F5C040"/>
          <w:right w:val="single" w:sz="8" w:space="0" w:color="F5C040"/>
          <w:insideH w:val="nil"/>
          <w:insideV w:val="single" w:sz="8" w:space="0" w:color="F5C040"/>
        </w:tcBorders>
      </w:tcPr>
    </w:tblStylePr>
    <w:tblStylePr w:type="lastRow">
      <w:pPr>
        <w:spacing w:before="0" w:after="0" w:line="240" w:lineRule="auto"/>
      </w:pPr>
      <w:rPr>
        <w:rFonts w:ascii="Cambria" w:eastAsia="Times New Roman" w:hAnsi="Cambria" w:cs="Times New Roman"/>
        <w:b/>
        <w:bCs/>
      </w:rPr>
      <w:tblPr/>
      <w:tcPr>
        <w:tcBorders>
          <w:top w:val="double" w:sz="6" w:space="0" w:color="F5C040"/>
          <w:left w:val="single" w:sz="8" w:space="0" w:color="F5C040"/>
          <w:bottom w:val="single" w:sz="8" w:space="0" w:color="F5C040"/>
          <w:right w:val="single" w:sz="8" w:space="0" w:color="F5C040"/>
          <w:insideH w:val="nil"/>
          <w:insideV w:val="single" w:sz="8" w:space="0" w:color="F5C04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5C040"/>
          <w:left w:val="single" w:sz="8" w:space="0" w:color="F5C040"/>
          <w:bottom w:val="single" w:sz="8" w:space="0" w:color="F5C040"/>
          <w:right w:val="single" w:sz="8" w:space="0" w:color="F5C040"/>
        </w:tcBorders>
      </w:tcPr>
    </w:tblStylePr>
    <w:tblStylePr w:type="band1Vert">
      <w:tblPr/>
      <w:tcPr>
        <w:tcBorders>
          <w:top w:val="single" w:sz="8" w:space="0" w:color="F5C040"/>
          <w:left w:val="single" w:sz="8" w:space="0" w:color="F5C040"/>
          <w:bottom w:val="single" w:sz="8" w:space="0" w:color="F5C040"/>
          <w:right w:val="single" w:sz="8" w:space="0" w:color="F5C040"/>
        </w:tcBorders>
        <w:shd w:val="clear" w:color="auto" w:fill="FCEFCF"/>
      </w:tcPr>
    </w:tblStylePr>
    <w:tblStylePr w:type="band1Horz">
      <w:tblPr/>
      <w:tcPr>
        <w:tcBorders>
          <w:top w:val="single" w:sz="8" w:space="0" w:color="F5C040"/>
          <w:left w:val="single" w:sz="8" w:space="0" w:color="F5C040"/>
          <w:bottom w:val="single" w:sz="8" w:space="0" w:color="F5C040"/>
          <w:right w:val="single" w:sz="8" w:space="0" w:color="F5C040"/>
          <w:insideV w:val="single" w:sz="8" w:space="0" w:color="F5C040"/>
        </w:tcBorders>
        <w:shd w:val="clear" w:color="auto" w:fill="FCEFCF"/>
      </w:tcPr>
    </w:tblStylePr>
    <w:tblStylePr w:type="band2Horz">
      <w:tblPr/>
      <w:tcPr>
        <w:tcBorders>
          <w:top w:val="single" w:sz="8" w:space="0" w:color="F5C040"/>
          <w:left w:val="single" w:sz="8" w:space="0" w:color="F5C040"/>
          <w:bottom w:val="single" w:sz="8" w:space="0" w:color="F5C040"/>
          <w:right w:val="single" w:sz="8" w:space="0" w:color="F5C040"/>
          <w:insideV w:val="single" w:sz="8" w:space="0" w:color="F5C040"/>
        </w:tcBorders>
      </w:tcPr>
    </w:tblStylePr>
  </w:style>
  <w:style w:type="table" w:customStyle="1" w:styleId="Jasnasiatkaakcent12">
    <w:name w:val="Jasna siatka — akcent 12"/>
    <w:basedOn w:val="Standardowy"/>
    <w:next w:val="Jasnasiatkaakcent1"/>
    <w:uiPriority w:val="62"/>
    <w:rsid w:val="00ED6132"/>
    <w:pPr>
      <w:spacing w:after="0" w:line="240" w:lineRule="auto"/>
    </w:pPr>
    <w:tblPr>
      <w:tblStyleRowBandSize w:val="1"/>
      <w:tblStyleColBandSize w:val="1"/>
      <w:tblBorders>
        <w:top w:val="single" w:sz="8" w:space="0" w:color="31B6FD"/>
        <w:left w:val="single" w:sz="8" w:space="0" w:color="31B6FD"/>
        <w:bottom w:val="single" w:sz="8" w:space="0" w:color="31B6FD"/>
        <w:right w:val="single" w:sz="8" w:space="0" w:color="31B6FD"/>
        <w:insideH w:val="single" w:sz="8" w:space="0" w:color="31B6FD"/>
        <w:insideV w:val="single" w:sz="8" w:space="0" w:color="31B6FD"/>
      </w:tblBorders>
    </w:tblPr>
    <w:tblStylePr w:type="firstRow">
      <w:pPr>
        <w:spacing w:before="0" w:after="0" w:line="240" w:lineRule="auto"/>
      </w:pPr>
      <w:rPr>
        <w:rFonts w:ascii="Cambria" w:eastAsia="Times New Roman" w:hAnsi="Cambria" w:cs="Times New Roman"/>
        <w:b/>
        <w:bCs/>
      </w:rPr>
      <w:tblPr/>
      <w:tcPr>
        <w:tcBorders>
          <w:top w:val="single" w:sz="8" w:space="0" w:color="31B6FD"/>
          <w:left w:val="single" w:sz="8" w:space="0" w:color="31B6FD"/>
          <w:bottom w:val="single" w:sz="18" w:space="0" w:color="31B6FD"/>
          <w:right w:val="single" w:sz="8" w:space="0" w:color="31B6FD"/>
          <w:insideH w:val="nil"/>
          <w:insideV w:val="single" w:sz="8" w:space="0" w:color="31B6FD"/>
        </w:tcBorders>
      </w:tcPr>
    </w:tblStylePr>
    <w:tblStylePr w:type="lastRow">
      <w:pPr>
        <w:spacing w:before="0" w:after="0" w:line="240" w:lineRule="auto"/>
      </w:pPr>
      <w:rPr>
        <w:rFonts w:ascii="Cambria" w:eastAsia="Times New Roman" w:hAnsi="Cambria" w:cs="Times New Roman"/>
        <w:b/>
        <w:bCs/>
      </w:rPr>
      <w:tblPr/>
      <w:tcPr>
        <w:tcBorders>
          <w:top w:val="double" w:sz="6" w:space="0" w:color="31B6FD"/>
          <w:left w:val="single" w:sz="8" w:space="0" w:color="31B6FD"/>
          <w:bottom w:val="single" w:sz="8" w:space="0" w:color="31B6FD"/>
          <w:right w:val="single" w:sz="8" w:space="0" w:color="31B6FD"/>
          <w:insideH w:val="nil"/>
          <w:insideV w:val="single" w:sz="8" w:space="0" w:color="31B6F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31B6FD"/>
          <w:left w:val="single" w:sz="8" w:space="0" w:color="31B6FD"/>
          <w:bottom w:val="single" w:sz="8" w:space="0" w:color="31B6FD"/>
          <w:right w:val="single" w:sz="8" w:space="0" w:color="31B6FD"/>
        </w:tcBorders>
      </w:tcPr>
    </w:tblStylePr>
    <w:tblStylePr w:type="band1Vert">
      <w:tblPr/>
      <w:tcPr>
        <w:tcBorders>
          <w:top w:val="single" w:sz="8" w:space="0" w:color="31B6FD"/>
          <w:left w:val="single" w:sz="8" w:space="0" w:color="31B6FD"/>
          <w:bottom w:val="single" w:sz="8" w:space="0" w:color="31B6FD"/>
          <w:right w:val="single" w:sz="8" w:space="0" w:color="31B6FD"/>
        </w:tcBorders>
        <w:shd w:val="clear" w:color="auto" w:fill="CBECFE"/>
      </w:tcPr>
    </w:tblStylePr>
    <w:tblStylePr w:type="band1Horz">
      <w:tblPr/>
      <w:tcPr>
        <w:tcBorders>
          <w:top w:val="single" w:sz="8" w:space="0" w:color="31B6FD"/>
          <w:left w:val="single" w:sz="8" w:space="0" w:color="31B6FD"/>
          <w:bottom w:val="single" w:sz="8" w:space="0" w:color="31B6FD"/>
          <w:right w:val="single" w:sz="8" w:space="0" w:color="31B6FD"/>
          <w:insideV w:val="single" w:sz="8" w:space="0" w:color="31B6FD"/>
        </w:tcBorders>
        <w:shd w:val="clear" w:color="auto" w:fill="CBECFE"/>
      </w:tcPr>
    </w:tblStylePr>
    <w:tblStylePr w:type="band2Horz">
      <w:tblPr/>
      <w:tcPr>
        <w:tcBorders>
          <w:top w:val="single" w:sz="8" w:space="0" w:color="31B6FD"/>
          <w:left w:val="single" w:sz="8" w:space="0" w:color="31B6FD"/>
          <w:bottom w:val="single" w:sz="8" w:space="0" w:color="31B6FD"/>
          <w:right w:val="single" w:sz="8" w:space="0" w:color="31B6FD"/>
          <w:insideV w:val="single" w:sz="8" w:space="0" w:color="31B6FD"/>
        </w:tcBorders>
      </w:tcPr>
    </w:tblStylePr>
  </w:style>
  <w:style w:type="paragraph" w:customStyle="1" w:styleId="Cytatintensywny2">
    <w:name w:val="Cytat intensywny2"/>
    <w:basedOn w:val="Normalny"/>
    <w:next w:val="Normalny"/>
    <w:uiPriority w:val="30"/>
    <w:qFormat/>
    <w:rsid w:val="00ED6132"/>
    <w:pPr>
      <w:pBdr>
        <w:bottom w:val="single" w:sz="4" w:space="4" w:color="31B6FD"/>
      </w:pBdr>
      <w:spacing w:before="200" w:after="280"/>
      <w:ind w:left="936" w:right="936"/>
    </w:pPr>
    <w:rPr>
      <w:rFonts w:ascii="Calibri" w:hAnsi="Calibri"/>
      <w:b/>
      <w:bCs/>
      <w:i/>
      <w:iCs/>
      <w:color w:val="31B6FD"/>
    </w:rPr>
  </w:style>
  <w:style w:type="table" w:customStyle="1" w:styleId="Jasnasiatkaakcent22">
    <w:name w:val="Jasna siatka — akcent 22"/>
    <w:basedOn w:val="Standardowy"/>
    <w:next w:val="Jasnasiatkaakcent2"/>
    <w:uiPriority w:val="62"/>
    <w:rsid w:val="00ED6132"/>
    <w:pPr>
      <w:spacing w:after="0" w:line="240" w:lineRule="auto"/>
    </w:pPr>
    <w:tblPr>
      <w:tblStyleRowBandSize w:val="1"/>
      <w:tblStyleColBandSize w:val="1"/>
      <w:tblBorders>
        <w:top w:val="single" w:sz="8" w:space="0" w:color="4584D3"/>
        <w:left w:val="single" w:sz="8" w:space="0" w:color="4584D3"/>
        <w:bottom w:val="single" w:sz="8" w:space="0" w:color="4584D3"/>
        <w:right w:val="single" w:sz="8" w:space="0" w:color="4584D3"/>
        <w:insideH w:val="single" w:sz="8" w:space="0" w:color="4584D3"/>
        <w:insideV w:val="single" w:sz="8" w:space="0" w:color="4584D3"/>
      </w:tblBorders>
    </w:tblPr>
    <w:tblStylePr w:type="firstRow">
      <w:pPr>
        <w:spacing w:before="0" w:after="0" w:line="240" w:lineRule="auto"/>
      </w:pPr>
      <w:rPr>
        <w:rFonts w:ascii="Cambria" w:eastAsia="Times New Roman" w:hAnsi="Cambria" w:cs="Times New Roman"/>
        <w:b/>
        <w:bCs/>
      </w:rPr>
      <w:tblPr/>
      <w:tcPr>
        <w:tcBorders>
          <w:top w:val="single" w:sz="8" w:space="0" w:color="4584D3"/>
          <w:left w:val="single" w:sz="8" w:space="0" w:color="4584D3"/>
          <w:bottom w:val="single" w:sz="18" w:space="0" w:color="4584D3"/>
          <w:right w:val="single" w:sz="8" w:space="0" w:color="4584D3"/>
          <w:insideH w:val="nil"/>
          <w:insideV w:val="single" w:sz="8" w:space="0" w:color="4584D3"/>
        </w:tcBorders>
      </w:tcPr>
    </w:tblStylePr>
    <w:tblStylePr w:type="lastRow">
      <w:pPr>
        <w:spacing w:before="0" w:after="0" w:line="240" w:lineRule="auto"/>
      </w:pPr>
      <w:rPr>
        <w:rFonts w:ascii="Cambria" w:eastAsia="Times New Roman" w:hAnsi="Cambria" w:cs="Times New Roman"/>
        <w:b/>
        <w:bCs/>
      </w:rPr>
      <w:tblPr/>
      <w:tcPr>
        <w:tcBorders>
          <w:top w:val="double" w:sz="6" w:space="0" w:color="4584D3"/>
          <w:left w:val="single" w:sz="8" w:space="0" w:color="4584D3"/>
          <w:bottom w:val="single" w:sz="8" w:space="0" w:color="4584D3"/>
          <w:right w:val="single" w:sz="8" w:space="0" w:color="4584D3"/>
          <w:insideH w:val="nil"/>
          <w:insideV w:val="single" w:sz="8" w:space="0" w:color="4584D3"/>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584D3"/>
          <w:left w:val="single" w:sz="8" w:space="0" w:color="4584D3"/>
          <w:bottom w:val="single" w:sz="8" w:space="0" w:color="4584D3"/>
          <w:right w:val="single" w:sz="8" w:space="0" w:color="4584D3"/>
        </w:tcBorders>
      </w:tcPr>
    </w:tblStylePr>
    <w:tblStylePr w:type="band1Vert">
      <w:tblPr/>
      <w:tcPr>
        <w:tcBorders>
          <w:top w:val="single" w:sz="8" w:space="0" w:color="4584D3"/>
          <w:left w:val="single" w:sz="8" w:space="0" w:color="4584D3"/>
          <w:bottom w:val="single" w:sz="8" w:space="0" w:color="4584D3"/>
          <w:right w:val="single" w:sz="8" w:space="0" w:color="4584D3"/>
        </w:tcBorders>
        <w:shd w:val="clear" w:color="auto" w:fill="D0E0F4"/>
      </w:tcPr>
    </w:tblStylePr>
    <w:tblStylePr w:type="band1Horz">
      <w:tblPr/>
      <w:tcPr>
        <w:tcBorders>
          <w:top w:val="single" w:sz="8" w:space="0" w:color="4584D3"/>
          <w:left w:val="single" w:sz="8" w:space="0" w:color="4584D3"/>
          <w:bottom w:val="single" w:sz="8" w:space="0" w:color="4584D3"/>
          <w:right w:val="single" w:sz="8" w:space="0" w:color="4584D3"/>
          <w:insideV w:val="single" w:sz="8" w:space="0" w:color="4584D3"/>
        </w:tcBorders>
        <w:shd w:val="clear" w:color="auto" w:fill="D0E0F4"/>
      </w:tcPr>
    </w:tblStylePr>
    <w:tblStylePr w:type="band2Horz">
      <w:tblPr/>
      <w:tcPr>
        <w:tcBorders>
          <w:top w:val="single" w:sz="8" w:space="0" w:color="4584D3"/>
          <w:left w:val="single" w:sz="8" w:space="0" w:color="4584D3"/>
          <w:bottom w:val="single" w:sz="8" w:space="0" w:color="4584D3"/>
          <w:right w:val="single" w:sz="8" w:space="0" w:color="4584D3"/>
          <w:insideV w:val="single" w:sz="8" w:space="0" w:color="4584D3"/>
        </w:tcBorders>
      </w:tcPr>
    </w:tblStylePr>
  </w:style>
  <w:style w:type="character" w:customStyle="1" w:styleId="Hipercze2">
    <w:name w:val="Hiperłącze2"/>
    <w:basedOn w:val="Domylnaczcionkaakapitu"/>
    <w:uiPriority w:val="99"/>
    <w:unhideWhenUsed/>
    <w:rsid w:val="00ED6132"/>
    <w:rPr>
      <w:color w:val="0080FF"/>
      <w:u w:val="single"/>
    </w:rPr>
  </w:style>
  <w:style w:type="table" w:customStyle="1" w:styleId="Jasnecieniowanieakcent31">
    <w:name w:val="Jasne cieniowanie — akcent 31"/>
    <w:basedOn w:val="Standardowy"/>
    <w:next w:val="Jasnecieniowanieakcent3"/>
    <w:uiPriority w:val="60"/>
    <w:rsid w:val="00ED6132"/>
    <w:pPr>
      <w:spacing w:after="0" w:line="240" w:lineRule="auto"/>
    </w:pPr>
    <w:rPr>
      <w:color w:val="32AD50"/>
    </w:rPr>
    <w:tblPr>
      <w:tblStyleRowBandSize w:val="1"/>
      <w:tblStyleColBandSize w:val="1"/>
      <w:tblBorders>
        <w:top w:val="single" w:sz="8" w:space="0" w:color="5BD078"/>
        <w:bottom w:val="single" w:sz="8" w:space="0" w:color="5BD078"/>
      </w:tblBorders>
    </w:tblPr>
    <w:tblStylePr w:type="firstRow">
      <w:pPr>
        <w:spacing w:before="0" w:after="0" w:line="240" w:lineRule="auto"/>
      </w:pPr>
      <w:rPr>
        <w:b/>
        <w:bCs/>
      </w:rPr>
      <w:tblPr/>
      <w:tcPr>
        <w:tcBorders>
          <w:top w:val="single" w:sz="8" w:space="0" w:color="5BD078"/>
          <w:left w:val="nil"/>
          <w:bottom w:val="single" w:sz="8" w:space="0" w:color="5BD078"/>
          <w:right w:val="nil"/>
          <w:insideH w:val="nil"/>
          <w:insideV w:val="nil"/>
        </w:tcBorders>
      </w:tcPr>
    </w:tblStylePr>
    <w:tblStylePr w:type="lastRow">
      <w:pPr>
        <w:spacing w:before="0" w:after="0" w:line="240" w:lineRule="auto"/>
      </w:pPr>
      <w:rPr>
        <w:b/>
        <w:bCs/>
      </w:rPr>
      <w:tblPr/>
      <w:tcPr>
        <w:tcBorders>
          <w:top w:val="single" w:sz="8" w:space="0" w:color="5BD078"/>
          <w:left w:val="nil"/>
          <w:bottom w:val="single" w:sz="8" w:space="0" w:color="5BD07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F3DD"/>
      </w:tcPr>
    </w:tblStylePr>
    <w:tblStylePr w:type="band1Horz">
      <w:tblPr/>
      <w:tcPr>
        <w:tcBorders>
          <w:left w:val="nil"/>
          <w:right w:val="nil"/>
          <w:insideH w:val="nil"/>
          <w:insideV w:val="nil"/>
        </w:tcBorders>
        <w:shd w:val="clear" w:color="auto" w:fill="D6F3DD"/>
      </w:tcPr>
    </w:tblStylePr>
  </w:style>
  <w:style w:type="table" w:customStyle="1" w:styleId="Jasnasiatkaakcent31">
    <w:name w:val="Jasna siatka — akcent 31"/>
    <w:basedOn w:val="Standardowy"/>
    <w:next w:val="Jasnasiatkaakcent3"/>
    <w:uiPriority w:val="62"/>
    <w:rsid w:val="00ED6132"/>
    <w:pPr>
      <w:spacing w:after="0" w:line="240" w:lineRule="auto"/>
    </w:pPr>
    <w:tblPr>
      <w:tblStyleRowBandSize w:val="1"/>
      <w:tblStyleColBandSize w:val="1"/>
      <w:tblBorders>
        <w:top w:val="single" w:sz="8" w:space="0" w:color="5BD078"/>
        <w:left w:val="single" w:sz="8" w:space="0" w:color="5BD078"/>
        <w:bottom w:val="single" w:sz="8" w:space="0" w:color="5BD078"/>
        <w:right w:val="single" w:sz="8" w:space="0" w:color="5BD078"/>
        <w:insideH w:val="single" w:sz="8" w:space="0" w:color="5BD078"/>
        <w:insideV w:val="single" w:sz="8" w:space="0" w:color="5BD078"/>
      </w:tblBorders>
    </w:tblPr>
    <w:tblStylePr w:type="firstRow">
      <w:pPr>
        <w:spacing w:before="0" w:after="0" w:line="240" w:lineRule="auto"/>
      </w:pPr>
      <w:rPr>
        <w:rFonts w:ascii="Cambria" w:eastAsia="Times New Roman" w:hAnsi="Cambria" w:cs="Times New Roman"/>
        <w:b/>
        <w:bCs/>
      </w:rPr>
      <w:tblPr/>
      <w:tcPr>
        <w:tcBorders>
          <w:top w:val="single" w:sz="8" w:space="0" w:color="5BD078"/>
          <w:left w:val="single" w:sz="8" w:space="0" w:color="5BD078"/>
          <w:bottom w:val="single" w:sz="18" w:space="0" w:color="5BD078"/>
          <w:right w:val="single" w:sz="8" w:space="0" w:color="5BD078"/>
          <w:insideH w:val="nil"/>
          <w:insideV w:val="single" w:sz="8" w:space="0" w:color="5BD078"/>
        </w:tcBorders>
      </w:tcPr>
    </w:tblStylePr>
    <w:tblStylePr w:type="lastRow">
      <w:pPr>
        <w:spacing w:before="0" w:after="0" w:line="240" w:lineRule="auto"/>
      </w:pPr>
      <w:rPr>
        <w:rFonts w:ascii="Cambria" w:eastAsia="Times New Roman" w:hAnsi="Cambria" w:cs="Times New Roman"/>
        <w:b/>
        <w:bCs/>
      </w:rPr>
      <w:tblPr/>
      <w:tcPr>
        <w:tcBorders>
          <w:top w:val="double" w:sz="6" w:space="0" w:color="5BD078"/>
          <w:left w:val="single" w:sz="8" w:space="0" w:color="5BD078"/>
          <w:bottom w:val="single" w:sz="8" w:space="0" w:color="5BD078"/>
          <w:right w:val="single" w:sz="8" w:space="0" w:color="5BD078"/>
          <w:insideH w:val="nil"/>
          <w:insideV w:val="single" w:sz="8" w:space="0" w:color="5BD078"/>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5BD078"/>
          <w:left w:val="single" w:sz="8" w:space="0" w:color="5BD078"/>
          <w:bottom w:val="single" w:sz="8" w:space="0" w:color="5BD078"/>
          <w:right w:val="single" w:sz="8" w:space="0" w:color="5BD078"/>
        </w:tcBorders>
      </w:tcPr>
    </w:tblStylePr>
    <w:tblStylePr w:type="band1Vert">
      <w:tblPr/>
      <w:tcPr>
        <w:tcBorders>
          <w:top w:val="single" w:sz="8" w:space="0" w:color="5BD078"/>
          <w:left w:val="single" w:sz="8" w:space="0" w:color="5BD078"/>
          <w:bottom w:val="single" w:sz="8" w:space="0" w:color="5BD078"/>
          <w:right w:val="single" w:sz="8" w:space="0" w:color="5BD078"/>
        </w:tcBorders>
        <w:shd w:val="clear" w:color="auto" w:fill="D6F3DD"/>
      </w:tcPr>
    </w:tblStylePr>
    <w:tblStylePr w:type="band1Horz">
      <w:tblPr/>
      <w:tcPr>
        <w:tcBorders>
          <w:top w:val="single" w:sz="8" w:space="0" w:color="5BD078"/>
          <w:left w:val="single" w:sz="8" w:space="0" w:color="5BD078"/>
          <w:bottom w:val="single" w:sz="8" w:space="0" w:color="5BD078"/>
          <w:right w:val="single" w:sz="8" w:space="0" w:color="5BD078"/>
          <w:insideV w:val="single" w:sz="8" w:space="0" w:color="5BD078"/>
        </w:tcBorders>
        <w:shd w:val="clear" w:color="auto" w:fill="D6F3DD"/>
      </w:tcPr>
    </w:tblStylePr>
    <w:tblStylePr w:type="band2Horz">
      <w:tblPr/>
      <w:tcPr>
        <w:tcBorders>
          <w:top w:val="single" w:sz="8" w:space="0" w:color="5BD078"/>
          <w:left w:val="single" w:sz="8" w:space="0" w:color="5BD078"/>
          <w:bottom w:val="single" w:sz="8" w:space="0" w:color="5BD078"/>
          <w:right w:val="single" w:sz="8" w:space="0" w:color="5BD078"/>
          <w:insideV w:val="single" w:sz="8" w:space="0" w:color="5BD078"/>
        </w:tcBorders>
      </w:tcPr>
    </w:tblStylePr>
  </w:style>
  <w:style w:type="paragraph" w:customStyle="1" w:styleId="Nagwekspisutreci1">
    <w:name w:val="Nagłówek spisu treści1"/>
    <w:basedOn w:val="Nagwek1"/>
    <w:next w:val="Normalny"/>
    <w:uiPriority w:val="39"/>
    <w:semiHidden/>
    <w:unhideWhenUsed/>
    <w:qFormat/>
    <w:rsid w:val="00ED6132"/>
    <w:pPr>
      <w:ind w:firstLine="0"/>
      <w:jc w:val="left"/>
      <w:outlineLvl w:val="9"/>
    </w:pPr>
    <w:rPr>
      <w:rFonts w:ascii="Cambria" w:hAnsi="Cambria"/>
      <w:sz w:val="28"/>
      <w:lang w:eastAsia="pl-PL"/>
    </w:rPr>
  </w:style>
  <w:style w:type="character" w:customStyle="1" w:styleId="Wyrnienieintensywne1">
    <w:name w:val="Wyróżnienie intensywne1"/>
    <w:basedOn w:val="Domylnaczcionkaakapitu"/>
    <w:uiPriority w:val="21"/>
    <w:qFormat/>
    <w:rsid w:val="00ED6132"/>
    <w:rPr>
      <w:b/>
      <w:bCs/>
      <w:i/>
      <w:iCs/>
      <w:color w:val="31B6FD"/>
    </w:rPr>
  </w:style>
  <w:style w:type="paragraph" w:customStyle="1" w:styleId="Bezodstpw1">
    <w:name w:val="Bez odstępów1"/>
    <w:basedOn w:val="Normalny"/>
    <w:next w:val="Bezodstpw"/>
    <w:uiPriority w:val="1"/>
    <w:qFormat/>
    <w:rsid w:val="00ED6132"/>
    <w:pPr>
      <w:spacing w:before="0" w:after="0" w:line="240" w:lineRule="auto"/>
      <w:ind w:firstLine="0"/>
    </w:pPr>
    <w:rPr>
      <w:rFonts w:eastAsia="Times New Roman"/>
      <w:color w:val="000000"/>
      <w:sz w:val="20"/>
      <w:szCs w:val="20"/>
      <w:lang w:eastAsia="ja-JP"/>
    </w:rPr>
  </w:style>
  <w:style w:type="character" w:customStyle="1" w:styleId="TytuZnak2">
    <w:name w:val="Tytuł Znak2"/>
    <w:basedOn w:val="Domylnaczcionkaakapitu"/>
    <w:uiPriority w:val="10"/>
    <w:rsid w:val="00ED6132"/>
    <w:rPr>
      <w:rFonts w:ascii="Cambria" w:eastAsia="Times New Roman" w:hAnsi="Cambria" w:cs="Times New Roman"/>
      <w:color w:val="17365D"/>
      <w:spacing w:val="5"/>
      <w:kern w:val="28"/>
      <w:sz w:val="52"/>
      <w:szCs w:val="52"/>
    </w:rPr>
  </w:style>
  <w:style w:type="table" w:customStyle="1" w:styleId="Jasnasiatkaakcent53">
    <w:name w:val="Jasna siatka — akcent 53"/>
    <w:basedOn w:val="Standardowy"/>
    <w:next w:val="Jasnasiatkaakcent5"/>
    <w:uiPriority w:val="62"/>
    <w:rsid w:val="00ED6132"/>
    <w:pPr>
      <w:spacing w:after="0" w:line="240" w:lineRule="auto"/>
    </w:p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Jasnasiatkaakcent13">
    <w:name w:val="Jasna siatka — akcent 13"/>
    <w:basedOn w:val="Standardowy"/>
    <w:next w:val="Jasnasiatkaakcent1"/>
    <w:uiPriority w:val="62"/>
    <w:rsid w:val="00ED6132"/>
    <w:pPr>
      <w:spacing w:after="0" w:line="240" w:lineRule="auto"/>
    </w:p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character" w:customStyle="1" w:styleId="CytatintensywnyZnak2">
    <w:name w:val="Cytat intensywny Znak2"/>
    <w:basedOn w:val="Domylnaczcionkaakapitu"/>
    <w:uiPriority w:val="30"/>
    <w:rsid w:val="00ED6132"/>
    <w:rPr>
      <w:b/>
      <w:bCs/>
      <w:i/>
      <w:iCs/>
      <w:color w:val="4F81BD"/>
    </w:rPr>
  </w:style>
  <w:style w:type="table" w:customStyle="1" w:styleId="Jasnasiatkaakcent23">
    <w:name w:val="Jasna siatka — akcent 23"/>
    <w:basedOn w:val="Standardowy"/>
    <w:next w:val="Jasnasiatkaakcent2"/>
    <w:uiPriority w:val="62"/>
    <w:rsid w:val="00ED6132"/>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Nagwek4Znak1">
    <w:name w:val="Nagłówek 4 Znak1"/>
    <w:basedOn w:val="Domylnaczcionkaakapitu"/>
    <w:uiPriority w:val="9"/>
    <w:semiHidden/>
    <w:rsid w:val="00ED6132"/>
    <w:rPr>
      <w:rFonts w:ascii="Cambria" w:eastAsia="Times New Roman" w:hAnsi="Cambria" w:cs="Times New Roman"/>
      <w:b/>
      <w:bCs/>
      <w:i/>
      <w:iCs/>
      <w:color w:val="4F81BD"/>
    </w:rPr>
  </w:style>
  <w:style w:type="table" w:customStyle="1" w:styleId="Jasnecieniowanieakcent32">
    <w:name w:val="Jasne cieniowanie — akcent 32"/>
    <w:basedOn w:val="Standardowy"/>
    <w:next w:val="Jasnecieniowanieakcent3"/>
    <w:uiPriority w:val="60"/>
    <w:rsid w:val="00ED6132"/>
    <w:pPr>
      <w:spacing w:after="0" w:line="240" w:lineRule="auto"/>
    </w:pPr>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Jasnasiatkaakcent32">
    <w:name w:val="Jasna siatka — akcent 32"/>
    <w:basedOn w:val="Standardowy"/>
    <w:next w:val="Jasnasiatkaakcent3"/>
    <w:uiPriority w:val="62"/>
    <w:rsid w:val="00ED6132"/>
    <w:pPr>
      <w:spacing w:after="0" w:line="240" w:lineRule="auto"/>
    </w:p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Spisilustracji">
    <w:name w:val="table of figures"/>
    <w:basedOn w:val="Normalny"/>
    <w:next w:val="Normalny"/>
    <w:uiPriority w:val="99"/>
    <w:unhideWhenUsed/>
    <w:rsid w:val="00577C1C"/>
    <w:pPr>
      <w:spacing w:after="0"/>
    </w:pPr>
  </w:style>
  <w:style w:type="paragraph" w:styleId="NormalnyWeb">
    <w:name w:val="Normal (Web)"/>
    <w:basedOn w:val="Normalny"/>
    <w:uiPriority w:val="99"/>
    <w:semiHidden/>
    <w:unhideWhenUsed/>
    <w:rsid w:val="00771D22"/>
    <w:pPr>
      <w:spacing w:before="100" w:beforeAutospacing="1" w:after="100" w:afterAutospacing="1" w:line="240" w:lineRule="auto"/>
      <w:ind w:firstLine="0"/>
      <w:jc w:val="left"/>
    </w:pPr>
    <w:rPr>
      <w:rFonts w:ascii="Times New Roman" w:eastAsia="Times New Roman" w:hAnsi="Times New Roman" w:cs="Times New Roman"/>
      <w:sz w:val="24"/>
      <w:szCs w:val="24"/>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128993">
      <w:bodyDiv w:val="1"/>
      <w:marLeft w:val="0"/>
      <w:marRight w:val="0"/>
      <w:marTop w:val="0"/>
      <w:marBottom w:val="0"/>
      <w:divBdr>
        <w:top w:val="none" w:sz="0" w:space="0" w:color="auto"/>
        <w:left w:val="none" w:sz="0" w:space="0" w:color="auto"/>
        <w:bottom w:val="none" w:sz="0" w:space="0" w:color="auto"/>
        <w:right w:val="none" w:sz="0" w:space="0" w:color="auto"/>
      </w:divBdr>
    </w:div>
    <w:div w:id="48235865">
      <w:bodyDiv w:val="1"/>
      <w:marLeft w:val="0"/>
      <w:marRight w:val="0"/>
      <w:marTop w:val="0"/>
      <w:marBottom w:val="0"/>
      <w:divBdr>
        <w:top w:val="none" w:sz="0" w:space="0" w:color="auto"/>
        <w:left w:val="none" w:sz="0" w:space="0" w:color="auto"/>
        <w:bottom w:val="none" w:sz="0" w:space="0" w:color="auto"/>
        <w:right w:val="none" w:sz="0" w:space="0" w:color="auto"/>
      </w:divBdr>
    </w:div>
    <w:div w:id="71978143">
      <w:bodyDiv w:val="1"/>
      <w:marLeft w:val="0"/>
      <w:marRight w:val="0"/>
      <w:marTop w:val="0"/>
      <w:marBottom w:val="0"/>
      <w:divBdr>
        <w:top w:val="none" w:sz="0" w:space="0" w:color="auto"/>
        <w:left w:val="none" w:sz="0" w:space="0" w:color="auto"/>
        <w:bottom w:val="none" w:sz="0" w:space="0" w:color="auto"/>
        <w:right w:val="none" w:sz="0" w:space="0" w:color="auto"/>
      </w:divBdr>
      <w:divsChild>
        <w:div w:id="45956227">
          <w:marLeft w:val="547"/>
          <w:marRight w:val="0"/>
          <w:marTop w:val="0"/>
          <w:marBottom w:val="0"/>
          <w:divBdr>
            <w:top w:val="none" w:sz="0" w:space="0" w:color="auto"/>
            <w:left w:val="none" w:sz="0" w:space="0" w:color="auto"/>
            <w:bottom w:val="none" w:sz="0" w:space="0" w:color="auto"/>
            <w:right w:val="none" w:sz="0" w:space="0" w:color="auto"/>
          </w:divBdr>
        </w:div>
      </w:divsChild>
    </w:div>
    <w:div w:id="90012979">
      <w:bodyDiv w:val="1"/>
      <w:marLeft w:val="0"/>
      <w:marRight w:val="0"/>
      <w:marTop w:val="0"/>
      <w:marBottom w:val="0"/>
      <w:divBdr>
        <w:top w:val="none" w:sz="0" w:space="0" w:color="auto"/>
        <w:left w:val="none" w:sz="0" w:space="0" w:color="auto"/>
        <w:bottom w:val="none" w:sz="0" w:space="0" w:color="auto"/>
        <w:right w:val="none" w:sz="0" w:space="0" w:color="auto"/>
      </w:divBdr>
    </w:div>
    <w:div w:id="97874264">
      <w:bodyDiv w:val="1"/>
      <w:marLeft w:val="0"/>
      <w:marRight w:val="0"/>
      <w:marTop w:val="0"/>
      <w:marBottom w:val="0"/>
      <w:divBdr>
        <w:top w:val="none" w:sz="0" w:space="0" w:color="auto"/>
        <w:left w:val="none" w:sz="0" w:space="0" w:color="auto"/>
        <w:bottom w:val="none" w:sz="0" w:space="0" w:color="auto"/>
        <w:right w:val="none" w:sz="0" w:space="0" w:color="auto"/>
      </w:divBdr>
    </w:div>
    <w:div w:id="126896018">
      <w:bodyDiv w:val="1"/>
      <w:marLeft w:val="0"/>
      <w:marRight w:val="0"/>
      <w:marTop w:val="0"/>
      <w:marBottom w:val="0"/>
      <w:divBdr>
        <w:top w:val="none" w:sz="0" w:space="0" w:color="auto"/>
        <w:left w:val="none" w:sz="0" w:space="0" w:color="auto"/>
        <w:bottom w:val="none" w:sz="0" w:space="0" w:color="auto"/>
        <w:right w:val="none" w:sz="0" w:space="0" w:color="auto"/>
      </w:divBdr>
    </w:div>
    <w:div w:id="135152862">
      <w:bodyDiv w:val="1"/>
      <w:marLeft w:val="0"/>
      <w:marRight w:val="0"/>
      <w:marTop w:val="0"/>
      <w:marBottom w:val="0"/>
      <w:divBdr>
        <w:top w:val="none" w:sz="0" w:space="0" w:color="auto"/>
        <w:left w:val="none" w:sz="0" w:space="0" w:color="auto"/>
        <w:bottom w:val="none" w:sz="0" w:space="0" w:color="auto"/>
        <w:right w:val="none" w:sz="0" w:space="0" w:color="auto"/>
      </w:divBdr>
    </w:div>
    <w:div w:id="143937286">
      <w:bodyDiv w:val="1"/>
      <w:marLeft w:val="0"/>
      <w:marRight w:val="0"/>
      <w:marTop w:val="0"/>
      <w:marBottom w:val="0"/>
      <w:divBdr>
        <w:top w:val="none" w:sz="0" w:space="0" w:color="auto"/>
        <w:left w:val="none" w:sz="0" w:space="0" w:color="auto"/>
        <w:bottom w:val="none" w:sz="0" w:space="0" w:color="auto"/>
        <w:right w:val="none" w:sz="0" w:space="0" w:color="auto"/>
      </w:divBdr>
      <w:divsChild>
        <w:div w:id="169757761">
          <w:marLeft w:val="547"/>
          <w:marRight w:val="0"/>
          <w:marTop w:val="0"/>
          <w:marBottom w:val="0"/>
          <w:divBdr>
            <w:top w:val="none" w:sz="0" w:space="0" w:color="auto"/>
            <w:left w:val="none" w:sz="0" w:space="0" w:color="auto"/>
            <w:bottom w:val="none" w:sz="0" w:space="0" w:color="auto"/>
            <w:right w:val="none" w:sz="0" w:space="0" w:color="auto"/>
          </w:divBdr>
        </w:div>
      </w:divsChild>
    </w:div>
    <w:div w:id="183136704">
      <w:bodyDiv w:val="1"/>
      <w:marLeft w:val="0"/>
      <w:marRight w:val="0"/>
      <w:marTop w:val="0"/>
      <w:marBottom w:val="0"/>
      <w:divBdr>
        <w:top w:val="none" w:sz="0" w:space="0" w:color="auto"/>
        <w:left w:val="none" w:sz="0" w:space="0" w:color="auto"/>
        <w:bottom w:val="none" w:sz="0" w:space="0" w:color="auto"/>
        <w:right w:val="none" w:sz="0" w:space="0" w:color="auto"/>
      </w:divBdr>
      <w:divsChild>
        <w:div w:id="167211490">
          <w:marLeft w:val="547"/>
          <w:marRight w:val="0"/>
          <w:marTop w:val="0"/>
          <w:marBottom w:val="0"/>
          <w:divBdr>
            <w:top w:val="none" w:sz="0" w:space="0" w:color="auto"/>
            <w:left w:val="none" w:sz="0" w:space="0" w:color="auto"/>
            <w:bottom w:val="none" w:sz="0" w:space="0" w:color="auto"/>
            <w:right w:val="none" w:sz="0" w:space="0" w:color="auto"/>
          </w:divBdr>
        </w:div>
      </w:divsChild>
    </w:div>
    <w:div w:id="194462677">
      <w:bodyDiv w:val="1"/>
      <w:marLeft w:val="0"/>
      <w:marRight w:val="0"/>
      <w:marTop w:val="0"/>
      <w:marBottom w:val="0"/>
      <w:divBdr>
        <w:top w:val="none" w:sz="0" w:space="0" w:color="auto"/>
        <w:left w:val="none" w:sz="0" w:space="0" w:color="auto"/>
        <w:bottom w:val="none" w:sz="0" w:space="0" w:color="auto"/>
        <w:right w:val="none" w:sz="0" w:space="0" w:color="auto"/>
      </w:divBdr>
    </w:div>
    <w:div w:id="202519335">
      <w:bodyDiv w:val="1"/>
      <w:marLeft w:val="0"/>
      <w:marRight w:val="0"/>
      <w:marTop w:val="0"/>
      <w:marBottom w:val="0"/>
      <w:divBdr>
        <w:top w:val="none" w:sz="0" w:space="0" w:color="auto"/>
        <w:left w:val="none" w:sz="0" w:space="0" w:color="auto"/>
        <w:bottom w:val="none" w:sz="0" w:space="0" w:color="auto"/>
        <w:right w:val="none" w:sz="0" w:space="0" w:color="auto"/>
      </w:divBdr>
    </w:div>
    <w:div w:id="202641757">
      <w:bodyDiv w:val="1"/>
      <w:marLeft w:val="0"/>
      <w:marRight w:val="0"/>
      <w:marTop w:val="0"/>
      <w:marBottom w:val="0"/>
      <w:divBdr>
        <w:top w:val="none" w:sz="0" w:space="0" w:color="auto"/>
        <w:left w:val="none" w:sz="0" w:space="0" w:color="auto"/>
        <w:bottom w:val="none" w:sz="0" w:space="0" w:color="auto"/>
        <w:right w:val="none" w:sz="0" w:space="0" w:color="auto"/>
      </w:divBdr>
    </w:div>
    <w:div w:id="226571307">
      <w:bodyDiv w:val="1"/>
      <w:marLeft w:val="0"/>
      <w:marRight w:val="0"/>
      <w:marTop w:val="0"/>
      <w:marBottom w:val="0"/>
      <w:divBdr>
        <w:top w:val="none" w:sz="0" w:space="0" w:color="auto"/>
        <w:left w:val="none" w:sz="0" w:space="0" w:color="auto"/>
        <w:bottom w:val="none" w:sz="0" w:space="0" w:color="auto"/>
        <w:right w:val="none" w:sz="0" w:space="0" w:color="auto"/>
      </w:divBdr>
    </w:div>
    <w:div w:id="273247147">
      <w:bodyDiv w:val="1"/>
      <w:marLeft w:val="0"/>
      <w:marRight w:val="0"/>
      <w:marTop w:val="0"/>
      <w:marBottom w:val="0"/>
      <w:divBdr>
        <w:top w:val="none" w:sz="0" w:space="0" w:color="auto"/>
        <w:left w:val="none" w:sz="0" w:space="0" w:color="auto"/>
        <w:bottom w:val="none" w:sz="0" w:space="0" w:color="auto"/>
        <w:right w:val="none" w:sz="0" w:space="0" w:color="auto"/>
      </w:divBdr>
      <w:divsChild>
        <w:div w:id="385763480">
          <w:marLeft w:val="547"/>
          <w:marRight w:val="0"/>
          <w:marTop w:val="0"/>
          <w:marBottom w:val="0"/>
          <w:divBdr>
            <w:top w:val="none" w:sz="0" w:space="0" w:color="auto"/>
            <w:left w:val="none" w:sz="0" w:space="0" w:color="auto"/>
            <w:bottom w:val="none" w:sz="0" w:space="0" w:color="auto"/>
            <w:right w:val="none" w:sz="0" w:space="0" w:color="auto"/>
          </w:divBdr>
        </w:div>
      </w:divsChild>
    </w:div>
    <w:div w:id="295911317">
      <w:bodyDiv w:val="1"/>
      <w:marLeft w:val="0"/>
      <w:marRight w:val="0"/>
      <w:marTop w:val="0"/>
      <w:marBottom w:val="0"/>
      <w:divBdr>
        <w:top w:val="none" w:sz="0" w:space="0" w:color="auto"/>
        <w:left w:val="none" w:sz="0" w:space="0" w:color="auto"/>
        <w:bottom w:val="none" w:sz="0" w:space="0" w:color="auto"/>
        <w:right w:val="none" w:sz="0" w:space="0" w:color="auto"/>
      </w:divBdr>
      <w:divsChild>
        <w:div w:id="923758080">
          <w:marLeft w:val="547"/>
          <w:marRight w:val="0"/>
          <w:marTop w:val="0"/>
          <w:marBottom w:val="0"/>
          <w:divBdr>
            <w:top w:val="none" w:sz="0" w:space="0" w:color="auto"/>
            <w:left w:val="none" w:sz="0" w:space="0" w:color="auto"/>
            <w:bottom w:val="none" w:sz="0" w:space="0" w:color="auto"/>
            <w:right w:val="none" w:sz="0" w:space="0" w:color="auto"/>
          </w:divBdr>
        </w:div>
      </w:divsChild>
    </w:div>
    <w:div w:id="376704614">
      <w:bodyDiv w:val="1"/>
      <w:marLeft w:val="0"/>
      <w:marRight w:val="0"/>
      <w:marTop w:val="0"/>
      <w:marBottom w:val="0"/>
      <w:divBdr>
        <w:top w:val="none" w:sz="0" w:space="0" w:color="auto"/>
        <w:left w:val="none" w:sz="0" w:space="0" w:color="auto"/>
        <w:bottom w:val="none" w:sz="0" w:space="0" w:color="auto"/>
        <w:right w:val="none" w:sz="0" w:space="0" w:color="auto"/>
      </w:divBdr>
    </w:div>
    <w:div w:id="402944961">
      <w:bodyDiv w:val="1"/>
      <w:marLeft w:val="0"/>
      <w:marRight w:val="0"/>
      <w:marTop w:val="0"/>
      <w:marBottom w:val="0"/>
      <w:divBdr>
        <w:top w:val="none" w:sz="0" w:space="0" w:color="auto"/>
        <w:left w:val="none" w:sz="0" w:space="0" w:color="auto"/>
        <w:bottom w:val="none" w:sz="0" w:space="0" w:color="auto"/>
        <w:right w:val="none" w:sz="0" w:space="0" w:color="auto"/>
      </w:divBdr>
      <w:divsChild>
        <w:div w:id="113254519">
          <w:marLeft w:val="547"/>
          <w:marRight w:val="0"/>
          <w:marTop w:val="0"/>
          <w:marBottom w:val="0"/>
          <w:divBdr>
            <w:top w:val="none" w:sz="0" w:space="0" w:color="auto"/>
            <w:left w:val="none" w:sz="0" w:space="0" w:color="auto"/>
            <w:bottom w:val="none" w:sz="0" w:space="0" w:color="auto"/>
            <w:right w:val="none" w:sz="0" w:space="0" w:color="auto"/>
          </w:divBdr>
        </w:div>
      </w:divsChild>
    </w:div>
    <w:div w:id="415055512">
      <w:bodyDiv w:val="1"/>
      <w:marLeft w:val="0"/>
      <w:marRight w:val="0"/>
      <w:marTop w:val="0"/>
      <w:marBottom w:val="0"/>
      <w:divBdr>
        <w:top w:val="none" w:sz="0" w:space="0" w:color="auto"/>
        <w:left w:val="none" w:sz="0" w:space="0" w:color="auto"/>
        <w:bottom w:val="none" w:sz="0" w:space="0" w:color="auto"/>
        <w:right w:val="none" w:sz="0" w:space="0" w:color="auto"/>
      </w:divBdr>
    </w:div>
    <w:div w:id="418479038">
      <w:bodyDiv w:val="1"/>
      <w:marLeft w:val="0"/>
      <w:marRight w:val="0"/>
      <w:marTop w:val="0"/>
      <w:marBottom w:val="0"/>
      <w:divBdr>
        <w:top w:val="none" w:sz="0" w:space="0" w:color="auto"/>
        <w:left w:val="none" w:sz="0" w:space="0" w:color="auto"/>
        <w:bottom w:val="none" w:sz="0" w:space="0" w:color="auto"/>
        <w:right w:val="none" w:sz="0" w:space="0" w:color="auto"/>
      </w:divBdr>
    </w:div>
    <w:div w:id="448626543">
      <w:bodyDiv w:val="1"/>
      <w:marLeft w:val="0"/>
      <w:marRight w:val="0"/>
      <w:marTop w:val="0"/>
      <w:marBottom w:val="0"/>
      <w:divBdr>
        <w:top w:val="none" w:sz="0" w:space="0" w:color="auto"/>
        <w:left w:val="none" w:sz="0" w:space="0" w:color="auto"/>
        <w:bottom w:val="none" w:sz="0" w:space="0" w:color="auto"/>
        <w:right w:val="none" w:sz="0" w:space="0" w:color="auto"/>
      </w:divBdr>
    </w:div>
    <w:div w:id="449713332">
      <w:bodyDiv w:val="1"/>
      <w:marLeft w:val="0"/>
      <w:marRight w:val="0"/>
      <w:marTop w:val="0"/>
      <w:marBottom w:val="0"/>
      <w:divBdr>
        <w:top w:val="none" w:sz="0" w:space="0" w:color="auto"/>
        <w:left w:val="none" w:sz="0" w:space="0" w:color="auto"/>
        <w:bottom w:val="none" w:sz="0" w:space="0" w:color="auto"/>
        <w:right w:val="none" w:sz="0" w:space="0" w:color="auto"/>
      </w:divBdr>
    </w:div>
    <w:div w:id="476607992">
      <w:bodyDiv w:val="1"/>
      <w:marLeft w:val="0"/>
      <w:marRight w:val="0"/>
      <w:marTop w:val="0"/>
      <w:marBottom w:val="0"/>
      <w:divBdr>
        <w:top w:val="none" w:sz="0" w:space="0" w:color="auto"/>
        <w:left w:val="none" w:sz="0" w:space="0" w:color="auto"/>
        <w:bottom w:val="none" w:sz="0" w:space="0" w:color="auto"/>
        <w:right w:val="none" w:sz="0" w:space="0" w:color="auto"/>
      </w:divBdr>
    </w:div>
    <w:div w:id="484861688">
      <w:bodyDiv w:val="1"/>
      <w:marLeft w:val="0"/>
      <w:marRight w:val="0"/>
      <w:marTop w:val="0"/>
      <w:marBottom w:val="0"/>
      <w:divBdr>
        <w:top w:val="none" w:sz="0" w:space="0" w:color="auto"/>
        <w:left w:val="none" w:sz="0" w:space="0" w:color="auto"/>
        <w:bottom w:val="none" w:sz="0" w:space="0" w:color="auto"/>
        <w:right w:val="none" w:sz="0" w:space="0" w:color="auto"/>
      </w:divBdr>
      <w:divsChild>
        <w:div w:id="939869363">
          <w:marLeft w:val="547"/>
          <w:marRight w:val="0"/>
          <w:marTop w:val="0"/>
          <w:marBottom w:val="0"/>
          <w:divBdr>
            <w:top w:val="none" w:sz="0" w:space="0" w:color="auto"/>
            <w:left w:val="none" w:sz="0" w:space="0" w:color="auto"/>
            <w:bottom w:val="none" w:sz="0" w:space="0" w:color="auto"/>
            <w:right w:val="none" w:sz="0" w:space="0" w:color="auto"/>
          </w:divBdr>
        </w:div>
      </w:divsChild>
    </w:div>
    <w:div w:id="495146331">
      <w:bodyDiv w:val="1"/>
      <w:marLeft w:val="0"/>
      <w:marRight w:val="0"/>
      <w:marTop w:val="0"/>
      <w:marBottom w:val="0"/>
      <w:divBdr>
        <w:top w:val="none" w:sz="0" w:space="0" w:color="auto"/>
        <w:left w:val="none" w:sz="0" w:space="0" w:color="auto"/>
        <w:bottom w:val="none" w:sz="0" w:space="0" w:color="auto"/>
        <w:right w:val="none" w:sz="0" w:space="0" w:color="auto"/>
      </w:divBdr>
    </w:div>
    <w:div w:id="508638030">
      <w:bodyDiv w:val="1"/>
      <w:marLeft w:val="0"/>
      <w:marRight w:val="0"/>
      <w:marTop w:val="0"/>
      <w:marBottom w:val="0"/>
      <w:divBdr>
        <w:top w:val="none" w:sz="0" w:space="0" w:color="auto"/>
        <w:left w:val="none" w:sz="0" w:space="0" w:color="auto"/>
        <w:bottom w:val="none" w:sz="0" w:space="0" w:color="auto"/>
        <w:right w:val="none" w:sz="0" w:space="0" w:color="auto"/>
      </w:divBdr>
    </w:div>
    <w:div w:id="554855082">
      <w:bodyDiv w:val="1"/>
      <w:marLeft w:val="0"/>
      <w:marRight w:val="0"/>
      <w:marTop w:val="0"/>
      <w:marBottom w:val="0"/>
      <w:divBdr>
        <w:top w:val="none" w:sz="0" w:space="0" w:color="auto"/>
        <w:left w:val="none" w:sz="0" w:space="0" w:color="auto"/>
        <w:bottom w:val="none" w:sz="0" w:space="0" w:color="auto"/>
        <w:right w:val="none" w:sz="0" w:space="0" w:color="auto"/>
      </w:divBdr>
    </w:div>
    <w:div w:id="557980828">
      <w:bodyDiv w:val="1"/>
      <w:marLeft w:val="0"/>
      <w:marRight w:val="0"/>
      <w:marTop w:val="0"/>
      <w:marBottom w:val="0"/>
      <w:divBdr>
        <w:top w:val="none" w:sz="0" w:space="0" w:color="auto"/>
        <w:left w:val="none" w:sz="0" w:space="0" w:color="auto"/>
        <w:bottom w:val="none" w:sz="0" w:space="0" w:color="auto"/>
        <w:right w:val="none" w:sz="0" w:space="0" w:color="auto"/>
      </w:divBdr>
      <w:divsChild>
        <w:div w:id="2048021404">
          <w:marLeft w:val="547"/>
          <w:marRight w:val="0"/>
          <w:marTop w:val="0"/>
          <w:marBottom w:val="0"/>
          <w:divBdr>
            <w:top w:val="none" w:sz="0" w:space="0" w:color="auto"/>
            <w:left w:val="none" w:sz="0" w:space="0" w:color="auto"/>
            <w:bottom w:val="none" w:sz="0" w:space="0" w:color="auto"/>
            <w:right w:val="none" w:sz="0" w:space="0" w:color="auto"/>
          </w:divBdr>
        </w:div>
      </w:divsChild>
    </w:div>
    <w:div w:id="561865054">
      <w:bodyDiv w:val="1"/>
      <w:marLeft w:val="0"/>
      <w:marRight w:val="0"/>
      <w:marTop w:val="0"/>
      <w:marBottom w:val="0"/>
      <w:divBdr>
        <w:top w:val="none" w:sz="0" w:space="0" w:color="auto"/>
        <w:left w:val="none" w:sz="0" w:space="0" w:color="auto"/>
        <w:bottom w:val="none" w:sz="0" w:space="0" w:color="auto"/>
        <w:right w:val="none" w:sz="0" w:space="0" w:color="auto"/>
      </w:divBdr>
    </w:div>
    <w:div w:id="578321857">
      <w:bodyDiv w:val="1"/>
      <w:marLeft w:val="0"/>
      <w:marRight w:val="0"/>
      <w:marTop w:val="0"/>
      <w:marBottom w:val="0"/>
      <w:divBdr>
        <w:top w:val="none" w:sz="0" w:space="0" w:color="auto"/>
        <w:left w:val="none" w:sz="0" w:space="0" w:color="auto"/>
        <w:bottom w:val="none" w:sz="0" w:space="0" w:color="auto"/>
        <w:right w:val="none" w:sz="0" w:space="0" w:color="auto"/>
      </w:divBdr>
    </w:div>
    <w:div w:id="603851282">
      <w:bodyDiv w:val="1"/>
      <w:marLeft w:val="0"/>
      <w:marRight w:val="0"/>
      <w:marTop w:val="0"/>
      <w:marBottom w:val="0"/>
      <w:divBdr>
        <w:top w:val="none" w:sz="0" w:space="0" w:color="auto"/>
        <w:left w:val="none" w:sz="0" w:space="0" w:color="auto"/>
        <w:bottom w:val="none" w:sz="0" w:space="0" w:color="auto"/>
        <w:right w:val="none" w:sz="0" w:space="0" w:color="auto"/>
      </w:divBdr>
    </w:div>
    <w:div w:id="605582936">
      <w:bodyDiv w:val="1"/>
      <w:marLeft w:val="0"/>
      <w:marRight w:val="0"/>
      <w:marTop w:val="0"/>
      <w:marBottom w:val="0"/>
      <w:divBdr>
        <w:top w:val="none" w:sz="0" w:space="0" w:color="auto"/>
        <w:left w:val="none" w:sz="0" w:space="0" w:color="auto"/>
        <w:bottom w:val="none" w:sz="0" w:space="0" w:color="auto"/>
        <w:right w:val="none" w:sz="0" w:space="0" w:color="auto"/>
      </w:divBdr>
    </w:div>
    <w:div w:id="617835429">
      <w:bodyDiv w:val="1"/>
      <w:marLeft w:val="0"/>
      <w:marRight w:val="0"/>
      <w:marTop w:val="0"/>
      <w:marBottom w:val="0"/>
      <w:divBdr>
        <w:top w:val="none" w:sz="0" w:space="0" w:color="auto"/>
        <w:left w:val="none" w:sz="0" w:space="0" w:color="auto"/>
        <w:bottom w:val="none" w:sz="0" w:space="0" w:color="auto"/>
        <w:right w:val="none" w:sz="0" w:space="0" w:color="auto"/>
      </w:divBdr>
      <w:divsChild>
        <w:div w:id="1043137831">
          <w:marLeft w:val="547"/>
          <w:marRight w:val="0"/>
          <w:marTop w:val="0"/>
          <w:marBottom w:val="0"/>
          <w:divBdr>
            <w:top w:val="none" w:sz="0" w:space="0" w:color="auto"/>
            <w:left w:val="none" w:sz="0" w:space="0" w:color="auto"/>
            <w:bottom w:val="none" w:sz="0" w:space="0" w:color="auto"/>
            <w:right w:val="none" w:sz="0" w:space="0" w:color="auto"/>
          </w:divBdr>
        </w:div>
      </w:divsChild>
    </w:div>
    <w:div w:id="678703881">
      <w:bodyDiv w:val="1"/>
      <w:marLeft w:val="0"/>
      <w:marRight w:val="0"/>
      <w:marTop w:val="0"/>
      <w:marBottom w:val="0"/>
      <w:divBdr>
        <w:top w:val="none" w:sz="0" w:space="0" w:color="auto"/>
        <w:left w:val="none" w:sz="0" w:space="0" w:color="auto"/>
        <w:bottom w:val="none" w:sz="0" w:space="0" w:color="auto"/>
        <w:right w:val="none" w:sz="0" w:space="0" w:color="auto"/>
      </w:divBdr>
    </w:div>
    <w:div w:id="690768171">
      <w:bodyDiv w:val="1"/>
      <w:marLeft w:val="0"/>
      <w:marRight w:val="0"/>
      <w:marTop w:val="0"/>
      <w:marBottom w:val="0"/>
      <w:divBdr>
        <w:top w:val="none" w:sz="0" w:space="0" w:color="auto"/>
        <w:left w:val="none" w:sz="0" w:space="0" w:color="auto"/>
        <w:bottom w:val="none" w:sz="0" w:space="0" w:color="auto"/>
        <w:right w:val="none" w:sz="0" w:space="0" w:color="auto"/>
      </w:divBdr>
      <w:divsChild>
        <w:div w:id="465200440">
          <w:marLeft w:val="547"/>
          <w:marRight w:val="0"/>
          <w:marTop w:val="0"/>
          <w:marBottom w:val="0"/>
          <w:divBdr>
            <w:top w:val="none" w:sz="0" w:space="0" w:color="auto"/>
            <w:left w:val="none" w:sz="0" w:space="0" w:color="auto"/>
            <w:bottom w:val="none" w:sz="0" w:space="0" w:color="auto"/>
            <w:right w:val="none" w:sz="0" w:space="0" w:color="auto"/>
          </w:divBdr>
        </w:div>
      </w:divsChild>
    </w:div>
    <w:div w:id="722219442">
      <w:bodyDiv w:val="1"/>
      <w:marLeft w:val="0"/>
      <w:marRight w:val="0"/>
      <w:marTop w:val="0"/>
      <w:marBottom w:val="0"/>
      <w:divBdr>
        <w:top w:val="none" w:sz="0" w:space="0" w:color="auto"/>
        <w:left w:val="none" w:sz="0" w:space="0" w:color="auto"/>
        <w:bottom w:val="none" w:sz="0" w:space="0" w:color="auto"/>
        <w:right w:val="none" w:sz="0" w:space="0" w:color="auto"/>
      </w:divBdr>
      <w:divsChild>
        <w:div w:id="761684256">
          <w:marLeft w:val="547"/>
          <w:marRight w:val="0"/>
          <w:marTop w:val="0"/>
          <w:marBottom w:val="0"/>
          <w:divBdr>
            <w:top w:val="none" w:sz="0" w:space="0" w:color="auto"/>
            <w:left w:val="none" w:sz="0" w:space="0" w:color="auto"/>
            <w:bottom w:val="none" w:sz="0" w:space="0" w:color="auto"/>
            <w:right w:val="none" w:sz="0" w:space="0" w:color="auto"/>
          </w:divBdr>
        </w:div>
      </w:divsChild>
    </w:div>
    <w:div w:id="742067987">
      <w:bodyDiv w:val="1"/>
      <w:marLeft w:val="0"/>
      <w:marRight w:val="0"/>
      <w:marTop w:val="0"/>
      <w:marBottom w:val="0"/>
      <w:divBdr>
        <w:top w:val="none" w:sz="0" w:space="0" w:color="auto"/>
        <w:left w:val="none" w:sz="0" w:space="0" w:color="auto"/>
        <w:bottom w:val="none" w:sz="0" w:space="0" w:color="auto"/>
        <w:right w:val="none" w:sz="0" w:space="0" w:color="auto"/>
      </w:divBdr>
      <w:divsChild>
        <w:div w:id="1751123289">
          <w:marLeft w:val="547"/>
          <w:marRight w:val="0"/>
          <w:marTop w:val="0"/>
          <w:marBottom w:val="0"/>
          <w:divBdr>
            <w:top w:val="none" w:sz="0" w:space="0" w:color="auto"/>
            <w:left w:val="none" w:sz="0" w:space="0" w:color="auto"/>
            <w:bottom w:val="none" w:sz="0" w:space="0" w:color="auto"/>
            <w:right w:val="none" w:sz="0" w:space="0" w:color="auto"/>
          </w:divBdr>
        </w:div>
      </w:divsChild>
    </w:div>
    <w:div w:id="765728535">
      <w:bodyDiv w:val="1"/>
      <w:marLeft w:val="0"/>
      <w:marRight w:val="0"/>
      <w:marTop w:val="0"/>
      <w:marBottom w:val="0"/>
      <w:divBdr>
        <w:top w:val="none" w:sz="0" w:space="0" w:color="auto"/>
        <w:left w:val="none" w:sz="0" w:space="0" w:color="auto"/>
        <w:bottom w:val="none" w:sz="0" w:space="0" w:color="auto"/>
        <w:right w:val="none" w:sz="0" w:space="0" w:color="auto"/>
      </w:divBdr>
      <w:divsChild>
        <w:div w:id="1782529346">
          <w:marLeft w:val="547"/>
          <w:marRight w:val="0"/>
          <w:marTop w:val="0"/>
          <w:marBottom w:val="0"/>
          <w:divBdr>
            <w:top w:val="none" w:sz="0" w:space="0" w:color="auto"/>
            <w:left w:val="none" w:sz="0" w:space="0" w:color="auto"/>
            <w:bottom w:val="none" w:sz="0" w:space="0" w:color="auto"/>
            <w:right w:val="none" w:sz="0" w:space="0" w:color="auto"/>
          </w:divBdr>
        </w:div>
      </w:divsChild>
    </w:div>
    <w:div w:id="784887078">
      <w:bodyDiv w:val="1"/>
      <w:marLeft w:val="0"/>
      <w:marRight w:val="0"/>
      <w:marTop w:val="0"/>
      <w:marBottom w:val="0"/>
      <w:divBdr>
        <w:top w:val="none" w:sz="0" w:space="0" w:color="auto"/>
        <w:left w:val="none" w:sz="0" w:space="0" w:color="auto"/>
        <w:bottom w:val="none" w:sz="0" w:space="0" w:color="auto"/>
        <w:right w:val="none" w:sz="0" w:space="0" w:color="auto"/>
      </w:divBdr>
    </w:div>
    <w:div w:id="817693563">
      <w:bodyDiv w:val="1"/>
      <w:marLeft w:val="0"/>
      <w:marRight w:val="0"/>
      <w:marTop w:val="0"/>
      <w:marBottom w:val="0"/>
      <w:divBdr>
        <w:top w:val="none" w:sz="0" w:space="0" w:color="auto"/>
        <w:left w:val="none" w:sz="0" w:space="0" w:color="auto"/>
        <w:bottom w:val="none" w:sz="0" w:space="0" w:color="auto"/>
        <w:right w:val="none" w:sz="0" w:space="0" w:color="auto"/>
      </w:divBdr>
      <w:divsChild>
        <w:div w:id="309097581">
          <w:marLeft w:val="547"/>
          <w:marRight w:val="0"/>
          <w:marTop w:val="0"/>
          <w:marBottom w:val="0"/>
          <w:divBdr>
            <w:top w:val="none" w:sz="0" w:space="0" w:color="auto"/>
            <w:left w:val="none" w:sz="0" w:space="0" w:color="auto"/>
            <w:bottom w:val="none" w:sz="0" w:space="0" w:color="auto"/>
            <w:right w:val="none" w:sz="0" w:space="0" w:color="auto"/>
          </w:divBdr>
        </w:div>
      </w:divsChild>
    </w:div>
    <w:div w:id="865214330">
      <w:bodyDiv w:val="1"/>
      <w:marLeft w:val="0"/>
      <w:marRight w:val="0"/>
      <w:marTop w:val="0"/>
      <w:marBottom w:val="0"/>
      <w:divBdr>
        <w:top w:val="none" w:sz="0" w:space="0" w:color="auto"/>
        <w:left w:val="none" w:sz="0" w:space="0" w:color="auto"/>
        <w:bottom w:val="none" w:sz="0" w:space="0" w:color="auto"/>
        <w:right w:val="none" w:sz="0" w:space="0" w:color="auto"/>
      </w:divBdr>
      <w:divsChild>
        <w:div w:id="9705536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20974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66482181">
      <w:bodyDiv w:val="1"/>
      <w:marLeft w:val="0"/>
      <w:marRight w:val="0"/>
      <w:marTop w:val="0"/>
      <w:marBottom w:val="0"/>
      <w:divBdr>
        <w:top w:val="none" w:sz="0" w:space="0" w:color="auto"/>
        <w:left w:val="none" w:sz="0" w:space="0" w:color="auto"/>
        <w:bottom w:val="none" w:sz="0" w:space="0" w:color="auto"/>
        <w:right w:val="none" w:sz="0" w:space="0" w:color="auto"/>
      </w:divBdr>
    </w:div>
    <w:div w:id="877159804">
      <w:bodyDiv w:val="1"/>
      <w:marLeft w:val="0"/>
      <w:marRight w:val="0"/>
      <w:marTop w:val="0"/>
      <w:marBottom w:val="0"/>
      <w:divBdr>
        <w:top w:val="none" w:sz="0" w:space="0" w:color="auto"/>
        <w:left w:val="none" w:sz="0" w:space="0" w:color="auto"/>
        <w:bottom w:val="none" w:sz="0" w:space="0" w:color="auto"/>
        <w:right w:val="none" w:sz="0" w:space="0" w:color="auto"/>
      </w:divBdr>
    </w:div>
    <w:div w:id="894318362">
      <w:bodyDiv w:val="1"/>
      <w:marLeft w:val="0"/>
      <w:marRight w:val="0"/>
      <w:marTop w:val="0"/>
      <w:marBottom w:val="0"/>
      <w:divBdr>
        <w:top w:val="none" w:sz="0" w:space="0" w:color="auto"/>
        <w:left w:val="none" w:sz="0" w:space="0" w:color="auto"/>
        <w:bottom w:val="none" w:sz="0" w:space="0" w:color="auto"/>
        <w:right w:val="none" w:sz="0" w:space="0" w:color="auto"/>
      </w:divBdr>
    </w:div>
    <w:div w:id="900603035">
      <w:bodyDiv w:val="1"/>
      <w:marLeft w:val="0"/>
      <w:marRight w:val="0"/>
      <w:marTop w:val="0"/>
      <w:marBottom w:val="0"/>
      <w:divBdr>
        <w:top w:val="none" w:sz="0" w:space="0" w:color="auto"/>
        <w:left w:val="none" w:sz="0" w:space="0" w:color="auto"/>
        <w:bottom w:val="none" w:sz="0" w:space="0" w:color="auto"/>
        <w:right w:val="none" w:sz="0" w:space="0" w:color="auto"/>
      </w:divBdr>
      <w:divsChild>
        <w:div w:id="1932350848">
          <w:marLeft w:val="547"/>
          <w:marRight w:val="0"/>
          <w:marTop w:val="0"/>
          <w:marBottom w:val="0"/>
          <w:divBdr>
            <w:top w:val="none" w:sz="0" w:space="0" w:color="auto"/>
            <w:left w:val="none" w:sz="0" w:space="0" w:color="auto"/>
            <w:bottom w:val="none" w:sz="0" w:space="0" w:color="auto"/>
            <w:right w:val="none" w:sz="0" w:space="0" w:color="auto"/>
          </w:divBdr>
        </w:div>
      </w:divsChild>
    </w:div>
    <w:div w:id="940532730">
      <w:bodyDiv w:val="1"/>
      <w:marLeft w:val="0"/>
      <w:marRight w:val="0"/>
      <w:marTop w:val="0"/>
      <w:marBottom w:val="0"/>
      <w:divBdr>
        <w:top w:val="none" w:sz="0" w:space="0" w:color="auto"/>
        <w:left w:val="none" w:sz="0" w:space="0" w:color="auto"/>
        <w:bottom w:val="none" w:sz="0" w:space="0" w:color="auto"/>
        <w:right w:val="none" w:sz="0" w:space="0" w:color="auto"/>
      </w:divBdr>
      <w:divsChild>
        <w:div w:id="1651207687">
          <w:marLeft w:val="547"/>
          <w:marRight w:val="0"/>
          <w:marTop w:val="0"/>
          <w:marBottom w:val="0"/>
          <w:divBdr>
            <w:top w:val="none" w:sz="0" w:space="0" w:color="auto"/>
            <w:left w:val="none" w:sz="0" w:space="0" w:color="auto"/>
            <w:bottom w:val="none" w:sz="0" w:space="0" w:color="auto"/>
            <w:right w:val="none" w:sz="0" w:space="0" w:color="auto"/>
          </w:divBdr>
        </w:div>
      </w:divsChild>
    </w:div>
    <w:div w:id="990139127">
      <w:bodyDiv w:val="1"/>
      <w:marLeft w:val="0"/>
      <w:marRight w:val="0"/>
      <w:marTop w:val="0"/>
      <w:marBottom w:val="0"/>
      <w:divBdr>
        <w:top w:val="none" w:sz="0" w:space="0" w:color="auto"/>
        <w:left w:val="none" w:sz="0" w:space="0" w:color="auto"/>
        <w:bottom w:val="none" w:sz="0" w:space="0" w:color="auto"/>
        <w:right w:val="none" w:sz="0" w:space="0" w:color="auto"/>
      </w:divBdr>
    </w:div>
    <w:div w:id="991714027">
      <w:bodyDiv w:val="1"/>
      <w:marLeft w:val="0"/>
      <w:marRight w:val="0"/>
      <w:marTop w:val="0"/>
      <w:marBottom w:val="0"/>
      <w:divBdr>
        <w:top w:val="none" w:sz="0" w:space="0" w:color="auto"/>
        <w:left w:val="none" w:sz="0" w:space="0" w:color="auto"/>
        <w:bottom w:val="none" w:sz="0" w:space="0" w:color="auto"/>
        <w:right w:val="none" w:sz="0" w:space="0" w:color="auto"/>
      </w:divBdr>
    </w:div>
    <w:div w:id="997654559">
      <w:bodyDiv w:val="1"/>
      <w:marLeft w:val="0"/>
      <w:marRight w:val="0"/>
      <w:marTop w:val="0"/>
      <w:marBottom w:val="0"/>
      <w:divBdr>
        <w:top w:val="none" w:sz="0" w:space="0" w:color="auto"/>
        <w:left w:val="none" w:sz="0" w:space="0" w:color="auto"/>
        <w:bottom w:val="none" w:sz="0" w:space="0" w:color="auto"/>
        <w:right w:val="none" w:sz="0" w:space="0" w:color="auto"/>
      </w:divBdr>
    </w:div>
    <w:div w:id="1023744300">
      <w:bodyDiv w:val="1"/>
      <w:marLeft w:val="0"/>
      <w:marRight w:val="0"/>
      <w:marTop w:val="0"/>
      <w:marBottom w:val="0"/>
      <w:divBdr>
        <w:top w:val="none" w:sz="0" w:space="0" w:color="auto"/>
        <w:left w:val="none" w:sz="0" w:space="0" w:color="auto"/>
        <w:bottom w:val="none" w:sz="0" w:space="0" w:color="auto"/>
        <w:right w:val="none" w:sz="0" w:space="0" w:color="auto"/>
      </w:divBdr>
    </w:div>
    <w:div w:id="1043791969">
      <w:bodyDiv w:val="1"/>
      <w:marLeft w:val="0"/>
      <w:marRight w:val="0"/>
      <w:marTop w:val="0"/>
      <w:marBottom w:val="0"/>
      <w:divBdr>
        <w:top w:val="none" w:sz="0" w:space="0" w:color="auto"/>
        <w:left w:val="none" w:sz="0" w:space="0" w:color="auto"/>
        <w:bottom w:val="none" w:sz="0" w:space="0" w:color="auto"/>
        <w:right w:val="none" w:sz="0" w:space="0" w:color="auto"/>
      </w:divBdr>
    </w:div>
    <w:div w:id="1063138577">
      <w:bodyDiv w:val="1"/>
      <w:marLeft w:val="0"/>
      <w:marRight w:val="0"/>
      <w:marTop w:val="0"/>
      <w:marBottom w:val="0"/>
      <w:divBdr>
        <w:top w:val="none" w:sz="0" w:space="0" w:color="auto"/>
        <w:left w:val="none" w:sz="0" w:space="0" w:color="auto"/>
        <w:bottom w:val="none" w:sz="0" w:space="0" w:color="auto"/>
        <w:right w:val="none" w:sz="0" w:space="0" w:color="auto"/>
      </w:divBdr>
      <w:divsChild>
        <w:div w:id="741295784">
          <w:marLeft w:val="547"/>
          <w:marRight w:val="0"/>
          <w:marTop w:val="0"/>
          <w:marBottom w:val="0"/>
          <w:divBdr>
            <w:top w:val="none" w:sz="0" w:space="0" w:color="auto"/>
            <w:left w:val="none" w:sz="0" w:space="0" w:color="auto"/>
            <w:bottom w:val="none" w:sz="0" w:space="0" w:color="auto"/>
            <w:right w:val="none" w:sz="0" w:space="0" w:color="auto"/>
          </w:divBdr>
        </w:div>
      </w:divsChild>
    </w:div>
    <w:div w:id="1078820134">
      <w:bodyDiv w:val="1"/>
      <w:marLeft w:val="0"/>
      <w:marRight w:val="0"/>
      <w:marTop w:val="0"/>
      <w:marBottom w:val="0"/>
      <w:divBdr>
        <w:top w:val="none" w:sz="0" w:space="0" w:color="auto"/>
        <w:left w:val="none" w:sz="0" w:space="0" w:color="auto"/>
        <w:bottom w:val="none" w:sz="0" w:space="0" w:color="auto"/>
        <w:right w:val="none" w:sz="0" w:space="0" w:color="auto"/>
      </w:divBdr>
    </w:div>
    <w:div w:id="1110054123">
      <w:bodyDiv w:val="1"/>
      <w:marLeft w:val="0"/>
      <w:marRight w:val="0"/>
      <w:marTop w:val="0"/>
      <w:marBottom w:val="0"/>
      <w:divBdr>
        <w:top w:val="none" w:sz="0" w:space="0" w:color="auto"/>
        <w:left w:val="none" w:sz="0" w:space="0" w:color="auto"/>
        <w:bottom w:val="none" w:sz="0" w:space="0" w:color="auto"/>
        <w:right w:val="none" w:sz="0" w:space="0" w:color="auto"/>
      </w:divBdr>
    </w:div>
    <w:div w:id="1147161230">
      <w:bodyDiv w:val="1"/>
      <w:marLeft w:val="0"/>
      <w:marRight w:val="0"/>
      <w:marTop w:val="0"/>
      <w:marBottom w:val="0"/>
      <w:divBdr>
        <w:top w:val="none" w:sz="0" w:space="0" w:color="auto"/>
        <w:left w:val="none" w:sz="0" w:space="0" w:color="auto"/>
        <w:bottom w:val="none" w:sz="0" w:space="0" w:color="auto"/>
        <w:right w:val="none" w:sz="0" w:space="0" w:color="auto"/>
      </w:divBdr>
    </w:div>
    <w:div w:id="1180970792">
      <w:bodyDiv w:val="1"/>
      <w:marLeft w:val="0"/>
      <w:marRight w:val="0"/>
      <w:marTop w:val="0"/>
      <w:marBottom w:val="0"/>
      <w:divBdr>
        <w:top w:val="none" w:sz="0" w:space="0" w:color="auto"/>
        <w:left w:val="none" w:sz="0" w:space="0" w:color="auto"/>
        <w:bottom w:val="none" w:sz="0" w:space="0" w:color="auto"/>
        <w:right w:val="none" w:sz="0" w:space="0" w:color="auto"/>
      </w:divBdr>
      <w:divsChild>
        <w:div w:id="647176409">
          <w:marLeft w:val="547"/>
          <w:marRight w:val="0"/>
          <w:marTop w:val="0"/>
          <w:marBottom w:val="0"/>
          <w:divBdr>
            <w:top w:val="none" w:sz="0" w:space="0" w:color="auto"/>
            <w:left w:val="none" w:sz="0" w:space="0" w:color="auto"/>
            <w:bottom w:val="none" w:sz="0" w:space="0" w:color="auto"/>
            <w:right w:val="none" w:sz="0" w:space="0" w:color="auto"/>
          </w:divBdr>
        </w:div>
      </w:divsChild>
    </w:div>
    <w:div w:id="1183469524">
      <w:bodyDiv w:val="1"/>
      <w:marLeft w:val="0"/>
      <w:marRight w:val="0"/>
      <w:marTop w:val="0"/>
      <w:marBottom w:val="0"/>
      <w:divBdr>
        <w:top w:val="none" w:sz="0" w:space="0" w:color="auto"/>
        <w:left w:val="none" w:sz="0" w:space="0" w:color="auto"/>
        <w:bottom w:val="none" w:sz="0" w:space="0" w:color="auto"/>
        <w:right w:val="none" w:sz="0" w:space="0" w:color="auto"/>
      </w:divBdr>
      <w:divsChild>
        <w:div w:id="78872393">
          <w:marLeft w:val="547"/>
          <w:marRight w:val="0"/>
          <w:marTop w:val="0"/>
          <w:marBottom w:val="0"/>
          <w:divBdr>
            <w:top w:val="none" w:sz="0" w:space="0" w:color="auto"/>
            <w:left w:val="none" w:sz="0" w:space="0" w:color="auto"/>
            <w:bottom w:val="none" w:sz="0" w:space="0" w:color="auto"/>
            <w:right w:val="none" w:sz="0" w:space="0" w:color="auto"/>
          </w:divBdr>
        </w:div>
      </w:divsChild>
    </w:div>
    <w:div w:id="1193491051">
      <w:bodyDiv w:val="1"/>
      <w:marLeft w:val="0"/>
      <w:marRight w:val="0"/>
      <w:marTop w:val="0"/>
      <w:marBottom w:val="0"/>
      <w:divBdr>
        <w:top w:val="none" w:sz="0" w:space="0" w:color="auto"/>
        <w:left w:val="none" w:sz="0" w:space="0" w:color="auto"/>
        <w:bottom w:val="none" w:sz="0" w:space="0" w:color="auto"/>
        <w:right w:val="none" w:sz="0" w:space="0" w:color="auto"/>
      </w:divBdr>
      <w:divsChild>
        <w:div w:id="18967765">
          <w:marLeft w:val="547"/>
          <w:marRight w:val="0"/>
          <w:marTop w:val="0"/>
          <w:marBottom w:val="0"/>
          <w:divBdr>
            <w:top w:val="none" w:sz="0" w:space="0" w:color="auto"/>
            <w:left w:val="none" w:sz="0" w:space="0" w:color="auto"/>
            <w:bottom w:val="none" w:sz="0" w:space="0" w:color="auto"/>
            <w:right w:val="none" w:sz="0" w:space="0" w:color="auto"/>
          </w:divBdr>
        </w:div>
      </w:divsChild>
    </w:div>
    <w:div w:id="1227687334">
      <w:bodyDiv w:val="1"/>
      <w:marLeft w:val="0"/>
      <w:marRight w:val="0"/>
      <w:marTop w:val="0"/>
      <w:marBottom w:val="0"/>
      <w:divBdr>
        <w:top w:val="none" w:sz="0" w:space="0" w:color="auto"/>
        <w:left w:val="none" w:sz="0" w:space="0" w:color="auto"/>
        <w:bottom w:val="none" w:sz="0" w:space="0" w:color="auto"/>
        <w:right w:val="none" w:sz="0" w:space="0" w:color="auto"/>
      </w:divBdr>
      <w:divsChild>
        <w:div w:id="1870878558">
          <w:marLeft w:val="547"/>
          <w:marRight w:val="0"/>
          <w:marTop w:val="0"/>
          <w:marBottom w:val="0"/>
          <w:divBdr>
            <w:top w:val="none" w:sz="0" w:space="0" w:color="auto"/>
            <w:left w:val="none" w:sz="0" w:space="0" w:color="auto"/>
            <w:bottom w:val="none" w:sz="0" w:space="0" w:color="auto"/>
            <w:right w:val="none" w:sz="0" w:space="0" w:color="auto"/>
          </w:divBdr>
        </w:div>
      </w:divsChild>
    </w:div>
    <w:div w:id="1255894721">
      <w:bodyDiv w:val="1"/>
      <w:marLeft w:val="0"/>
      <w:marRight w:val="0"/>
      <w:marTop w:val="0"/>
      <w:marBottom w:val="0"/>
      <w:divBdr>
        <w:top w:val="none" w:sz="0" w:space="0" w:color="auto"/>
        <w:left w:val="none" w:sz="0" w:space="0" w:color="auto"/>
        <w:bottom w:val="none" w:sz="0" w:space="0" w:color="auto"/>
        <w:right w:val="none" w:sz="0" w:space="0" w:color="auto"/>
      </w:divBdr>
    </w:div>
    <w:div w:id="1276055441">
      <w:bodyDiv w:val="1"/>
      <w:marLeft w:val="0"/>
      <w:marRight w:val="0"/>
      <w:marTop w:val="0"/>
      <w:marBottom w:val="0"/>
      <w:divBdr>
        <w:top w:val="none" w:sz="0" w:space="0" w:color="auto"/>
        <w:left w:val="none" w:sz="0" w:space="0" w:color="auto"/>
        <w:bottom w:val="none" w:sz="0" w:space="0" w:color="auto"/>
        <w:right w:val="none" w:sz="0" w:space="0" w:color="auto"/>
      </w:divBdr>
    </w:div>
    <w:div w:id="1277641158">
      <w:bodyDiv w:val="1"/>
      <w:marLeft w:val="0"/>
      <w:marRight w:val="0"/>
      <w:marTop w:val="0"/>
      <w:marBottom w:val="0"/>
      <w:divBdr>
        <w:top w:val="none" w:sz="0" w:space="0" w:color="auto"/>
        <w:left w:val="none" w:sz="0" w:space="0" w:color="auto"/>
        <w:bottom w:val="none" w:sz="0" w:space="0" w:color="auto"/>
        <w:right w:val="none" w:sz="0" w:space="0" w:color="auto"/>
      </w:divBdr>
      <w:divsChild>
        <w:div w:id="268860210">
          <w:marLeft w:val="547"/>
          <w:marRight w:val="0"/>
          <w:marTop w:val="0"/>
          <w:marBottom w:val="0"/>
          <w:divBdr>
            <w:top w:val="none" w:sz="0" w:space="0" w:color="auto"/>
            <w:left w:val="none" w:sz="0" w:space="0" w:color="auto"/>
            <w:bottom w:val="none" w:sz="0" w:space="0" w:color="auto"/>
            <w:right w:val="none" w:sz="0" w:space="0" w:color="auto"/>
          </w:divBdr>
        </w:div>
      </w:divsChild>
    </w:div>
    <w:div w:id="1282496901">
      <w:bodyDiv w:val="1"/>
      <w:marLeft w:val="0"/>
      <w:marRight w:val="0"/>
      <w:marTop w:val="0"/>
      <w:marBottom w:val="0"/>
      <w:divBdr>
        <w:top w:val="none" w:sz="0" w:space="0" w:color="auto"/>
        <w:left w:val="none" w:sz="0" w:space="0" w:color="auto"/>
        <w:bottom w:val="none" w:sz="0" w:space="0" w:color="auto"/>
        <w:right w:val="none" w:sz="0" w:space="0" w:color="auto"/>
      </w:divBdr>
      <w:divsChild>
        <w:div w:id="519852303">
          <w:marLeft w:val="547"/>
          <w:marRight w:val="0"/>
          <w:marTop w:val="0"/>
          <w:marBottom w:val="0"/>
          <w:divBdr>
            <w:top w:val="none" w:sz="0" w:space="0" w:color="auto"/>
            <w:left w:val="none" w:sz="0" w:space="0" w:color="auto"/>
            <w:bottom w:val="none" w:sz="0" w:space="0" w:color="auto"/>
            <w:right w:val="none" w:sz="0" w:space="0" w:color="auto"/>
          </w:divBdr>
        </w:div>
      </w:divsChild>
    </w:div>
    <w:div w:id="1292587809">
      <w:bodyDiv w:val="1"/>
      <w:marLeft w:val="0"/>
      <w:marRight w:val="0"/>
      <w:marTop w:val="0"/>
      <w:marBottom w:val="0"/>
      <w:divBdr>
        <w:top w:val="none" w:sz="0" w:space="0" w:color="auto"/>
        <w:left w:val="none" w:sz="0" w:space="0" w:color="auto"/>
        <w:bottom w:val="none" w:sz="0" w:space="0" w:color="auto"/>
        <w:right w:val="none" w:sz="0" w:space="0" w:color="auto"/>
      </w:divBdr>
      <w:divsChild>
        <w:div w:id="1455902084">
          <w:marLeft w:val="547"/>
          <w:marRight w:val="0"/>
          <w:marTop w:val="0"/>
          <w:marBottom w:val="0"/>
          <w:divBdr>
            <w:top w:val="none" w:sz="0" w:space="0" w:color="auto"/>
            <w:left w:val="none" w:sz="0" w:space="0" w:color="auto"/>
            <w:bottom w:val="none" w:sz="0" w:space="0" w:color="auto"/>
            <w:right w:val="none" w:sz="0" w:space="0" w:color="auto"/>
          </w:divBdr>
        </w:div>
      </w:divsChild>
    </w:div>
    <w:div w:id="1366249526">
      <w:bodyDiv w:val="1"/>
      <w:marLeft w:val="0"/>
      <w:marRight w:val="0"/>
      <w:marTop w:val="0"/>
      <w:marBottom w:val="0"/>
      <w:divBdr>
        <w:top w:val="none" w:sz="0" w:space="0" w:color="auto"/>
        <w:left w:val="none" w:sz="0" w:space="0" w:color="auto"/>
        <w:bottom w:val="none" w:sz="0" w:space="0" w:color="auto"/>
        <w:right w:val="none" w:sz="0" w:space="0" w:color="auto"/>
      </w:divBdr>
    </w:div>
    <w:div w:id="1367759091">
      <w:bodyDiv w:val="1"/>
      <w:marLeft w:val="0"/>
      <w:marRight w:val="0"/>
      <w:marTop w:val="0"/>
      <w:marBottom w:val="0"/>
      <w:divBdr>
        <w:top w:val="none" w:sz="0" w:space="0" w:color="auto"/>
        <w:left w:val="none" w:sz="0" w:space="0" w:color="auto"/>
        <w:bottom w:val="none" w:sz="0" w:space="0" w:color="auto"/>
        <w:right w:val="none" w:sz="0" w:space="0" w:color="auto"/>
      </w:divBdr>
    </w:div>
    <w:div w:id="1395349654">
      <w:bodyDiv w:val="1"/>
      <w:marLeft w:val="0"/>
      <w:marRight w:val="0"/>
      <w:marTop w:val="0"/>
      <w:marBottom w:val="0"/>
      <w:divBdr>
        <w:top w:val="none" w:sz="0" w:space="0" w:color="auto"/>
        <w:left w:val="none" w:sz="0" w:space="0" w:color="auto"/>
        <w:bottom w:val="none" w:sz="0" w:space="0" w:color="auto"/>
        <w:right w:val="none" w:sz="0" w:space="0" w:color="auto"/>
      </w:divBdr>
    </w:div>
    <w:div w:id="1446777360">
      <w:bodyDiv w:val="1"/>
      <w:marLeft w:val="0"/>
      <w:marRight w:val="0"/>
      <w:marTop w:val="0"/>
      <w:marBottom w:val="0"/>
      <w:divBdr>
        <w:top w:val="none" w:sz="0" w:space="0" w:color="auto"/>
        <w:left w:val="none" w:sz="0" w:space="0" w:color="auto"/>
        <w:bottom w:val="none" w:sz="0" w:space="0" w:color="auto"/>
        <w:right w:val="none" w:sz="0" w:space="0" w:color="auto"/>
      </w:divBdr>
    </w:div>
    <w:div w:id="1448112785">
      <w:bodyDiv w:val="1"/>
      <w:marLeft w:val="0"/>
      <w:marRight w:val="0"/>
      <w:marTop w:val="0"/>
      <w:marBottom w:val="0"/>
      <w:divBdr>
        <w:top w:val="none" w:sz="0" w:space="0" w:color="auto"/>
        <w:left w:val="none" w:sz="0" w:space="0" w:color="auto"/>
        <w:bottom w:val="none" w:sz="0" w:space="0" w:color="auto"/>
        <w:right w:val="none" w:sz="0" w:space="0" w:color="auto"/>
      </w:divBdr>
      <w:divsChild>
        <w:div w:id="1211914382">
          <w:marLeft w:val="547"/>
          <w:marRight w:val="0"/>
          <w:marTop w:val="0"/>
          <w:marBottom w:val="0"/>
          <w:divBdr>
            <w:top w:val="none" w:sz="0" w:space="0" w:color="auto"/>
            <w:left w:val="none" w:sz="0" w:space="0" w:color="auto"/>
            <w:bottom w:val="none" w:sz="0" w:space="0" w:color="auto"/>
            <w:right w:val="none" w:sz="0" w:space="0" w:color="auto"/>
          </w:divBdr>
        </w:div>
      </w:divsChild>
    </w:div>
    <w:div w:id="1479804095">
      <w:bodyDiv w:val="1"/>
      <w:marLeft w:val="0"/>
      <w:marRight w:val="0"/>
      <w:marTop w:val="0"/>
      <w:marBottom w:val="0"/>
      <w:divBdr>
        <w:top w:val="none" w:sz="0" w:space="0" w:color="auto"/>
        <w:left w:val="none" w:sz="0" w:space="0" w:color="auto"/>
        <w:bottom w:val="none" w:sz="0" w:space="0" w:color="auto"/>
        <w:right w:val="none" w:sz="0" w:space="0" w:color="auto"/>
      </w:divBdr>
    </w:div>
    <w:div w:id="1493910975">
      <w:bodyDiv w:val="1"/>
      <w:marLeft w:val="0"/>
      <w:marRight w:val="0"/>
      <w:marTop w:val="0"/>
      <w:marBottom w:val="0"/>
      <w:divBdr>
        <w:top w:val="none" w:sz="0" w:space="0" w:color="auto"/>
        <w:left w:val="none" w:sz="0" w:space="0" w:color="auto"/>
        <w:bottom w:val="none" w:sz="0" w:space="0" w:color="auto"/>
        <w:right w:val="none" w:sz="0" w:space="0" w:color="auto"/>
      </w:divBdr>
      <w:divsChild>
        <w:div w:id="2103992119">
          <w:marLeft w:val="547"/>
          <w:marRight w:val="0"/>
          <w:marTop w:val="0"/>
          <w:marBottom w:val="0"/>
          <w:divBdr>
            <w:top w:val="none" w:sz="0" w:space="0" w:color="auto"/>
            <w:left w:val="none" w:sz="0" w:space="0" w:color="auto"/>
            <w:bottom w:val="none" w:sz="0" w:space="0" w:color="auto"/>
            <w:right w:val="none" w:sz="0" w:space="0" w:color="auto"/>
          </w:divBdr>
        </w:div>
      </w:divsChild>
    </w:div>
    <w:div w:id="1532499550">
      <w:bodyDiv w:val="1"/>
      <w:marLeft w:val="0"/>
      <w:marRight w:val="0"/>
      <w:marTop w:val="0"/>
      <w:marBottom w:val="0"/>
      <w:divBdr>
        <w:top w:val="none" w:sz="0" w:space="0" w:color="auto"/>
        <w:left w:val="none" w:sz="0" w:space="0" w:color="auto"/>
        <w:bottom w:val="none" w:sz="0" w:space="0" w:color="auto"/>
        <w:right w:val="none" w:sz="0" w:space="0" w:color="auto"/>
      </w:divBdr>
      <w:divsChild>
        <w:div w:id="1484853185">
          <w:marLeft w:val="547"/>
          <w:marRight w:val="0"/>
          <w:marTop w:val="0"/>
          <w:marBottom w:val="0"/>
          <w:divBdr>
            <w:top w:val="none" w:sz="0" w:space="0" w:color="auto"/>
            <w:left w:val="none" w:sz="0" w:space="0" w:color="auto"/>
            <w:bottom w:val="none" w:sz="0" w:space="0" w:color="auto"/>
            <w:right w:val="none" w:sz="0" w:space="0" w:color="auto"/>
          </w:divBdr>
        </w:div>
      </w:divsChild>
    </w:div>
    <w:div w:id="1559708129">
      <w:bodyDiv w:val="1"/>
      <w:marLeft w:val="0"/>
      <w:marRight w:val="0"/>
      <w:marTop w:val="0"/>
      <w:marBottom w:val="0"/>
      <w:divBdr>
        <w:top w:val="none" w:sz="0" w:space="0" w:color="auto"/>
        <w:left w:val="none" w:sz="0" w:space="0" w:color="auto"/>
        <w:bottom w:val="none" w:sz="0" w:space="0" w:color="auto"/>
        <w:right w:val="none" w:sz="0" w:space="0" w:color="auto"/>
      </w:divBdr>
      <w:divsChild>
        <w:div w:id="392168874">
          <w:marLeft w:val="547"/>
          <w:marRight w:val="0"/>
          <w:marTop w:val="0"/>
          <w:marBottom w:val="0"/>
          <w:divBdr>
            <w:top w:val="none" w:sz="0" w:space="0" w:color="auto"/>
            <w:left w:val="none" w:sz="0" w:space="0" w:color="auto"/>
            <w:bottom w:val="none" w:sz="0" w:space="0" w:color="auto"/>
            <w:right w:val="none" w:sz="0" w:space="0" w:color="auto"/>
          </w:divBdr>
        </w:div>
      </w:divsChild>
    </w:div>
    <w:div w:id="1562134186">
      <w:bodyDiv w:val="1"/>
      <w:marLeft w:val="0"/>
      <w:marRight w:val="0"/>
      <w:marTop w:val="0"/>
      <w:marBottom w:val="0"/>
      <w:divBdr>
        <w:top w:val="none" w:sz="0" w:space="0" w:color="auto"/>
        <w:left w:val="none" w:sz="0" w:space="0" w:color="auto"/>
        <w:bottom w:val="none" w:sz="0" w:space="0" w:color="auto"/>
        <w:right w:val="none" w:sz="0" w:space="0" w:color="auto"/>
      </w:divBdr>
    </w:div>
    <w:div w:id="1632438082">
      <w:bodyDiv w:val="1"/>
      <w:marLeft w:val="0"/>
      <w:marRight w:val="0"/>
      <w:marTop w:val="0"/>
      <w:marBottom w:val="0"/>
      <w:divBdr>
        <w:top w:val="none" w:sz="0" w:space="0" w:color="auto"/>
        <w:left w:val="none" w:sz="0" w:space="0" w:color="auto"/>
        <w:bottom w:val="none" w:sz="0" w:space="0" w:color="auto"/>
        <w:right w:val="none" w:sz="0" w:space="0" w:color="auto"/>
      </w:divBdr>
    </w:div>
    <w:div w:id="1634750508">
      <w:bodyDiv w:val="1"/>
      <w:marLeft w:val="0"/>
      <w:marRight w:val="0"/>
      <w:marTop w:val="0"/>
      <w:marBottom w:val="0"/>
      <w:divBdr>
        <w:top w:val="none" w:sz="0" w:space="0" w:color="auto"/>
        <w:left w:val="none" w:sz="0" w:space="0" w:color="auto"/>
        <w:bottom w:val="none" w:sz="0" w:space="0" w:color="auto"/>
        <w:right w:val="none" w:sz="0" w:space="0" w:color="auto"/>
      </w:divBdr>
    </w:div>
    <w:div w:id="1693875399">
      <w:bodyDiv w:val="1"/>
      <w:marLeft w:val="0"/>
      <w:marRight w:val="0"/>
      <w:marTop w:val="0"/>
      <w:marBottom w:val="0"/>
      <w:divBdr>
        <w:top w:val="none" w:sz="0" w:space="0" w:color="auto"/>
        <w:left w:val="none" w:sz="0" w:space="0" w:color="auto"/>
        <w:bottom w:val="none" w:sz="0" w:space="0" w:color="auto"/>
        <w:right w:val="none" w:sz="0" w:space="0" w:color="auto"/>
      </w:divBdr>
    </w:div>
    <w:div w:id="1706910108">
      <w:bodyDiv w:val="1"/>
      <w:marLeft w:val="0"/>
      <w:marRight w:val="0"/>
      <w:marTop w:val="0"/>
      <w:marBottom w:val="0"/>
      <w:divBdr>
        <w:top w:val="none" w:sz="0" w:space="0" w:color="auto"/>
        <w:left w:val="none" w:sz="0" w:space="0" w:color="auto"/>
        <w:bottom w:val="none" w:sz="0" w:space="0" w:color="auto"/>
        <w:right w:val="none" w:sz="0" w:space="0" w:color="auto"/>
      </w:divBdr>
    </w:div>
    <w:div w:id="1786147388">
      <w:bodyDiv w:val="1"/>
      <w:marLeft w:val="0"/>
      <w:marRight w:val="0"/>
      <w:marTop w:val="0"/>
      <w:marBottom w:val="0"/>
      <w:divBdr>
        <w:top w:val="none" w:sz="0" w:space="0" w:color="auto"/>
        <w:left w:val="none" w:sz="0" w:space="0" w:color="auto"/>
        <w:bottom w:val="none" w:sz="0" w:space="0" w:color="auto"/>
        <w:right w:val="none" w:sz="0" w:space="0" w:color="auto"/>
      </w:divBdr>
    </w:div>
    <w:div w:id="1841197463">
      <w:bodyDiv w:val="1"/>
      <w:marLeft w:val="0"/>
      <w:marRight w:val="0"/>
      <w:marTop w:val="0"/>
      <w:marBottom w:val="0"/>
      <w:divBdr>
        <w:top w:val="none" w:sz="0" w:space="0" w:color="auto"/>
        <w:left w:val="none" w:sz="0" w:space="0" w:color="auto"/>
        <w:bottom w:val="none" w:sz="0" w:space="0" w:color="auto"/>
        <w:right w:val="none" w:sz="0" w:space="0" w:color="auto"/>
      </w:divBdr>
      <w:divsChild>
        <w:div w:id="940146666">
          <w:marLeft w:val="547"/>
          <w:marRight w:val="0"/>
          <w:marTop w:val="0"/>
          <w:marBottom w:val="0"/>
          <w:divBdr>
            <w:top w:val="none" w:sz="0" w:space="0" w:color="auto"/>
            <w:left w:val="none" w:sz="0" w:space="0" w:color="auto"/>
            <w:bottom w:val="none" w:sz="0" w:space="0" w:color="auto"/>
            <w:right w:val="none" w:sz="0" w:space="0" w:color="auto"/>
          </w:divBdr>
        </w:div>
      </w:divsChild>
    </w:div>
    <w:div w:id="1878811099">
      <w:bodyDiv w:val="1"/>
      <w:marLeft w:val="0"/>
      <w:marRight w:val="0"/>
      <w:marTop w:val="0"/>
      <w:marBottom w:val="0"/>
      <w:divBdr>
        <w:top w:val="none" w:sz="0" w:space="0" w:color="auto"/>
        <w:left w:val="none" w:sz="0" w:space="0" w:color="auto"/>
        <w:bottom w:val="none" w:sz="0" w:space="0" w:color="auto"/>
        <w:right w:val="none" w:sz="0" w:space="0" w:color="auto"/>
      </w:divBdr>
      <w:divsChild>
        <w:div w:id="1141270438">
          <w:marLeft w:val="547"/>
          <w:marRight w:val="0"/>
          <w:marTop w:val="0"/>
          <w:marBottom w:val="0"/>
          <w:divBdr>
            <w:top w:val="none" w:sz="0" w:space="0" w:color="auto"/>
            <w:left w:val="none" w:sz="0" w:space="0" w:color="auto"/>
            <w:bottom w:val="none" w:sz="0" w:space="0" w:color="auto"/>
            <w:right w:val="none" w:sz="0" w:space="0" w:color="auto"/>
          </w:divBdr>
        </w:div>
      </w:divsChild>
    </w:div>
    <w:div w:id="1883864235">
      <w:bodyDiv w:val="1"/>
      <w:marLeft w:val="0"/>
      <w:marRight w:val="0"/>
      <w:marTop w:val="0"/>
      <w:marBottom w:val="0"/>
      <w:divBdr>
        <w:top w:val="none" w:sz="0" w:space="0" w:color="auto"/>
        <w:left w:val="none" w:sz="0" w:space="0" w:color="auto"/>
        <w:bottom w:val="none" w:sz="0" w:space="0" w:color="auto"/>
        <w:right w:val="none" w:sz="0" w:space="0" w:color="auto"/>
      </w:divBdr>
    </w:div>
    <w:div w:id="1886091564">
      <w:bodyDiv w:val="1"/>
      <w:marLeft w:val="0"/>
      <w:marRight w:val="0"/>
      <w:marTop w:val="0"/>
      <w:marBottom w:val="0"/>
      <w:divBdr>
        <w:top w:val="none" w:sz="0" w:space="0" w:color="auto"/>
        <w:left w:val="none" w:sz="0" w:space="0" w:color="auto"/>
        <w:bottom w:val="none" w:sz="0" w:space="0" w:color="auto"/>
        <w:right w:val="none" w:sz="0" w:space="0" w:color="auto"/>
      </w:divBdr>
      <w:divsChild>
        <w:div w:id="1650936356">
          <w:marLeft w:val="547"/>
          <w:marRight w:val="0"/>
          <w:marTop w:val="0"/>
          <w:marBottom w:val="0"/>
          <w:divBdr>
            <w:top w:val="none" w:sz="0" w:space="0" w:color="auto"/>
            <w:left w:val="none" w:sz="0" w:space="0" w:color="auto"/>
            <w:bottom w:val="none" w:sz="0" w:space="0" w:color="auto"/>
            <w:right w:val="none" w:sz="0" w:space="0" w:color="auto"/>
          </w:divBdr>
        </w:div>
      </w:divsChild>
    </w:div>
    <w:div w:id="1887716159">
      <w:bodyDiv w:val="1"/>
      <w:marLeft w:val="0"/>
      <w:marRight w:val="0"/>
      <w:marTop w:val="0"/>
      <w:marBottom w:val="0"/>
      <w:divBdr>
        <w:top w:val="none" w:sz="0" w:space="0" w:color="auto"/>
        <w:left w:val="none" w:sz="0" w:space="0" w:color="auto"/>
        <w:bottom w:val="none" w:sz="0" w:space="0" w:color="auto"/>
        <w:right w:val="none" w:sz="0" w:space="0" w:color="auto"/>
      </w:divBdr>
    </w:div>
    <w:div w:id="1890796561">
      <w:bodyDiv w:val="1"/>
      <w:marLeft w:val="0"/>
      <w:marRight w:val="0"/>
      <w:marTop w:val="0"/>
      <w:marBottom w:val="0"/>
      <w:divBdr>
        <w:top w:val="none" w:sz="0" w:space="0" w:color="auto"/>
        <w:left w:val="none" w:sz="0" w:space="0" w:color="auto"/>
        <w:bottom w:val="none" w:sz="0" w:space="0" w:color="auto"/>
        <w:right w:val="none" w:sz="0" w:space="0" w:color="auto"/>
      </w:divBdr>
    </w:div>
    <w:div w:id="1957909600">
      <w:bodyDiv w:val="1"/>
      <w:marLeft w:val="0"/>
      <w:marRight w:val="0"/>
      <w:marTop w:val="0"/>
      <w:marBottom w:val="0"/>
      <w:divBdr>
        <w:top w:val="none" w:sz="0" w:space="0" w:color="auto"/>
        <w:left w:val="none" w:sz="0" w:space="0" w:color="auto"/>
        <w:bottom w:val="none" w:sz="0" w:space="0" w:color="auto"/>
        <w:right w:val="none" w:sz="0" w:space="0" w:color="auto"/>
      </w:divBdr>
    </w:div>
    <w:div w:id="2000383564">
      <w:bodyDiv w:val="1"/>
      <w:marLeft w:val="0"/>
      <w:marRight w:val="0"/>
      <w:marTop w:val="0"/>
      <w:marBottom w:val="0"/>
      <w:divBdr>
        <w:top w:val="none" w:sz="0" w:space="0" w:color="auto"/>
        <w:left w:val="none" w:sz="0" w:space="0" w:color="auto"/>
        <w:bottom w:val="none" w:sz="0" w:space="0" w:color="auto"/>
        <w:right w:val="none" w:sz="0" w:space="0" w:color="auto"/>
      </w:divBdr>
      <w:divsChild>
        <w:div w:id="631131198">
          <w:marLeft w:val="547"/>
          <w:marRight w:val="0"/>
          <w:marTop w:val="0"/>
          <w:marBottom w:val="0"/>
          <w:divBdr>
            <w:top w:val="none" w:sz="0" w:space="0" w:color="auto"/>
            <w:left w:val="none" w:sz="0" w:space="0" w:color="auto"/>
            <w:bottom w:val="none" w:sz="0" w:space="0" w:color="auto"/>
            <w:right w:val="none" w:sz="0" w:space="0" w:color="auto"/>
          </w:divBdr>
        </w:div>
      </w:divsChild>
    </w:div>
    <w:div w:id="2014141278">
      <w:bodyDiv w:val="1"/>
      <w:marLeft w:val="0"/>
      <w:marRight w:val="0"/>
      <w:marTop w:val="0"/>
      <w:marBottom w:val="0"/>
      <w:divBdr>
        <w:top w:val="none" w:sz="0" w:space="0" w:color="auto"/>
        <w:left w:val="none" w:sz="0" w:space="0" w:color="auto"/>
        <w:bottom w:val="none" w:sz="0" w:space="0" w:color="auto"/>
        <w:right w:val="none" w:sz="0" w:space="0" w:color="auto"/>
      </w:divBdr>
    </w:div>
    <w:div w:id="2040817877">
      <w:bodyDiv w:val="1"/>
      <w:marLeft w:val="0"/>
      <w:marRight w:val="0"/>
      <w:marTop w:val="0"/>
      <w:marBottom w:val="0"/>
      <w:divBdr>
        <w:top w:val="none" w:sz="0" w:space="0" w:color="auto"/>
        <w:left w:val="none" w:sz="0" w:space="0" w:color="auto"/>
        <w:bottom w:val="none" w:sz="0" w:space="0" w:color="auto"/>
        <w:right w:val="none" w:sz="0" w:space="0" w:color="auto"/>
      </w:divBdr>
    </w:div>
    <w:div w:id="2063753540">
      <w:bodyDiv w:val="1"/>
      <w:marLeft w:val="0"/>
      <w:marRight w:val="0"/>
      <w:marTop w:val="0"/>
      <w:marBottom w:val="0"/>
      <w:divBdr>
        <w:top w:val="none" w:sz="0" w:space="0" w:color="auto"/>
        <w:left w:val="none" w:sz="0" w:space="0" w:color="auto"/>
        <w:bottom w:val="none" w:sz="0" w:space="0" w:color="auto"/>
        <w:right w:val="none" w:sz="0" w:space="0" w:color="auto"/>
      </w:divBdr>
    </w:div>
    <w:div w:id="2084832129">
      <w:bodyDiv w:val="1"/>
      <w:marLeft w:val="0"/>
      <w:marRight w:val="0"/>
      <w:marTop w:val="0"/>
      <w:marBottom w:val="0"/>
      <w:divBdr>
        <w:top w:val="none" w:sz="0" w:space="0" w:color="auto"/>
        <w:left w:val="none" w:sz="0" w:space="0" w:color="auto"/>
        <w:bottom w:val="none" w:sz="0" w:space="0" w:color="auto"/>
        <w:right w:val="none" w:sz="0" w:space="0" w:color="auto"/>
      </w:divBdr>
      <w:divsChild>
        <w:div w:id="1065228319">
          <w:marLeft w:val="547"/>
          <w:marRight w:val="0"/>
          <w:marTop w:val="0"/>
          <w:marBottom w:val="0"/>
          <w:divBdr>
            <w:top w:val="none" w:sz="0" w:space="0" w:color="auto"/>
            <w:left w:val="none" w:sz="0" w:space="0" w:color="auto"/>
            <w:bottom w:val="none" w:sz="0" w:space="0" w:color="auto"/>
            <w:right w:val="none" w:sz="0" w:space="0" w:color="auto"/>
          </w:divBdr>
        </w:div>
      </w:divsChild>
    </w:div>
    <w:div w:id="2093307120">
      <w:bodyDiv w:val="1"/>
      <w:marLeft w:val="0"/>
      <w:marRight w:val="0"/>
      <w:marTop w:val="0"/>
      <w:marBottom w:val="0"/>
      <w:divBdr>
        <w:top w:val="none" w:sz="0" w:space="0" w:color="auto"/>
        <w:left w:val="none" w:sz="0" w:space="0" w:color="auto"/>
        <w:bottom w:val="none" w:sz="0" w:space="0" w:color="auto"/>
        <w:right w:val="none" w:sz="0" w:space="0" w:color="auto"/>
      </w:divBdr>
    </w:div>
    <w:div w:id="2094205653">
      <w:bodyDiv w:val="1"/>
      <w:marLeft w:val="0"/>
      <w:marRight w:val="0"/>
      <w:marTop w:val="0"/>
      <w:marBottom w:val="0"/>
      <w:divBdr>
        <w:top w:val="none" w:sz="0" w:space="0" w:color="auto"/>
        <w:left w:val="none" w:sz="0" w:space="0" w:color="auto"/>
        <w:bottom w:val="none" w:sz="0" w:space="0" w:color="auto"/>
        <w:right w:val="none" w:sz="0" w:space="0" w:color="auto"/>
      </w:divBdr>
      <w:divsChild>
        <w:div w:id="1045718770">
          <w:marLeft w:val="547"/>
          <w:marRight w:val="0"/>
          <w:marTop w:val="0"/>
          <w:marBottom w:val="0"/>
          <w:divBdr>
            <w:top w:val="none" w:sz="0" w:space="0" w:color="auto"/>
            <w:left w:val="none" w:sz="0" w:space="0" w:color="auto"/>
            <w:bottom w:val="none" w:sz="0" w:space="0" w:color="auto"/>
            <w:right w:val="none" w:sz="0" w:space="0" w:color="auto"/>
          </w:divBdr>
        </w:div>
      </w:divsChild>
    </w:div>
    <w:div w:id="2095123676">
      <w:bodyDiv w:val="1"/>
      <w:marLeft w:val="0"/>
      <w:marRight w:val="0"/>
      <w:marTop w:val="0"/>
      <w:marBottom w:val="0"/>
      <w:divBdr>
        <w:top w:val="none" w:sz="0" w:space="0" w:color="auto"/>
        <w:left w:val="none" w:sz="0" w:space="0" w:color="auto"/>
        <w:bottom w:val="none" w:sz="0" w:space="0" w:color="auto"/>
        <w:right w:val="none" w:sz="0" w:space="0" w:color="auto"/>
      </w:divBdr>
      <w:divsChild>
        <w:div w:id="611936934">
          <w:marLeft w:val="547"/>
          <w:marRight w:val="0"/>
          <w:marTop w:val="0"/>
          <w:marBottom w:val="0"/>
          <w:divBdr>
            <w:top w:val="none" w:sz="0" w:space="0" w:color="auto"/>
            <w:left w:val="none" w:sz="0" w:space="0" w:color="auto"/>
            <w:bottom w:val="none" w:sz="0" w:space="0" w:color="auto"/>
            <w:right w:val="none" w:sz="0" w:space="0" w:color="auto"/>
          </w:divBdr>
        </w:div>
      </w:divsChild>
    </w:div>
    <w:div w:id="2136216629">
      <w:bodyDiv w:val="1"/>
      <w:marLeft w:val="0"/>
      <w:marRight w:val="0"/>
      <w:marTop w:val="0"/>
      <w:marBottom w:val="0"/>
      <w:divBdr>
        <w:top w:val="none" w:sz="0" w:space="0" w:color="auto"/>
        <w:left w:val="none" w:sz="0" w:space="0" w:color="auto"/>
        <w:bottom w:val="none" w:sz="0" w:space="0" w:color="auto"/>
        <w:right w:val="none" w:sz="0" w:space="0" w:color="auto"/>
      </w:divBdr>
    </w:div>
    <w:div w:id="2145269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47.png"/><Relationship Id="rId21" Type="http://schemas.openxmlformats.org/officeDocument/2006/relationships/image" Target="media/image8.png"/><Relationship Id="rId42" Type="http://schemas.openxmlformats.org/officeDocument/2006/relationships/image" Target="media/image28.png"/><Relationship Id="rId47" Type="http://schemas.microsoft.com/office/2007/relationships/diagramDrawing" Target="diagrams/drawing2.xml"/><Relationship Id="rId63" Type="http://schemas.openxmlformats.org/officeDocument/2006/relationships/diagramData" Target="diagrams/data6.xml"/><Relationship Id="rId68" Type="http://schemas.openxmlformats.org/officeDocument/2006/relationships/diagramData" Target="diagrams/data7.xml"/><Relationship Id="rId84" Type="http://schemas.openxmlformats.org/officeDocument/2006/relationships/image" Target="media/image34.jpeg"/><Relationship Id="rId89" Type="http://schemas.openxmlformats.org/officeDocument/2006/relationships/image" Target="media/image39.jpeg"/><Relationship Id="rId112" Type="http://schemas.openxmlformats.org/officeDocument/2006/relationships/diagramLayout" Target="diagrams/layout12.xml"/><Relationship Id="rId133" Type="http://schemas.openxmlformats.org/officeDocument/2006/relationships/fontTable" Target="fontTable.xml"/><Relationship Id="rId16" Type="http://schemas.openxmlformats.org/officeDocument/2006/relationships/image" Target="media/image3.png"/><Relationship Id="rId107" Type="http://schemas.openxmlformats.org/officeDocument/2006/relationships/diagramLayout" Target="diagrams/layout11.xml"/><Relationship Id="rId11" Type="http://schemas.openxmlformats.org/officeDocument/2006/relationships/diagramData" Target="diagrams/data1.xml"/><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diagramData" Target="diagrams/data4.xml"/><Relationship Id="rId58" Type="http://schemas.openxmlformats.org/officeDocument/2006/relationships/diagramData" Target="diagrams/data5.xml"/><Relationship Id="rId74" Type="http://schemas.openxmlformats.org/officeDocument/2006/relationships/diagramLayout" Target="diagrams/layout8.xml"/><Relationship Id="rId79" Type="http://schemas.openxmlformats.org/officeDocument/2006/relationships/image" Target="media/image30.jpeg"/><Relationship Id="rId102" Type="http://schemas.openxmlformats.org/officeDocument/2006/relationships/diagramQuickStyle" Target="diagrams/quickStyle10.xml"/><Relationship Id="rId123" Type="http://schemas.openxmlformats.org/officeDocument/2006/relationships/hyperlink" Target="file:///E:\Monika\Hrubieszow\strategia\Wst&#281;p%20do%20Strategii%20HOF_14.03.23.docx" TargetMode="External"/><Relationship Id="rId128" Type="http://schemas.openxmlformats.org/officeDocument/2006/relationships/hyperlink" Target="file:///E:\Monika\Hrubieszow\strategia\Wst&#281;p%20do%20Strategii%20HOF_14.03.23.docx" TargetMode="External"/><Relationship Id="rId5" Type="http://schemas.openxmlformats.org/officeDocument/2006/relationships/settings" Target="settings.xml"/><Relationship Id="rId90" Type="http://schemas.openxmlformats.org/officeDocument/2006/relationships/image" Target="media/image40.jpeg"/><Relationship Id="rId95" Type="http://schemas.openxmlformats.org/officeDocument/2006/relationships/diagramData" Target="diagrams/data9.xml"/><Relationship Id="rId14" Type="http://schemas.openxmlformats.org/officeDocument/2006/relationships/diagramColors" Target="diagrams/colors1.xml"/><Relationship Id="rId22" Type="http://schemas.openxmlformats.org/officeDocument/2006/relationships/image" Target="media/image9.e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diagramData" Target="diagrams/data2.xml"/><Relationship Id="rId48" Type="http://schemas.openxmlformats.org/officeDocument/2006/relationships/diagramData" Target="diagrams/data3.xml"/><Relationship Id="rId56" Type="http://schemas.openxmlformats.org/officeDocument/2006/relationships/diagramColors" Target="diagrams/colors4.xml"/><Relationship Id="rId64" Type="http://schemas.openxmlformats.org/officeDocument/2006/relationships/diagramLayout" Target="diagrams/layout6.xml"/><Relationship Id="rId69" Type="http://schemas.openxmlformats.org/officeDocument/2006/relationships/diagramLayout" Target="diagrams/layout7.xml"/><Relationship Id="rId77" Type="http://schemas.microsoft.com/office/2007/relationships/diagramDrawing" Target="diagrams/drawing8.xml"/><Relationship Id="rId100" Type="http://schemas.openxmlformats.org/officeDocument/2006/relationships/diagramData" Target="diagrams/data10.xml"/><Relationship Id="rId105" Type="http://schemas.openxmlformats.org/officeDocument/2006/relationships/image" Target="media/image45.png"/><Relationship Id="rId113" Type="http://schemas.openxmlformats.org/officeDocument/2006/relationships/diagramQuickStyle" Target="diagrams/quickStyle12.xml"/><Relationship Id="rId118" Type="http://schemas.openxmlformats.org/officeDocument/2006/relationships/image" Target="media/image48.png"/><Relationship Id="rId126" Type="http://schemas.openxmlformats.org/officeDocument/2006/relationships/hyperlink" Target="file:///E:\Monika\Hrubieszow\strategia\Wst&#281;p%20do%20Strategii%20HOF_14.03.23.docx" TargetMode="External"/><Relationship Id="rId13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diagramColors" Target="diagrams/colors3.xml"/><Relationship Id="rId72" Type="http://schemas.microsoft.com/office/2007/relationships/diagramDrawing" Target="diagrams/drawing7.xml"/><Relationship Id="rId80" Type="http://schemas.openxmlformats.org/officeDocument/2006/relationships/image" Target="media/image31.jpeg"/><Relationship Id="rId85" Type="http://schemas.openxmlformats.org/officeDocument/2006/relationships/image" Target="media/image35.jpeg"/><Relationship Id="rId93" Type="http://schemas.openxmlformats.org/officeDocument/2006/relationships/image" Target="media/image43.png"/><Relationship Id="rId98" Type="http://schemas.openxmlformats.org/officeDocument/2006/relationships/diagramColors" Target="diagrams/colors9.xml"/><Relationship Id="rId121" Type="http://schemas.openxmlformats.org/officeDocument/2006/relationships/hyperlink" Target="file:///E:\Monika\Hrubieszow\strategia\Wst&#281;p%20do%20Strategii%20HOF_14.03.23.docx" TargetMode="Externa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4.png"/><Relationship Id="rId25" Type="http://schemas.openxmlformats.org/officeDocument/2006/relationships/image" Target="media/image12.emf"/><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diagramColors" Target="diagrams/colors2.xml"/><Relationship Id="rId59" Type="http://schemas.openxmlformats.org/officeDocument/2006/relationships/diagramLayout" Target="diagrams/layout5.xml"/><Relationship Id="rId67" Type="http://schemas.microsoft.com/office/2007/relationships/diagramDrawing" Target="diagrams/drawing6.xml"/><Relationship Id="rId103" Type="http://schemas.openxmlformats.org/officeDocument/2006/relationships/diagramColors" Target="diagrams/colors10.xml"/><Relationship Id="rId108" Type="http://schemas.openxmlformats.org/officeDocument/2006/relationships/diagramQuickStyle" Target="diagrams/quickStyle11.xml"/><Relationship Id="rId116" Type="http://schemas.openxmlformats.org/officeDocument/2006/relationships/image" Target="media/image46.jpg"/><Relationship Id="rId124" Type="http://schemas.openxmlformats.org/officeDocument/2006/relationships/hyperlink" Target="file:///E:\Monika\Hrubieszow\strategia\Wst&#281;p%20do%20Strategii%20HOF_14.03.23.docx" TargetMode="External"/><Relationship Id="rId129" Type="http://schemas.openxmlformats.org/officeDocument/2006/relationships/hyperlink" Target="file:///E:\Monika\Hrubieszow\strategia\Wst&#281;p%20do%20Strategii%20HOF_14.03.23.docx" TargetMode="External"/><Relationship Id="rId20" Type="http://schemas.openxmlformats.org/officeDocument/2006/relationships/image" Target="media/image7.png"/><Relationship Id="rId41" Type="http://schemas.openxmlformats.org/officeDocument/2006/relationships/footer" Target="footer1.xml"/><Relationship Id="rId54" Type="http://schemas.openxmlformats.org/officeDocument/2006/relationships/diagramLayout" Target="diagrams/layout4.xml"/><Relationship Id="rId62" Type="http://schemas.microsoft.com/office/2007/relationships/diagramDrawing" Target="diagrams/drawing5.xml"/><Relationship Id="rId70" Type="http://schemas.openxmlformats.org/officeDocument/2006/relationships/diagramQuickStyle" Target="diagrams/quickStyle7.xml"/><Relationship Id="rId75" Type="http://schemas.openxmlformats.org/officeDocument/2006/relationships/diagramQuickStyle" Target="diagrams/quickStyle8.xml"/><Relationship Id="rId83" Type="http://schemas.openxmlformats.org/officeDocument/2006/relationships/hyperlink" Target="https://pl.wikipedia.org/wiki/Ma%C5%82y_ruch_graniczny" TargetMode="External"/><Relationship Id="rId88" Type="http://schemas.openxmlformats.org/officeDocument/2006/relationships/image" Target="media/image38.jpeg"/><Relationship Id="rId91" Type="http://schemas.openxmlformats.org/officeDocument/2006/relationships/image" Target="media/image41.jpeg"/><Relationship Id="rId96" Type="http://schemas.openxmlformats.org/officeDocument/2006/relationships/diagramLayout" Target="diagrams/layout9.xml"/><Relationship Id="rId111" Type="http://schemas.openxmlformats.org/officeDocument/2006/relationships/diagramData" Target="diagrams/data12.xml"/><Relationship Id="rId132" Type="http://schemas.openxmlformats.org/officeDocument/2006/relationships/hyperlink" Target="file:///E:\Monika\Hrubieszow\strategia\Wst&#281;p%20do%20Strategii%20HOF_14.03.23.docx"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diagramLayout" Target="diagrams/layout3.xml"/><Relationship Id="rId57" Type="http://schemas.microsoft.com/office/2007/relationships/diagramDrawing" Target="diagrams/drawing4.xml"/><Relationship Id="rId106" Type="http://schemas.openxmlformats.org/officeDocument/2006/relationships/diagramData" Target="diagrams/data11.xml"/><Relationship Id="rId114" Type="http://schemas.openxmlformats.org/officeDocument/2006/relationships/diagramColors" Target="diagrams/colors12.xml"/><Relationship Id="rId119" Type="http://schemas.openxmlformats.org/officeDocument/2006/relationships/image" Target="media/image49.jpeg"/><Relationship Id="rId127" Type="http://schemas.openxmlformats.org/officeDocument/2006/relationships/hyperlink" Target="file:///E:\Monika\Hrubieszow\strategia\Wst&#281;p%20do%20Strategii%20HOF_14.03.23.docx" TargetMode="External"/><Relationship Id="rId10" Type="http://schemas.openxmlformats.org/officeDocument/2006/relationships/image" Target="media/image2.png"/><Relationship Id="rId31" Type="http://schemas.openxmlformats.org/officeDocument/2006/relationships/image" Target="media/image18.wmf"/><Relationship Id="rId44" Type="http://schemas.openxmlformats.org/officeDocument/2006/relationships/diagramLayout" Target="diagrams/layout2.xml"/><Relationship Id="rId52" Type="http://schemas.microsoft.com/office/2007/relationships/diagramDrawing" Target="diagrams/drawing3.xml"/><Relationship Id="rId60" Type="http://schemas.openxmlformats.org/officeDocument/2006/relationships/diagramQuickStyle" Target="diagrams/quickStyle5.xml"/><Relationship Id="rId65" Type="http://schemas.openxmlformats.org/officeDocument/2006/relationships/diagramQuickStyle" Target="diagrams/quickStyle6.xml"/><Relationship Id="rId73" Type="http://schemas.openxmlformats.org/officeDocument/2006/relationships/diagramData" Target="diagrams/data8.xml"/><Relationship Id="rId78" Type="http://schemas.openxmlformats.org/officeDocument/2006/relationships/image" Target="media/image29.jpeg"/><Relationship Id="rId81" Type="http://schemas.openxmlformats.org/officeDocument/2006/relationships/image" Target="media/image32.jpeg"/><Relationship Id="rId86" Type="http://schemas.openxmlformats.org/officeDocument/2006/relationships/image" Target="media/image36.jpeg"/><Relationship Id="rId94" Type="http://schemas.openxmlformats.org/officeDocument/2006/relationships/image" Target="media/image44.jpeg"/><Relationship Id="rId99" Type="http://schemas.microsoft.com/office/2007/relationships/diagramDrawing" Target="diagrams/drawing9.xml"/><Relationship Id="rId101" Type="http://schemas.openxmlformats.org/officeDocument/2006/relationships/diagramLayout" Target="diagrams/layout10.xml"/><Relationship Id="rId122" Type="http://schemas.openxmlformats.org/officeDocument/2006/relationships/hyperlink" Target="file:///E:\Monika\Hrubieszow\strategia\Wst&#281;p%20do%20Strategii%20HOF_14.03.23.docx" TargetMode="External"/><Relationship Id="rId130" Type="http://schemas.openxmlformats.org/officeDocument/2006/relationships/hyperlink" Target="file:///E:\Monika\Hrubieszow\strategia\Wst&#281;p%20do%20Strategii%20HOF_14.03.23.docx"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diagramQuickStyle" Target="diagrams/quickStyle1.xm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diagramColors" Target="diagrams/colors11.xml"/><Relationship Id="rId34" Type="http://schemas.openxmlformats.org/officeDocument/2006/relationships/image" Target="media/image21.png"/><Relationship Id="rId50" Type="http://schemas.openxmlformats.org/officeDocument/2006/relationships/diagramQuickStyle" Target="diagrams/quickStyle3.xml"/><Relationship Id="rId55" Type="http://schemas.openxmlformats.org/officeDocument/2006/relationships/diagramQuickStyle" Target="diagrams/quickStyle4.xml"/><Relationship Id="rId76" Type="http://schemas.openxmlformats.org/officeDocument/2006/relationships/diagramColors" Target="diagrams/colors8.xml"/><Relationship Id="rId97" Type="http://schemas.openxmlformats.org/officeDocument/2006/relationships/diagramQuickStyle" Target="diagrams/quickStyle9.xml"/><Relationship Id="rId104" Type="http://schemas.microsoft.com/office/2007/relationships/diagramDrawing" Target="diagrams/drawing10.xml"/><Relationship Id="rId120" Type="http://schemas.openxmlformats.org/officeDocument/2006/relationships/hyperlink" Target="file:///E:\Monika\Hrubieszow\strategia\Wst&#281;p%20do%20Strategii%20HOF_14.03.23.docx" TargetMode="External"/><Relationship Id="rId125" Type="http://schemas.openxmlformats.org/officeDocument/2006/relationships/hyperlink" Target="file:///E:\Monika\Hrubieszow\strategia\Wst&#281;p%20do%20Strategii%20HOF_14.03.23.docx" TargetMode="External"/><Relationship Id="rId7" Type="http://schemas.openxmlformats.org/officeDocument/2006/relationships/footnotes" Target="footnotes.xml"/><Relationship Id="rId71" Type="http://schemas.openxmlformats.org/officeDocument/2006/relationships/diagramColors" Target="diagrams/colors7.xml"/><Relationship Id="rId92" Type="http://schemas.openxmlformats.org/officeDocument/2006/relationships/image" Target="media/image42.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diagramQuickStyle" Target="diagrams/quickStyle2.xml"/><Relationship Id="rId66" Type="http://schemas.openxmlformats.org/officeDocument/2006/relationships/diagramColors" Target="diagrams/colors6.xml"/><Relationship Id="rId87" Type="http://schemas.openxmlformats.org/officeDocument/2006/relationships/image" Target="media/image37.jpeg"/><Relationship Id="rId110" Type="http://schemas.microsoft.com/office/2007/relationships/diagramDrawing" Target="diagrams/drawing11.xml"/><Relationship Id="rId115" Type="http://schemas.microsoft.com/office/2007/relationships/diagramDrawing" Target="diagrams/drawing12.xml"/><Relationship Id="rId131" Type="http://schemas.openxmlformats.org/officeDocument/2006/relationships/hyperlink" Target="file:///E:\Monika\Hrubieszow\strategia\Wst&#281;p%20do%20Strategii%20HOF_14.03.23.docx" TargetMode="External"/><Relationship Id="rId61" Type="http://schemas.openxmlformats.org/officeDocument/2006/relationships/diagramColors" Target="diagrams/colors5.xml"/><Relationship Id="rId82" Type="http://schemas.openxmlformats.org/officeDocument/2006/relationships/image" Target="media/image33.jpeg"/><Relationship Id="rId19" Type="http://schemas.openxmlformats.org/officeDocument/2006/relationships/image" Target="media/image6.e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1409FD-77E3-4861-942D-5534BBB2884B}"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pl-PL"/>
        </a:p>
      </dgm:t>
    </dgm:pt>
    <dgm:pt modelId="{73E197B0-C8FD-4359-A836-51BE43B156B9}">
      <dgm:prSet phldrT="[Tekst]"/>
      <dgm:spPr>
        <a:xfrm>
          <a:off x="2144521" y="133948"/>
          <a:ext cx="1179995" cy="589997"/>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Miejskie obszary funkcjonalne</a:t>
          </a:r>
        </a:p>
      </dgm:t>
    </dgm:pt>
    <dgm:pt modelId="{08D27717-F4A3-496E-9115-360ECD3C3924}" type="parTrans" cxnId="{17298E94-26AC-4B56-9366-BEBC0E00EFEC}">
      <dgm:prSet/>
      <dgm:spPr/>
      <dgm:t>
        <a:bodyPr/>
        <a:lstStyle/>
        <a:p>
          <a:endParaRPr lang="pl-PL"/>
        </a:p>
      </dgm:t>
    </dgm:pt>
    <dgm:pt modelId="{C119419E-59BF-40CC-8A4C-FBC926B8F9AD}" type="sibTrans" cxnId="{17298E94-26AC-4B56-9366-BEBC0E00EFEC}">
      <dgm:prSet/>
      <dgm:spPr/>
      <dgm:t>
        <a:bodyPr/>
        <a:lstStyle/>
        <a:p>
          <a:endParaRPr lang="pl-PL"/>
        </a:p>
      </dgm:t>
    </dgm:pt>
    <dgm:pt modelId="{9BB393AF-F0EE-4981-9A3C-69CCCBAD2DD4}">
      <dgm:prSet phldrT="[Tekst]"/>
      <dgm:spPr>
        <a:xfrm>
          <a:off x="2828" y="971745"/>
          <a:ext cx="1179995" cy="589997"/>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ośrodki wojewódzkie, w tym metropolitalne</a:t>
          </a:r>
        </a:p>
      </dgm:t>
    </dgm:pt>
    <dgm:pt modelId="{2981BFAD-236C-4544-B310-A81046019A92}" type="parTrans" cxnId="{285C75E3-2908-45A2-BE60-92ED4F9F1E95}">
      <dgm:prSet/>
      <dgm:spPr>
        <a:xfrm>
          <a:off x="592826" y="723945"/>
          <a:ext cx="2141692" cy="247799"/>
        </a:xfrm>
        <a:noFill/>
        <a:ln w="25400" cap="flat" cmpd="sng" algn="ctr">
          <a:solidFill>
            <a:srgbClr val="31B6FD">
              <a:shade val="60000"/>
              <a:hueOff val="0"/>
              <a:satOff val="0"/>
              <a:lumOff val="0"/>
              <a:alphaOff val="0"/>
            </a:srgbClr>
          </a:solidFill>
          <a:prstDash val="solid"/>
        </a:ln>
        <a:effectLst/>
      </dgm:spPr>
      <dgm:t>
        <a:bodyPr/>
        <a:lstStyle/>
        <a:p>
          <a:endParaRPr lang="pl-PL"/>
        </a:p>
      </dgm:t>
    </dgm:pt>
    <dgm:pt modelId="{DC080E9D-F6B6-4192-A8A6-1584631A30C9}" type="sibTrans" cxnId="{285C75E3-2908-45A2-BE60-92ED4F9F1E95}">
      <dgm:prSet/>
      <dgm:spPr/>
      <dgm:t>
        <a:bodyPr/>
        <a:lstStyle/>
        <a:p>
          <a:endParaRPr lang="pl-PL"/>
        </a:p>
      </dgm:t>
    </dgm:pt>
    <dgm:pt modelId="{D2897A4F-81BC-4238-93ED-EBC6E7E1E3D7}">
      <dgm:prSet phldrT="[Tekst]"/>
      <dgm:spPr>
        <a:xfrm>
          <a:off x="1430623" y="971745"/>
          <a:ext cx="1179995" cy="589997"/>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ośrodki regionalne</a:t>
          </a:r>
        </a:p>
      </dgm:t>
    </dgm:pt>
    <dgm:pt modelId="{70960AB2-FFEA-4BE1-BAB0-C03E6AE85E8C}" type="parTrans" cxnId="{C2EFFBFD-FB69-4D08-B23E-CB07BE090C87}">
      <dgm:prSet/>
      <dgm:spPr>
        <a:xfrm>
          <a:off x="2020621" y="723945"/>
          <a:ext cx="713897" cy="247799"/>
        </a:xfrm>
        <a:noFill/>
        <a:ln w="25400" cap="flat" cmpd="sng" algn="ctr">
          <a:solidFill>
            <a:srgbClr val="31B6FD">
              <a:shade val="60000"/>
              <a:hueOff val="0"/>
              <a:satOff val="0"/>
              <a:lumOff val="0"/>
              <a:alphaOff val="0"/>
            </a:srgbClr>
          </a:solidFill>
          <a:prstDash val="solid"/>
        </a:ln>
        <a:effectLst/>
      </dgm:spPr>
      <dgm:t>
        <a:bodyPr/>
        <a:lstStyle/>
        <a:p>
          <a:endParaRPr lang="pl-PL"/>
        </a:p>
      </dgm:t>
    </dgm:pt>
    <dgm:pt modelId="{5D2C4E49-558A-4E7D-906F-06C29D826FC6}" type="sibTrans" cxnId="{C2EFFBFD-FB69-4D08-B23E-CB07BE090C87}">
      <dgm:prSet/>
      <dgm:spPr/>
      <dgm:t>
        <a:bodyPr/>
        <a:lstStyle/>
        <a:p>
          <a:endParaRPr lang="pl-PL"/>
        </a:p>
      </dgm:t>
    </dgm:pt>
    <dgm:pt modelId="{A1A87D88-B8CC-45D3-B4AA-63856802E003}">
      <dgm:prSet phldrT="[Tekst]"/>
      <dgm:spPr>
        <a:xfrm>
          <a:off x="2858418" y="971745"/>
          <a:ext cx="1179995" cy="589997"/>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ośrodki subregionalne</a:t>
          </a:r>
        </a:p>
      </dgm:t>
    </dgm:pt>
    <dgm:pt modelId="{EACB5890-D405-4D12-8E57-A1638BBE20A1}" type="parTrans" cxnId="{9C0F1582-ED79-4686-9B1A-528E478736CE}">
      <dgm:prSet/>
      <dgm:spPr>
        <a:xfrm>
          <a:off x="2734518" y="723945"/>
          <a:ext cx="713897" cy="247799"/>
        </a:xfrm>
        <a:noFill/>
        <a:ln w="25400" cap="flat" cmpd="sng" algn="ctr">
          <a:solidFill>
            <a:srgbClr val="31B6FD">
              <a:shade val="60000"/>
              <a:hueOff val="0"/>
              <a:satOff val="0"/>
              <a:lumOff val="0"/>
              <a:alphaOff val="0"/>
            </a:srgbClr>
          </a:solidFill>
          <a:prstDash val="solid"/>
        </a:ln>
        <a:effectLst/>
      </dgm:spPr>
      <dgm:t>
        <a:bodyPr/>
        <a:lstStyle/>
        <a:p>
          <a:endParaRPr lang="pl-PL"/>
        </a:p>
      </dgm:t>
    </dgm:pt>
    <dgm:pt modelId="{CBF5CA28-CFE1-4D67-BF93-7F6BC9125479}" type="sibTrans" cxnId="{9C0F1582-ED79-4686-9B1A-528E478736CE}">
      <dgm:prSet/>
      <dgm:spPr/>
      <dgm:t>
        <a:bodyPr/>
        <a:lstStyle/>
        <a:p>
          <a:endParaRPr lang="pl-PL"/>
        </a:p>
      </dgm:t>
    </dgm:pt>
    <dgm:pt modelId="{7A1CBA92-25AC-4EDB-B3FF-CB2025D9FEFA}">
      <dgm:prSet/>
      <dgm:spPr>
        <a:xfrm>
          <a:off x="4286213" y="971745"/>
          <a:ext cx="1179995" cy="589997"/>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ośrodki lokalne</a:t>
          </a:r>
        </a:p>
      </dgm:t>
    </dgm:pt>
    <dgm:pt modelId="{ACBF82A5-02E0-4F10-950C-78ADF2BA0D80}" type="parTrans" cxnId="{30D604C4-5A51-4E10-913A-3E422715EAE1}">
      <dgm:prSet/>
      <dgm:spPr>
        <a:xfrm>
          <a:off x="2734518" y="723945"/>
          <a:ext cx="2141692" cy="247799"/>
        </a:xfrm>
        <a:noFill/>
        <a:ln w="25400" cap="flat" cmpd="sng" algn="ctr">
          <a:solidFill>
            <a:srgbClr val="31B6FD">
              <a:shade val="60000"/>
              <a:hueOff val="0"/>
              <a:satOff val="0"/>
              <a:lumOff val="0"/>
              <a:alphaOff val="0"/>
            </a:srgbClr>
          </a:solidFill>
          <a:prstDash val="solid"/>
        </a:ln>
        <a:effectLst/>
      </dgm:spPr>
      <dgm:t>
        <a:bodyPr/>
        <a:lstStyle/>
        <a:p>
          <a:endParaRPr lang="pl-PL"/>
        </a:p>
      </dgm:t>
    </dgm:pt>
    <dgm:pt modelId="{2D608FD3-A5F4-47D2-8EA8-DE35CC4A9ED3}" type="sibTrans" cxnId="{30D604C4-5A51-4E10-913A-3E422715EAE1}">
      <dgm:prSet/>
      <dgm:spPr/>
      <dgm:t>
        <a:bodyPr/>
        <a:lstStyle/>
        <a:p>
          <a:endParaRPr lang="pl-PL"/>
        </a:p>
      </dgm:t>
    </dgm:pt>
    <dgm:pt modelId="{008862DF-018D-4463-BEA0-D7F07917B9C8}" type="pres">
      <dgm:prSet presAssocID="{B21409FD-77E3-4861-942D-5534BBB2884B}" presName="hierChild1" presStyleCnt="0">
        <dgm:presLayoutVars>
          <dgm:orgChart val="1"/>
          <dgm:chPref val="1"/>
          <dgm:dir/>
          <dgm:animOne val="branch"/>
          <dgm:animLvl val="lvl"/>
          <dgm:resizeHandles/>
        </dgm:presLayoutVars>
      </dgm:prSet>
      <dgm:spPr/>
      <dgm:t>
        <a:bodyPr/>
        <a:lstStyle/>
        <a:p>
          <a:endParaRPr lang="pl-PL"/>
        </a:p>
      </dgm:t>
    </dgm:pt>
    <dgm:pt modelId="{6851690C-0CD3-4386-9B28-6E4CBB7E0611}" type="pres">
      <dgm:prSet presAssocID="{73E197B0-C8FD-4359-A836-51BE43B156B9}" presName="hierRoot1" presStyleCnt="0">
        <dgm:presLayoutVars>
          <dgm:hierBranch val="init"/>
        </dgm:presLayoutVars>
      </dgm:prSet>
      <dgm:spPr/>
    </dgm:pt>
    <dgm:pt modelId="{7BD8AE12-32EA-4E75-92C4-513D7E74E1A3}" type="pres">
      <dgm:prSet presAssocID="{73E197B0-C8FD-4359-A836-51BE43B156B9}" presName="rootComposite1" presStyleCnt="0"/>
      <dgm:spPr/>
    </dgm:pt>
    <dgm:pt modelId="{F701A965-C329-4F5A-B8AB-CC2D51A7C9D7}" type="pres">
      <dgm:prSet presAssocID="{73E197B0-C8FD-4359-A836-51BE43B156B9}" presName="rootText1" presStyleLbl="node0" presStyleIdx="0" presStyleCnt="1">
        <dgm:presLayoutVars>
          <dgm:chPref val="3"/>
        </dgm:presLayoutVars>
      </dgm:prSet>
      <dgm:spPr>
        <a:prstGeom prst="rect">
          <a:avLst/>
        </a:prstGeom>
      </dgm:spPr>
      <dgm:t>
        <a:bodyPr/>
        <a:lstStyle/>
        <a:p>
          <a:endParaRPr lang="pl-PL"/>
        </a:p>
      </dgm:t>
    </dgm:pt>
    <dgm:pt modelId="{CA941A9D-1AB3-49AA-990F-B5806434C9F1}" type="pres">
      <dgm:prSet presAssocID="{73E197B0-C8FD-4359-A836-51BE43B156B9}" presName="rootConnector1" presStyleLbl="node1" presStyleIdx="0" presStyleCnt="0"/>
      <dgm:spPr/>
      <dgm:t>
        <a:bodyPr/>
        <a:lstStyle/>
        <a:p>
          <a:endParaRPr lang="pl-PL"/>
        </a:p>
      </dgm:t>
    </dgm:pt>
    <dgm:pt modelId="{9C80B82F-E692-4FEA-BA8A-8B3172D7A3AB}" type="pres">
      <dgm:prSet presAssocID="{73E197B0-C8FD-4359-A836-51BE43B156B9}" presName="hierChild2" presStyleCnt="0"/>
      <dgm:spPr/>
    </dgm:pt>
    <dgm:pt modelId="{9B36AFE5-AF9E-4F0B-B2CB-D518D519009A}" type="pres">
      <dgm:prSet presAssocID="{2981BFAD-236C-4544-B310-A81046019A92}" presName="Name37" presStyleLbl="parChTrans1D2" presStyleIdx="0" presStyleCnt="4"/>
      <dgm:spPr>
        <a:custGeom>
          <a:avLst/>
          <a:gdLst/>
          <a:ahLst/>
          <a:cxnLst/>
          <a:rect l="0" t="0" r="0" b="0"/>
          <a:pathLst>
            <a:path>
              <a:moveTo>
                <a:pt x="2141692" y="0"/>
              </a:moveTo>
              <a:lnTo>
                <a:pt x="2141692" y="123899"/>
              </a:lnTo>
              <a:lnTo>
                <a:pt x="0" y="123899"/>
              </a:lnTo>
              <a:lnTo>
                <a:pt x="0" y="247799"/>
              </a:lnTo>
            </a:path>
          </a:pathLst>
        </a:custGeom>
      </dgm:spPr>
      <dgm:t>
        <a:bodyPr/>
        <a:lstStyle/>
        <a:p>
          <a:endParaRPr lang="pl-PL"/>
        </a:p>
      </dgm:t>
    </dgm:pt>
    <dgm:pt modelId="{70FB4C46-45B5-4ABD-AC5F-79B160C9ED99}" type="pres">
      <dgm:prSet presAssocID="{9BB393AF-F0EE-4981-9A3C-69CCCBAD2DD4}" presName="hierRoot2" presStyleCnt="0">
        <dgm:presLayoutVars>
          <dgm:hierBranch val="init"/>
        </dgm:presLayoutVars>
      </dgm:prSet>
      <dgm:spPr/>
    </dgm:pt>
    <dgm:pt modelId="{56BCFF92-6D98-4998-A5E6-D83B8F14EFE1}" type="pres">
      <dgm:prSet presAssocID="{9BB393AF-F0EE-4981-9A3C-69CCCBAD2DD4}" presName="rootComposite" presStyleCnt="0"/>
      <dgm:spPr/>
    </dgm:pt>
    <dgm:pt modelId="{08D921ED-8DD9-4962-9E4D-12FDFF4F38C5}" type="pres">
      <dgm:prSet presAssocID="{9BB393AF-F0EE-4981-9A3C-69CCCBAD2DD4}" presName="rootText" presStyleLbl="node2" presStyleIdx="0" presStyleCnt="4">
        <dgm:presLayoutVars>
          <dgm:chPref val="3"/>
        </dgm:presLayoutVars>
      </dgm:prSet>
      <dgm:spPr>
        <a:prstGeom prst="rect">
          <a:avLst/>
        </a:prstGeom>
      </dgm:spPr>
      <dgm:t>
        <a:bodyPr/>
        <a:lstStyle/>
        <a:p>
          <a:endParaRPr lang="pl-PL"/>
        </a:p>
      </dgm:t>
    </dgm:pt>
    <dgm:pt modelId="{F2B3C76B-B899-4E8B-8F51-543824CBFD91}" type="pres">
      <dgm:prSet presAssocID="{9BB393AF-F0EE-4981-9A3C-69CCCBAD2DD4}" presName="rootConnector" presStyleLbl="node2" presStyleIdx="0" presStyleCnt="4"/>
      <dgm:spPr/>
      <dgm:t>
        <a:bodyPr/>
        <a:lstStyle/>
        <a:p>
          <a:endParaRPr lang="pl-PL"/>
        </a:p>
      </dgm:t>
    </dgm:pt>
    <dgm:pt modelId="{5C12936C-3BA1-4D04-B114-851E63FF93F5}" type="pres">
      <dgm:prSet presAssocID="{9BB393AF-F0EE-4981-9A3C-69CCCBAD2DD4}" presName="hierChild4" presStyleCnt="0"/>
      <dgm:spPr/>
    </dgm:pt>
    <dgm:pt modelId="{F2233933-FE37-4E03-87A2-E0BCDB535DD7}" type="pres">
      <dgm:prSet presAssocID="{9BB393AF-F0EE-4981-9A3C-69CCCBAD2DD4}" presName="hierChild5" presStyleCnt="0"/>
      <dgm:spPr/>
    </dgm:pt>
    <dgm:pt modelId="{60356F18-2573-48AA-AB3E-957560E9766F}" type="pres">
      <dgm:prSet presAssocID="{70960AB2-FFEA-4BE1-BAB0-C03E6AE85E8C}" presName="Name37" presStyleLbl="parChTrans1D2" presStyleIdx="1" presStyleCnt="4"/>
      <dgm:spPr>
        <a:custGeom>
          <a:avLst/>
          <a:gdLst/>
          <a:ahLst/>
          <a:cxnLst/>
          <a:rect l="0" t="0" r="0" b="0"/>
          <a:pathLst>
            <a:path>
              <a:moveTo>
                <a:pt x="713897" y="0"/>
              </a:moveTo>
              <a:lnTo>
                <a:pt x="713897" y="123899"/>
              </a:lnTo>
              <a:lnTo>
                <a:pt x="0" y="123899"/>
              </a:lnTo>
              <a:lnTo>
                <a:pt x="0" y="247799"/>
              </a:lnTo>
            </a:path>
          </a:pathLst>
        </a:custGeom>
      </dgm:spPr>
      <dgm:t>
        <a:bodyPr/>
        <a:lstStyle/>
        <a:p>
          <a:endParaRPr lang="pl-PL"/>
        </a:p>
      </dgm:t>
    </dgm:pt>
    <dgm:pt modelId="{332DC5B2-735C-49FA-8852-B885C055EF4B}" type="pres">
      <dgm:prSet presAssocID="{D2897A4F-81BC-4238-93ED-EBC6E7E1E3D7}" presName="hierRoot2" presStyleCnt="0">
        <dgm:presLayoutVars>
          <dgm:hierBranch val="init"/>
        </dgm:presLayoutVars>
      </dgm:prSet>
      <dgm:spPr/>
    </dgm:pt>
    <dgm:pt modelId="{C4A008EE-5346-4FE5-B866-3E787BE6A2F6}" type="pres">
      <dgm:prSet presAssocID="{D2897A4F-81BC-4238-93ED-EBC6E7E1E3D7}" presName="rootComposite" presStyleCnt="0"/>
      <dgm:spPr/>
    </dgm:pt>
    <dgm:pt modelId="{8730B6E7-FB5D-4354-AE16-82CD002CC689}" type="pres">
      <dgm:prSet presAssocID="{D2897A4F-81BC-4238-93ED-EBC6E7E1E3D7}" presName="rootText" presStyleLbl="node2" presStyleIdx="1" presStyleCnt="4">
        <dgm:presLayoutVars>
          <dgm:chPref val="3"/>
        </dgm:presLayoutVars>
      </dgm:prSet>
      <dgm:spPr>
        <a:prstGeom prst="rect">
          <a:avLst/>
        </a:prstGeom>
      </dgm:spPr>
      <dgm:t>
        <a:bodyPr/>
        <a:lstStyle/>
        <a:p>
          <a:endParaRPr lang="pl-PL"/>
        </a:p>
      </dgm:t>
    </dgm:pt>
    <dgm:pt modelId="{3A2F128C-E88D-440F-ADE4-CD9065ED3A2A}" type="pres">
      <dgm:prSet presAssocID="{D2897A4F-81BC-4238-93ED-EBC6E7E1E3D7}" presName="rootConnector" presStyleLbl="node2" presStyleIdx="1" presStyleCnt="4"/>
      <dgm:spPr/>
      <dgm:t>
        <a:bodyPr/>
        <a:lstStyle/>
        <a:p>
          <a:endParaRPr lang="pl-PL"/>
        </a:p>
      </dgm:t>
    </dgm:pt>
    <dgm:pt modelId="{6AEEF3CB-43A3-4484-963D-E09395B599EC}" type="pres">
      <dgm:prSet presAssocID="{D2897A4F-81BC-4238-93ED-EBC6E7E1E3D7}" presName="hierChild4" presStyleCnt="0"/>
      <dgm:spPr/>
    </dgm:pt>
    <dgm:pt modelId="{79D1F04E-6667-428C-835A-0C9A31023ABB}" type="pres">
      <dgm:prSet presAssocID="{D2897A4F-81BC-4238-93ED-EBC6E7E1E3D7}" presName="hierChild5" presStyleCnt="0"/>
      <dgm:spPr/>
    </dgm:pt>
    <dgm:pt modelId="{A71EA82B-A1AE-4790-9687-7B443A9D31F7}" type="pres">
      <dgm:prSet presAssocID="{EACB5890-D405-4D12-8E57-A1638BBE20A1}" presName="Name37" presStyleLbl="parChTrans1D2" presStyleIdx="2" presStyleCnt="4"/>
      <dgm:spPr>
        <a:custGeom>
          <a:avLst/>
          <a:gdLst/>
          <a:ahLst/>
          <a:cxnLst/>
          <a:rect l="0" t="0" r="0" b="0"/>
          <a:pathLst>
            <a:path>
              <a:moveTo>
                <a:pt x="0" y="0"/>
              </a:moveTo>
              <a:lnTo>
                <a:pt x="0" y="123899"/>
              </a:lnTo>
              <a:lnTo>
                <a:pt x="713897" y="123899"/>
              </a:lnTo>
              <a:lnTo>
                <a:pt x="713897" y="247799"/>
              </a:lnTo>
            </a:path>
          </a:pathLst>
        </a:custGeom>
      </dgm:spPr>
      <dgm:t>
        <a:bodyPr/>
        <a:lstStyle/>
        <a:p>
          <a:endParaRPr lang="pl-PL"/>
        </a:p>
      </dgm:t>
    </dgm:pt>
    <dgm:pt modelId="{BC96AA72-C717-4E3A-A8B0-B18AC6D76A23}" type="pres">
      <dgm:prSet presAssocID="{A1A87D88-B8CC-45D3-B4AA-63856802E003}" presName="hierRoot2" presStyleCnt="0">
        <dgm:presLayoutVars>
          <dgm:hierBranch val="init"/>
        </dgm:presLayoutVars>
      </dgm:prSet>
      <dgm:spPr/>
    </dgm:pt>
    <dgm:pt modelId="{1BF7C06E-5C3A-4C1C-8634-C292A1F54DD5}" type="pres">
      <dgm:prSet presAssocID="{A1A87D88-B8CC-45D3-B4AA-63856802E003}" presName="rootComposite" presStyleCnt="0"/>
      <dgm:spPr/>
    </dgm:pt>
    <dgm:pt modelId="{88C92655-4157-4718-964D-4844B493AFB3}" type="pres">
      <dgm:prSet presAssocID="{A1A87D88-B8CC-45D3-B4AA-63856802E003}" presName="rootText" presStyleLbl="node2" presStyleIdx="2" presStyleCnt="4">
        <dgm:presLayoutVars>
          <dgm:chPref val="3"/>
        </dgm:presLayoutVars>
      </dgm:prSet>
      <dgm:spPr>
        <a:prstGeom prst="rect">
          <a:avLst/>
        </a:prstGeom>
      </dgm:spPr>
      <dgm:t>
        <a:bodyPr/>
        <a:lstStyle/>
        <a:p>
          <a:endParaRPr lang="pl-PL"/>
        </a:p>
      </dgm:t>
    </dgm:pt>
    <dgm:pt modelId="{1E9F4E51-FC56-4611-B377-22F7F8F19C65}" type="pres">
      <dgm:prSet presAssocID="{A1A87D88-B8CC-45D3-B4AA-63856802E003}" presName="rootConnector" presStyleLbl="node2" presStyleIdx="2" presStyleCnt="4"/>
      <dgm:spPr/>
      <dgm:t>
        <a:bodyPr/>
        <a:lstStyle/>
        <a:p>
          <a:endParaRPr lang="pl-PL"/>
        </a:p>
      </dgm:t>
    </dgm:pt>
    <dgm:pt modelId="{67741DF8-1888-4CB4-98CA-05758FB2785F}" type="pres">
      <dgm:prSet presAssocID="{A1A87D88-B8CC-45D3-B4AA-63856802E003}" presName="hierChild4" presStyleCnt="0"/>
      <dgm:spPr/>
    </dgm:pt>
    <dgm:pt modelId="{93F8F853-DC6C-4FEF-B5C7-990C30C260EF}" type="pres">
      <dgm:prSet presAssocID="{A1A87D88-B8CC-45D3-B4AA-63856802E003}" presName="hierChild5" presStyleCnt="0"/>
      <dgm:spPr/>
    </dgm:pt>
    <dgm:pt modelId="{141BEC2B-B804-4E91-99CE-515A583DE9A9}" type="pres">
      <dgm:prSet presAssocID="{ACBF82A5-02E0-4F10-950C-78ADF2BA0D80}" presName="Name37" presStyleLbl="parChTrans1D2" presStyleIdx="3" presStyleCnt="4"/>
      <dgm:spPr>
        <a:custGeom>
          <a:avLst/>
          <a:gdLst/>
          <a:ahLst/>
          <a:cxnLst/>
          <a:rect l="0" t="0" r="0" b="0"/>
          <a:pathLst>
            <a:path>
              <a:moveTo>
                <a:pt x="0" y="0"/>
              </a:moveTo>
              <a:lnTo>
                <a:pt x="0" y="123899"/>
              </a:lnTo>
              <a:lnTo>
                <a:pt x="2141692" y="123899"/>
              </a:lnTo>
              <a:lnTo>
                <a:pt x="2141692" y="247799"/>
              </a:lnTo>
            </a:path>
          </a:pathLst>
        </a:custGeom>
      </dgm:spPr>
      <dgm:t>
        <a:bodyPr/>
        <a:lstStyle/>
        <a:p>
          <a:endParaRPr lang="pl-PL"/>
        </a:p>
      </dgm:t>
    </dgm:pt>
    <dgm:pt modelId="{734D277C-A1A3-4CC6-B707-76B0F45E2D67}" type="pres">
      <dgm:prSet presAssocID="{7A1CBA92-25AC-4EDB-B3FF-CB2025D9FEFA}" presName="hierRoot2" presStyleCnt="0">
        <dgm:presLayoutVars>
          <dgm:hierBranch val="init"/>
        </dgm:presLayoutVars>
      </dgm:prSet>
      <dgm:spPr/>
    </dgm:pt>
    <dgm:pt modelId="{DF1B0885-531E-41F8-86D1-957EBC65CE88}" type="pres">
      <dgm:prSet presAssocID="{7A1CBA92-25AC-4EDB-B3FF-CB2025D9FEFA}" presName="rootComposite" presStyleCnt="0"/>
      <dgm:spPr/>
    </dgm:pt>
    <dgm:pt modelId="{1AFC711D-B79E-4106-93C6-0837A7AB652F}" type="pres">
      <dgm:prSet presAssocID="{7A1CBA92-25AC-4EDB-B3FF-CB2025D9FEFA}" presName="rootText" presStyleLbl="node2" presStyleIdx="3" presStyleCnt="4">
        <dgm:presLayoutVars>
          <dgm:chPref val="3"/>
        </dgm:presLayoutVars>
      </dgm:prSet>
      <dgm:spPr>
        <a:prstGeom prst="rect">
          <a:avLst/>
        </a:prstGeom>
      </dgm:spPr>
      <dgm:t>
        <a:bodyPr/>
        <a:lstStyle/>
        <a:p>
          <a:endParaRPr lang="pl-PL"/>
        </a:p>
      </dgm:t>
    </dgm:pt>
    <dgm:pt modelId="{79C8CA1C-CA92-4665-AB74-0258CD477C7C}" type="pres">
      <dgm:prSet presAssocID="{7A1CBA92-25AC-4EDB-B3FF-CB2025D9FEFA}" presName="rootConnector" presStyleLbl="node2" presStyleIdx="3" presStyleCnt="4"/>
      <dgm:spPr/>
      <dgm:t>
        <a:bodyPr/>
        <a:lstStyle/>
        <a:p>
          <a:endParaRPr lang="pl-PL"/>
        </a:p>
      </dgm:t>
    </dgm:pt>
    <dgm:pt modelId="{B953233C-411B-4E7A-A74D-09067DF445FE}" type="pres">
      <dgm:prSet presAssocID="{7A1CBA92-25AC-4EDB-B3FF-CB2025D9FEFA}" presName="hierChild4" presStyleCnt="0"/>
      <dgm:spPr/>
    </dgm:pt>
    <dgm:pt modelId="{0B823ED4-3E2C-4B52-92E2-5FE48B488B70}" type="pres">
      <dgm:prSet presAssocID="{7A1CBA92-25AC-4EDB-B3FF-CB2025D9FEFA}" presName="hierChild5" presStyleCnt="0"/>
      <dgm:spPr/>
    </dgm:pt>
    <dgm:pt modelId="{EEB983D0-CC0D-405A-8374-D8FECEC7630D}" type="pres">
      <dgm:prSet presAssocID="{73E197B0-C8FD-4359-A836-51BE43B156B9}" presName="hierChild3" presStyleCnt="0"/>
      <dgm:spPr/>
    </dgm:pt>
  </dgm:ptLst>
  <dgm:cxnLst>
    <dgm:cxn modelId="{4E9664AA-6C82-4F1C-815E-93AE96585376}" type="presOf" srcId="{B21409FD-77E3-4861-942D-5534BBB2884B}" destId="{008862DF-018D-4463-BEA0-D7F07917B9C8}" srcOrd="0" destOrd="0" presId="urn:microsoft.com/office/officeart/2005/8/layout/orgChart1"/>
    <dgm:cxn modelId="{501EC244-D6CC-4E6B-BDA2-4B751371D750}" type="presOf" srcId="{7A1CBA92-25AC-4EDB-B3FF-CB2025D9FEFA}" destId="{1AFC711D-B79E-4106-93C6-0837A7AB652F}" srcOrd="0" destOrd="0" presId="urn:microsoft.com/office/officeart/2005/8/layout/orgChart1"/>
    <dgm:cxn modelId="{4730E2E3-3372-495D-B8DC-F29A6555BFD3}" type="presOf" srcId="{73E197B0-C8FD-4359-A836-51BE43B156B9}" destId="{F701A965-C329-4F5A-B8AB-CC2D51A7C9D7}" srcOrd="0" destOrd="0" presId="urn:microsoft.com/office/officeart/2005/8/layout/orgChart1"/>
    <dgm:cxn modelId="{615F5636-CF39-402B-896B-7D9E33E6C4B4}" type="presOf" srcId="{7A1CBA92-25AC-4EDB-B3FF-CB2025D9FEFA}" destId="{79C8CA1C-CA92-4665-AB74-0258CD477C7C}" srcOrd="1" destOrd="0" presId="urn:microsoft.com/office/officeart/2005/8/layout/orgChart1"/>
    <dgm:cxn modelId="{C2EFFBFD-FB69-4D08-B23E-CB07BE090C87}" srcId="{73E197B0-C8FD-4359-A836-51BE43B156B9}" destId="{D2897A4F-81BC-4238-93ED-EBC6E7E1E3D7}" srcOrd="1" destOrd="0" parTransId="{70960AB2-FFEA-4BE1-BAB0-C03E6AE85E8C}" sibTransId="{5D2C4E49-558A-4E7D-906F-06C29D826FC6}"/>
    <dgm:cxn modelId="{FFFE68DE-1C0C-4CFF-9D4B-D9CD680B4E46}" type="presOf" srcId="{D2897A4F-81BC-4238-93ED-EBC6E7E1E3D7}" destId="{3A2F128C-E88D-440F-ADE4-CD9065ED3A2A}" srcOrd="1" destOrd="0" presId="urn:microsoft.com/office/officeart/2005/8/layout/orgChart1"/>
    <dgm:cxn modelId="{1EA99A5C-DDEB-4364-B4BD-39FC1BE50567}" type="presOf" srcId="{D2897A4F-81BC-4238-93ED-EBC6E7E1E3D7}" destId="{8730B6E7-FB5D-4354-AE16-82CD002CC689}" srcOrd="0" destOrd="0" presId="urn:microsoft.com/office/officeart/2005/8/layout/orgChart1"/>
    <dgm:cxn modelId="{2F038130-BF8C-4389-AF72-D1930A6948C5}" type="presOf" srcId="{9BB393AF-F0EE-4981-9A3C-69CCCBAD2DD4}" destId="{F2B3C76B-B899-4E8B-8F51-543824CBFD91}" srcOrd="1" destOrd="0" presId="urn:microsoft.com/office/officeart/2005/8/layout/orgChart1"/>
    <dgm:cxn modelId="{732DF599-8DF3-40E3-8373-EA5306EA1DBD}" type="presOf" srcId="{A1A87D88-B8CC-45D3-B4AA-63856802E003}" destId="{1E9F4E51-FC56-4611-B377-22F7F8F19C65}" srcOrd="1" destOrd="0" presId="urn:microsoft.com/office/officeart/2005/8/layout/orgChart1"/>
    <dgm:cxn modelId="{0CF421EA-7F38-4252-A2AA-33ED8442989F}" type="presOf" srcId="{EACB5890-D405-4D12-8E57-A1638BBE20A1}" destId="{A71EA82B-A1AE-4790-9687-7B443A9D31F7}" srcOrd="0" destOrd="0" presId="urn:microsoft.com/office/officeart/2005/8/layout/orgChart1"/>
    <dgm:cxn modelId="{5F8DD467-D4F0-43E7-BC90-ABB4E3EBADEE}" type="presOf" srcId="{9BB393AF-F0EE-4981-9A3C-69CCCBAD2DD4}" destId="{08D921ED-8DD9-4962-9E4D-12FDFF4F38C5}" srcOrd="0" destOrd="0" presId="urn:microsoft.com/office/officeart/2005/8/layout/orgChart1"/>
    <dgm:cxn modelId="{30D604C4-5A51-4E10-913A-3E422715EAE1}" srcId="{73E197B0-C8FD-4359-A836-51BE43B156B9}" destId="{7A1CBA92-25AC-4EDB-B3FF-CB2025D9FEFA}" srcOrd="3" destOrd="0" parTransId="{ACBF82A5-02E0-4F10-950C-78ADF2BA0D80}" sibTransId="{2D608FD3-A5F4-47D2-8EA8-DE35CC4A9ED3}"/>
    <dgm:cxn modelId="{17298E94-26AC-4B56-9366-BEBC0E00EFEC}" srcId="{B21409FD-77E3-4861-942D-5534BBB2884B}" destId="{73E197B0-C8FD-4359-A836-51BE43B156B9}" srcOrd="0" destOrd="0" parTransId="{08D27717-F4A3-496E-9115-360ECD3C3924}" sibTransId="{C119419E-59BF-40CC-8A4C-FBC926B8F9AD}"/>
    <dgm:cxn modelId="{9C0F1582-ED79-4686-9B1A-528E478736CE}" srcId="{73E197B0-C8FD-4359-A836-51BE43B156B9}" destId="{A1A87D88-B8CC-45D3-B4AA-63856802E003}" srcOrd="2" destOrd="0" parTransId="{EACB5890-D405-4D12-8E57-A1638BBE20A1}" sibTransId="{CBF5CA28-CFE1-4D67-BF93-7F6BC9125479}"/>
    <dgm:cxn modelId="{285C75E3-2908-45A2-BE60-92ED4F9F1E95}" srcId="{73E197B0-C8FD-4359-A836-51BE43B156B9}" destId="{9BB393AF-F0EE-4981-9A3C-69CCCBAD2DD4}" srcOrd="0" destOrd="0" parTransId="{2981BFAD-236C-4544-B310-A81046019A92}" sibTransId="{DC080E9D-F6B6-4192-A8A6-1584631A30C9}"/>
    <dgm:cxn modelId="{DB1EE9ED-A69D-417A-B53C-9D71F049281B}" type="presOf" srcId="{2981BFAD-236C-4544-B310-A81046019A92}" destId="{9B36AFE5-AF9E-4F0B-B2CB-D518D519009A}" srcOrd="0" destOrd="0" presId="urn:microsoft.com/office/officeart/2005/8/layout/orgChart1"/>
    <dgm:cxn modelId="{AEF8DF4A-D4C9-4FE0-AFFB-2CA1B2E08BA1}" type="presOf" srcId="{ACBF82A5-02E0-4F10-950C-78ADF2BA0D80}" destId="{141BEC2B-B804-4E91-99CE-515A583DE9A9}" srcOrd="0" destOrd="0" presId="urn:microsoft.com/office/officeart/2005/8/layout/orgChart1"/>
    <dgm:cxn modelId="{7DBB0387-BB16-4314-9C56-C63D984566C2}" type="presOf" srcId="{70960AB2-FFEA-4BE1-BAB0-C03E6AE85E8C}" destId="{60356F18-2573-48AA-AB3E-957560E9766F}" srcOrd="0" destOrd="0" presId="urn:microsoft.com/office/officeart/2005/8/layout/orgChart1"/>
    <dgm:cxn modelId="{37917D4C-8E67-47BD-ADA1-2DB2FF48645F}" type="presOf" srcId="{73E197B0-C8FD-4359-A836-51BE43B156B9}" destId="{CA941A9D-1AB3-49AA-990F-B5806434C9F1}" srcOrd="1" destOrd="0" presId="urn:microsoft.com/office/officeart/2005/8/layout/orgChart1"/>
    <dgm:cxn modelId="{D1A48E9D-24D7-4EB6-B548-656F4AD755DA}" type="presOf" srcId="{A1A87D88-B8CC-45D3-B4AA-63856802E003}" destId="{88C92655-4157-4718-964D-4844B493AFB3}" srcOrd="0" destOrd="0" presId="urn:microsoft.com/office/officeart/2005/8/layout/orgChart1"/>
    <dgm:cxn modelId="{CAE58F9D-EE01-4B12-835A-DC585E335E45}" type="presParOf" srcId="{008862DF-018D-4463-BEA0-D7F07917B9C8}" destId="{6851690C-0CD3-4386-9B28-6E4CBB7E0611}" srcOrd="0" destOrd="0" presId="urn:microsoft.com/office/officeart/2005/8/layout/orgChart1"/>
    <dgm:cxn modelId="{5905B0AB-2601-4ED7-85AC-8C339EEFA808}" type="presParOf" srcId="{6851690C-0CD3-4386-9B28-6E4CBB7E0611}" destId="{7BD8AE12-32EA-4E75-92C4-513D7E74E1A3}" srcOrd="0" destOrd="0" presId="urn:microsoft.com/office/officeart/2005/8/layout/orgChart1"/>
    <dgm:cxn modelId="{2B22017A-5BDD-414E-BEFC-940254D706BD}" type="presParOf" srcId="{7BD8AE12-32EA-4E75-92C4-513D7E74E1A3}" destId="{F701A965-C329-4F5A-B8AB-CC2D51A7C9D7}" srcOrd="0" destOrd="0" presId="urn:microsoft.com/office/officeart/2005/8/layout/orgChart1"/>
    <dgm:cxn modelId="{993ED72F-457A-4686-AEBE-D126862CDC87}" type="presParOf" srcId="{7BD8AE12-32EA-4E75-92C4-513D7E74E1A3}" destId="{CA941A9D-1AB3-49AA-990F-B5806434C9F1}" srcOrd="1" destOrd="0" presId="urn:microsoft.com/office/officeart/2005/8/layout/orgChart1"/>
    <dgm:cxn modelId="{9622549F-31FE-48AB-90A4-D5515EDF8CB8}" type="presParOf" srcId="{6851690C-0CD3-4386-9B28-6E4CBB7E0611}" destId="{9C80B82F-E692-4FEA-BA8A-8B3172D7A3AB}" srcOrd="1" destOrd="0" presId="urn:microsoft.com/office/officeart/2005/8/layout/orgChart1"/>
    <dgm:cxn modelId="{C0C17C1B-1822-43AA-8CF2-4725B0CF388F}" type="presParOf" srcId="{9C80B82F-E692-4FEA-BA8A-8B3172D7A3AB}" destId="{9B36AFE5-AF9E-4F0B-B2CB-D518D519009A}" srcOrd="0" destOrd="0" presId="urn:microsoft.com/office/officeart/2005/8/layout/orgChart1"/>
    <dgm:cxn modelId="{591C4ED7-58FF-4597-9CA0-E5DADDF62EDA}" type="presParOf" srcId="{9C80B82F-E692-4FEA-BA8A-8B3172D7A3AB}" destId="{70FB4C46-45B5-4ABD-AC5F-79B160C9ED99}" srcOrd="1" destOrd="0" presId="urn:microsoft.com/office/officeart/2005/8/layout/orgChart1"/>
    <dgm:cxn modelId="{33D5D0C6-AAA8-4B33-B728-AD8A7A263A91}" type="presParOf" srcId="{70FB4C46-45B5-4ABD-AC5F-79B160C9ED99}" destId="{56BCFF92-6D98-4998-A5E6-D83B8F14EFE1}" srcOrd="0" destOrd="0" presId="urn:microsoft.com/office/officeart/2005/8/layout/orgChart1"/>
    <dgm:cxn modelId="{D08C95A6-70F3-4E9E-BD7F-9C6FA8883704}" type="presParOf" srcId="{56BCFF92-6D98-4998-A5E6-D83B8F14EFE1}" destId="{08D921ED-8DD9-4962-9E4D-12FDFF4F38C5}" srcOrd="0" destOrd="0" presId="urn:microsoft.com/office/officeart/2005/8/layout/orgChart1"/>
    <dgm:cxn modelId="{EB235CA4-4961-4704-AA88-94D935222A86}" type="presParOf" srcId="{56BCFF92-6D98-4998-A5E6-D83B8F14EFE1}" destId="{F2B3C76B-B899-4E8B-8F51-543824CBFD91}" srcOrd="1" destOrd="0" presId="urn:microsoft.com/office/officeart/2005/8/layout/orgChart1"/>
    <dgm:cxn modelId="{F9C06490-E377-4F09-90E3-5B38B80CE569}" type="presParOf" srcId="{70FB4C46-45B5-4ABD-AC5F-79B160C9ED99}" destId="{5C12936C-3BA1-4D04-B114-851E63FF93F5}" srcOrd="1" destOrd="0" presId="urn:microsoft.com/office/officeart/2005/8/layout/orgChart1"/>
    <dgm:cxn modelId="{7C67FC41-48C1-46E3-84F1-A4F9AB87CC6A}" type="presParOf" srcId="{70FB4C46-45B5-4ABD-AC5F-79B160C9ED99}" destId="{F2233933-FE37-4E03-87A2-E0BCDB535DD7}" srcOrd="2" destOrd="0" presId="urn:microsoft.com/office/officeart/2005/8/layout/orgChart1"/>
    <dgm:cxn modelId="{18A4614B-B925-451C-B910-4C15B4FCBB8F}" type="presParOf" srcId="{9C80B82F-E692-4FEA-BA8A-8B3172D7A3AB}" destId="{60356F18-2573-48AA-AB3E-957560E9766F}" srcOrd="2" destOrd="0" presId="urn:microsoft.com/office/officeart/2005/8/layout/orgChart1"/>
    <dgm:cxn modelId="{EC44D57D-425A-48EA-96F4-87BD2990FD44}" type="presParOf" srcId="{9C80B82F-E692-4FEA-BA8A-8B3172D7A3AB}" destId="{332DC5B2-735C-49FA-8852-B885C055EF4B}" srcOrd="3" destOrd="0" presId="urn:microsoft.com/office/officeart/2005/8/layout/orgChart1"/>
    <dgm:cxn modelId="{BCDBBF71-D71F-43B9-AC87-3A3BCEE2814C}" type="presParOf" srcId="{332DC5B2-735C-49FA-8852-B885C055EF4B}" destId="{C4A008EE-5346-4FE5-B866-3E787BE6A2F6}" srcOrd="0" destOrd="0" presId="urn:microsoft.com/office/officeart/2005/8/layout/orgChart1"/>
    <dgm:cxn modelId="{8A025F95-E443-4C57-AB52-FBC7A9112306}" type="presParOf" srcId="{C4A008EE-5346-4FE5-B866-3E787BE6A2F6}" destId="{8730B6E7-FB5D-4354-AE16-82CD002CC689}" srcOrd="0" destOrd="0" presId="urn:microsoft.com/office/officeart/2005/8/layout/orgChart1"/>
    <dgm:cxn modelId="{970BCFDD-B178-4070-86C6-1733EDE4D6FE}" type="presParOf" srcId="{C4A008EE-5346-4FE5-B866-3E787BE6A2F6}" destId="{3A2F128C-E88D-440F-ADE4-CD9065ED3A2A}" srcOrd="1" destOrd="0" presId="urn:microsoft.com/office/officeart/2005/8/layout/orgChart1"/>
    <dgm:cxn modelId="{C5BAC99F-B8B5-4991-8DED-6C46B786618E}" type="presParOf" srcId="{332DC5B2-735C-49FA-8852-B885C055EF4B}" destId="{6AEEF3CB-43A3-4484-963D-E09395B599EC}" srcOrd="1" destOrd="0" presId="urn:microsoft.com/office/officeart/2005/8/layout/orgChart1"/>
    <dgm:cxn modelId="{4B9B8760-A767-477A-BC38-659320A41CBA}" type="presParOf" srcId="{332DC5B2-735C-49FA-8852-B885C055EF4B}" destId="{79D1F04E-6667-428C-835A-0C9A31023ABB}" srcOrd="2" destOrd="0" presId="urn:microsoft.com/office/officeart/2005/8/layout/orgChart1"/>
    <dgm:cxn modelId="{34B32090-9A7A-4CDE-BED8-BD72E1633FA9}" type="presParOf" srcId="{9C80B82F-E692-4FEA-BA8A-8B3172D7A3AB}" destId="{A71EA82B-A1AE-4790-9687-7B443A9D31F7}" srcOrd="4" destOrd="0" presId="urn:microsoft.com/office/officeart/2005/8/layout/orgChart1"/>
    <dgm:cxn modelId="{43514C3F-EDB5-4143-9101-84432830CC7E}" type="presParOf" srcId="{9C80B82F-E692-4FEA-BA8A-8B3172D7A3AB}" destId="{BC96AA72-C717-4E3A-A8B0-B18AC6D76A23}" srcOrd="5" destOrd="0" presId="urn:microsoft.com/office/officeart/2005/8/layout/orgChart1"/>
    <dgm:cxn modelId="{6D69FAEA-DCF8-4C2B-9D5E-772B7302006C}" type="presParOf" srcId="{BC96AA72-C717-4E3A-A8B0-B18AC6D76A23}" destId="{1BF7C06E-5C3A-4C1C-8634-C292A1F54DD5}" srcOrd="0" destOrd="0" presId="urn:microsoft.com/office/officeart/2005/8/layout/orgChart1"/>
    <dgm:cxn modelId="{31A7AC62-EE0E-408D-BCB6-43F9E4109FA1}" type="presParOf" srcId="{1BF7C06E-5C3A-4C1C-8634-C292A1F54DD5}" destId="{88C92655-4157-4718-964D-4844B493AFB3}" srcOrd="0" destOrd="0" presId="urn:microsoft.com/office/officeart/2005/8/layout/orgChart1"/>
    <dgm:cxn modelId="{C35E5450-5520-443A-B77C-CCA1B25E32B8}" type="presParOf" srcId="{1BF7C06E-5C3A-4C1C-8634-C292A1F54DD5}" destId="{1E9F4E51-FC56-4611-B377-22F7F8F19C65}" srcOrd="1" destOrd="0" presId="urn:microsoft.com/office/officeart/2005/8/layout/orgChart1"/>
    <dgm:cxn modelId="{CEB39BD2-F87D-4961-8B95-9C4481AD4799}" type="presParOf" srcId="{BC96AA72-C717-4E3A-A8B0-B18AC6D76A23}" destId="{67741DF8-1888-4CB4-98CA-05758FB2785F}" srcOrd="1" destOrd="0" presId="urn:microsoft.com/office/officeart/2005/8/layout/orgChart1"/>
    <dgm:cxn modelId="{C175D6D3-152E-4830-B4BA-CCE7733D9FCC}" type="presParOf" srcId="{BC96AA72-C717-4E3A-A8B0-B18AC6D76A23}" destId="{93F8F853-DC6C-4FEF-B5C7-990C30C260EF}" srcOrd="2" destOrd="0" presId="urn:microsoft.com/office/officeart/2005/8/layout/orgChart1"/>
    <dgm:cxn modelId="{48E88CE3-D21C-44E6-B8D1-FBFCB918E632}" type="presParOf" srcId="{9C80B82F-E692-4FEA-BA8A-8B3172D7A3AB}" destId="{141BEC2B-B804-4E91-99CE-515A583DE9A9}" srcOrd="6" destOrd="0" presId="urn:microsoft.com/office/officeart/2005/8/layout/orgChart1"/>
    <dgm:cxn modelId="{C9561783-A707-4D97-A3F8-F95027E21EAC}" type="presParOf" srcId="{9C80B82F-E692-4FEA-BA8A-8B3172D7A3AB}" destId="{734D277C-A1A3-4CC6-B707-76B0F45E2D67}" srcOrd="7" destOrd="0" presId="urn:microsoft.com/office/officeart/2005/8/layout/orgChart1"/>
    <dgm:cxn modelId="{C4851C1F-66D9-477E-921D-C3517FD0746D}" type="presParOf" srcId="{734D277C-A1A3-4CC6-B707-76B0F45E2D67}" destId="{DF1B0885-531E-41F8-86D1-957EBC65CE88}" srcOrd="0" destOrd="0" presId="urn:microsoft.com/office/officeart/2005/8/layout/orgChart1"/>
    <dgm:cxn modelId="{951C2951-F4AB-4986-8E80-B398B4D84CE6}" type="presParOf" srcId="{DF1B0885-531E-41F8-86D1-957EBC65CE88}" destId="{1AFC711D-B79E-4106-93C6-0837A7AB652F}" srcOrd="0" destOrd="0" presId="urn:microsoft.com/office/officeart/2005/8/layout/orgChart1"/>
    <dgm:cxn modelId="{DA64B2D5-924C-40A2-88AF-2777FEAC0498}" type="presParOf" srcId="{DF1B0885-531E-41F8-86D1-957EBC65CE88}" destId="{79C8CA1C-CA92-4665-AB74-0258CD477C7C}" srcOrd="1" destOrd="0" presId="urn:microsoft.com/office/officeart/2005/8/layout/orgChart1"/>
    <dgm:cxn modelId="{EABE1BBB-0198-43EA-A428-CC19DA72053A}" type="presParOf" srcId="{734D277C-A1A3-4CC6-B707-76B0F45E2D67}" destId="{B953233C-411B-4E7A-A74D-09067DF445FE}" srcOrd="1" destOrd="0" presId="urn:microsoft.com/office/officeart/2005/8/layout/orgChart1"/>
    <dgm:cxn modelId="{1363C1CD-F181-420F-8A6A-0912D783E4D6}" type="presParOf" srcId="{734D277C-A1A3-4CC6-B707-76B0F45E2D67}" destId="{0B823ED4-3E2C-4B52-92E2-5FE48B488B70}" srcOrd="2" destOrd="0" presId="urn:microsoft.com/office/officeart/2005/8/layout/orgChart1"/>
    <dgm:cxn modelId="{580E8DFF-5D4E-4ED9-82D2-BCD4AB4924D2}" type="presParOf" srcId="{6851690C-0CD3-4386-9B28-6E4CBB7E0611}" destId="{EEB983D0-CC0D-405A-8374-D8FECEC7630D}" srcOrd="2" destOrd="0" presId="urn:microsoft.com/office/officeart/2005/8/layout/orgChar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337C971-9A9E-4165-B94B-D2E62D857C58}" type="doc">
      <dgm:prSet loTypeId="urn:microsoft.com/office/officeart/2005/8/layout/venn3" loCatId="relationship" qsTypeId="urn:microsoft.com/office/officeart/2005/8/quickstyle/simple1" qsCatId="simple" csTypeId="urn:microsoft.com/office/officeart/2005/8/colors/accent1_2" csCatId="accent1" phldr="1"/>
      <dgm:spPr/>
      <dgm:t>
        <a:bodyPr/>
        <a:lstStyle/>
        <a:p>
          <a:endParaRPr lang="pl-PL"/>
        </a:p>
      </dgm:t>
    </dgm:pt>
    <dgm:pt modelId="{6AC7B1A0-A322-4C6D-8B52-870F7B4102DC}">
      <dgm:prSet phldrT="[Tekst]" custT="1"/>
      <dgm:spPr>
        <a:xfrm>
          <a:off x="890" y="220561"/>
          <a:ext cx="987626" cy="987626"/>
        </a:xfr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900">
              <a:solidFill>
                <a:sysClr val="windowText" lastClr="000000"/>
              </a:solidFill>
              <a:latin typeface="Calibri"/>
              <a:ea typeface="+mn-ea"/>
              <a:cs typeface="+mn-cs"/>
            </a:rPr>
            <a:t>Równość partnerów</a:t>
          </a:r>
        </a:p>
      </dgm:t>
    </dgm:pt>
    <dgm:pt modelId="{D63B8FB3-4C2D-4637-97FF-109B356BB1AE}" type="parTrans" cxnId="{4F468CFB-27B6-4BE9-AC2F-A2EE56C9B659}">
      <dgm:prSet/>
      <dgm:spPr/>
      <dgm:t>
        <a:bodyPr/>
        <a:lstStyle/>
        <a:p>
          <a:endParaRPr lang="pl-PL"/>
        </a:p>
      </dgm:t>
    </dgm:pt>
    <dgm:pt modelId="{76943FDE-5EE1-44F6-B0C9-F927A449E5FC}" type="sibTrans" cxnId="{4F468CFB-27B6-4BE9-AC2F-A2EE56C9B659}">
      <dgm:prSet/>
      <dgm:spPr/>
      <dgm:t>
        <a:bodyPr/>
        <a:lstStyle/>
        <a:p>
          <a:endParaRPr lang="pl-PL"/>
        </a:p>
      </dgm:t>
    </dgm:pt>
    <dgm:pt modelId="{0086CE72-8B4A-4235-B261-6D1EC36DAE94}">
      <dgm:prSet phldrT="[Tekst]" custT="1"/>
      <dgm:spPr>
        <a:xfrm>
          <a:off x="790992" y="220561"/>
          <a:ext cx="987626" cy="987626"/>
        </a:xfr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800">
              <a:solidFill>
                <a:sysClr val="windowText" lastClr="000000"/>
              </a:solidFill>
              <a:latin typeface="Calibri"/>
              <a:ea typeface="+mn-ea"/>
              <a:cs typeface="+mn-cs"/>
            </a:rPr>
            <a:t>Partycypacja i </a:t>
          </a:r>
          <a:r>
            <a:rPr lang="pl-PL" sz="900">
              <a:solidFill>
                <a:sysClr val="windowText" lastClr="000000"/>
              </a:solidFill>
              <a:latin typeface="Calibri"/>
              <a:ea typeface="+mn-ea"/>
              <a:cs typeface="+mn-cs"/>
            </a:rPr>
            <a:t>partnerstwo</a:t>
          </a:r>
          <a:endParaRPr lang="pl-PL" sz="800">
            <a:solidFill>
              <a:sysClr val="windowText" lastClr="000000"/>
            </a:solidFill>
            <a:latin typeface="Calibri"/>
            <a:ea typeface="+mn-ea"/>
            <a:cs typeface="+mn-cs"/>
          </a:endParaRPr>
        </a:p>
      </dgm:t>
    </dgm:pt>
    <dgm:pt modelId="{F1C21EB8-5FB1-4DC1-94D9-479A64B24EAA}" type="parTrans" cxnId="{A9E0E5D9-07FD-4C42-97B5-86B43119FE8C}">
      <dgm:prSet/>
      <dgm:spPr/>
      <dgm:t>
        <a:bodyPr/>
        <a:lstStyle/>
        <a:p>
          <a:endParaRPr lang="pl-PL"/>
        </a:p>
      </dgm:t>
    </dgm:pt>
    <dgm:pt modelId="{699F2CE9-BE6F-43BD-8E13-4E1891AF5335}" type="sibTrans" cxnId="{A9E0E5D9-07FD-4C42-97B5-86B43119FE8C}">
      <dgm:prSet/>
      <dgm:spPr/>
      <dgm:t>
        <a:bodyPr/>
        <a:lstStyle/>
        <a:p>
          <a:endParaRPr lang="pl-PL"/>
        </a:p>
      </dgm:t>
    </dgm:pt>
    <dgm:pt modelId="{1163D300-419F-4AB2-A8FF-06F3A4E69870}">
      <dgm:prSet phldrT="[Tekst]" custT="1"/>
      <dgm:spPr>
        <a:xfrm>
          <a:off x="1581093" y="220561"/>
          <a:ext cx="987626" cy="987626"/>
        </a:xfr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900">
              <a:solidFill>
                <a:sysClr val="windowText" lastClr="000000"/>
              </a:solidFill>
              <a:latin typeface="Calibri"/>
              <a:ea typeface="+mn-ea"/>
              <a:cs typeface="+mn-cs"/>
            </a:rPr>
            <a:t>Wielopozio-mowe</a:t>
          </a:r>
          <a:r>
            <a:rPr lang="pl-PL" sz="800">
              <a:solidFill>
                <a:sysClr val="windowText" lastClr="000000"/>
              </a:solidFill>
              <a:latin typeface="Calibri"/>
              <a:ea typeface="+mn-ea"/>
              <a:cs typeface="+mn-cs"/>
            </a:rPr>
            <a:t> </a:t>
          </a:r>
          <a:r>
            <a:rPr lang="pl-PL" sz="900">
              <a:solidFill>
                <a:sysClr val="windowText" lastClr="000000"/>
              </a:solidFill>
              <a:latin typeface="Calibri"/>
              <a:ea typeface="+mn-ea"/>
              <a:cs typeface="+mn-cs"/>
            </a:rPr>
            <a:t>zarządzanie</a:t>
          </a:r>
        </a:p>
      </dgm:t>
    </dgm:pt>
    <dgm:pt modelId="{23331549-8A17-43B9-BAA5-3D10C23A65BE}" type="parTrans" cxnId="{AD243EAA-506C-4F00-A9FB-63A4AF3C3D30}">
      <dgm:prSet/>
      <dgm:spPr/>
      <dgm:t>
        <a:bodyPr/>
        <a:lstStyle/>
        <a:p>
          <a:endParaRPr lang="pl-PL"/>
        </a:p>
      </dgm:t>
    </dgm:pt>
    <dgm:pt modelId="{23E528E5-9847-4DDE-AD0E-87433135A60A}" type="sibTrans" cxnId="{AD243EAA-506C-4F00-A9FB-63A4AF3C3D30}">
      <dgm:prSet/>
      <dgm:spPr/>
      <dgm:t>
        <a:bodyPr/>
        <a:lstStyle/>
        <a:p>
          <a:endParaRPr lang="pl-PL"/>
        </a:p>
      </dgm:t>
    </dgm:pt>
    <dgm:pt modelId="{C018ABAC-7C99-4D49-847E-E307876AB8E0}">
      <dgm:prSet phldrT="[Tekst]" custT="1"/>
      <dgm:spPr>
        <a:xfrm>
          <a:off x="2371194" y="220561"/>
          <a:ext cx="987626" cy="987626"/>
        </a:xfr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700">
              <a:solidFill>
                <a:sysClr val="windowText" lastClr="000000"/>
              </a:solidFill>
              <a:latin typeface="Calibri"/>
              <a:ea typeface="+mn-ea"/>
              <a:cs typeface="+mn-cs"/>
            </a:rPr>
            <a:t>Przejrzystość działań, proste i jasne zasady komunikowania</a:t>
          </a:r>
        </a:p>
      </dgm:t>
    </dgm:pt>
    <dgm:pt modelId="{EB8F9898-80D6-416A-AFB8-760597FBFD2A}" type="parTrans" cxnId="{168B8594-04B6-4A7F-85FB-C559B15DBC6F}">
      <dgm:prSet/>
      <dgm:spPr/>
      <dgm:t>
        <a:bodyPr/>
        <a:lstStyle/>
        <a:p>
          <a:endParaRPr lang="pl-PL"/>
        </a:p>
      </dgm:t>
    </dgm:pt>
    <dgm:pt modelId="{A73F0704-89CF-42FC-A1F2-1BEC183375B1}" type="sibTrans" cxnId="{168B8594-04B6-4A7F-85FB-C559B15DBC6F}">
      <dgm:prSet/>
      <dgm:spPr/>
      <dgm:t>
        <a:bodyPr/>
        <a:lstStyle/>
        <a:p>
          <a:endParaRPr lang="pl-PL"/>
        </a:p>
      </dgm:t>
    </dgm:pt>
    <dgm:pt modelId="{16EC684C-F0C7-4CB4-92C4-0373DC3D4BBC}">
      <dgm:prSet custT="1"/>
      <dgm:spPr>
        <a:xfrm>
          <a:off x="3154153" y="242180"/>
          <a:ext cx="987626" cy="987626"/>
        </a:xfr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900">
              <a:solidFill>
                <a:sysClr val="windowText" lastClr="000000"/>
              </a:solidFill>
              <a:latin typeface="Calibri"/>
              <a:ea typeface="+mn-ea"/>
              <a:cs typeface="+mn-cs"/>
            </a:rPr>
            <a:t>Elastyczność reagowania</a:t>
          </a:r>
        </a:p>
      </dgm:t>
    </dgm:pt>
    <dgm:pt modelId="{5758C73D-68A5-40D8-A54E-F3A4B494122B}" type="parTrans" cxnId="{FB1E9407-8DA3-4BD5-B4B8-47F36B719DDF}">
      <dgm:prSet/>
      <dgm:spPr/>
      <dgm:t>
        <a:bodyPr/>
        <a:lstStyle/>
        <a:p>
          <a:endParaRPr lang="pl-PL"/>
        </a:p>
      </dgm:t>
    </dgm:pt>
    <dgm:pt modelId="{0F00EC79-9A56-47DC-A51C-8A4A30325C17}" type="sibTrans" cxnId="{FB1E9407-8DA3-4BD5-B4B8-47F36B719DDF}">
      <dgm:prSet/>
      <dgm:spPr/>
      <dgm:t>
        <a:bodyPr/>
        <a:lstStyle/>
        <a:p>
          <a:endParaRPr lang="pl-PL"/>
        </a:p>
      </dgm:t>
    </dgm:pt>
    <dgm:pt modelId="{087CE4D6-133E-437A-B3D9-AFED3013DA96}">
      <dgm:prSet custT="1"/>
      <dgm:spPr>
        <a:xfrm>
          <a:off x="3932588" y="214290"/>
          <a:ext cx="1061510" cy="987626"/>
        </a:xfr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900">
              <a:solidFill>
                <a:sysClr val="windowText" lastClr="000000"/>
              </a:solidFill>
              <a:latin typeface="Calibri"/>
              <a:ea typeface="+mn-ea"/>
              <a:cs typeface="+mn-cs"/>
            </a:rPr>
            <a:t>Racjonalność wydatków publicznych</a:t>
          </a:r>
        </a:p>
      </dgm:t>
    </dgm:pt>
    <dgm:pt modelId="{9858CA66-711D-4B50-B219-F2610C455970}" type="parTrans" cxnId="{405B16B0-7BED-4FEF-B057-641519C8F508}">
      <dgm:prSet/>
      <dgm:spPr/>
      <dgm:t>
        <a:bodyPr/>
        <a:lstStyle/>
        <a:p>
          <a:endParaRPr lang="pl-PL"/>
        </a:p>
      </dgm:t>
    </dgm:pt>
    <dgm:pt modelId="{D62F32AC-5F9B-4BEE-957B-CBDD23653BF1}" type="sibTrans" cxnId="{405B16B0-7BED-4FEF-B057-641519C8F508}">
      <dgm:prSet/>
      <dgm:spPr/>
      <dgm:t>
        <a:bodyPr/>
        <a:lstStyle/>
        <a:p>
          <a:endParaRPr lang="pl-PL"/>
        </a:p>
      </dgm:t>
    </dgm:pt>
    <dgm:pt modelId="{BCC44277-60A2-44C8-AE76-F12DB84A2103}">
      <dgm:prSet custT="1"/>
      <dgm:spPr>
        <a:xfrm>
          <a:off x="4815382" y="220561"/>
          <a:ext cx="987626" cy="987626"/>
        </a:xfr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900">
              <a:solidFill>
                <a:sysClr val="windowText" lastClr="000000"/>
              </a:solidFill>
              <a:latin typeface="Calibri"/>
              <a:ea typeface="+mn-ea"/>
              <a:cs typeface="+mn-cs"/>
            </a:rPr>
            <a:t>Wspólne</a:t>
          </a:r>
          <a:r>
            <a:rPr lang="pl-PL" sz="800">
              <a:solidFill>
                <a:sysClr val="windowText" lastClr="000000"/>
              </a:solidFill>
              <a:latin typeface="Calibri"/>
              <a:ea typeface="+mn-ea"/>
              <a:cs typeface="+mn-cs"/>
            </a:rPr>
            <a:t> wydatki</a:t>
          </a:r>
        </a:p>
      </dgm:t>
    </dgm:pt>
    <dgm:pt modelId="{8598D778-19EF-4A5F-952F-D1217389E635}" type="parTrans" cxnId="{F61F3875-0B6B-4433-AF7F-C5FE10C42EFE}">
      <dgm:prSet/>
      <dgm:spPr/>
      <dgm:t>
        <a:bodyPr/>
        <a:lstStyle/>
        <a:p>
          <a:endParaRPr lang="pl-PL"/>
        </a:p>
      </dgm:t>
    </dgm:pt>
    <dgm:pt modelId="{D95824C1-8C4B-4AD2-A936-7AC60F99E130}" type="sibTrans" cxnId="{F61F3875-0B6B-4433-AF7F-C5FE10C42EFE}">
      <dgm:prSet/>
      <dgm:spPr/>
      <dgm:t>
        <a:bodyPr/>
        <a:lstStyle/>
        <a:p>
          <a:endParaRPr lang="pl-PL"/>
        </a:p>
      </dgm:t>
    </dgm:pt>
    <dgm:pt modelId="{CF93D0CD-882E-4536-BC99-FA61BA4EF861}" type="pres">
      <dgm:prSet presAssocID="{9337C971-9A9E-4165-B94B-D2E62D857C58}" presName="Name0" presStyleCnt="0">
        <dgm:presLayoutVars>
          <dgm:dir/>
          <dgm:resizeHandles val="exact"/>
        </dgm:presLayoutVars>
      </dgm:prSet>
      <dgm:spPr/>
      <dgm:t>
        <a:bodyPr/>
        <a:lstStyle/>
        <a:p>
          <a:endParaRPr lang="pl-PL"/>
        </a:p>
      </dgm:t>
    </dgm:pt>
    <dgm:pt modelId="{F893376F-F574-473A-8FF2-8D492EE74093}" type="pres">
      <dgm:prSet presAssocID="{6AC7B1A0-A322-4C6D-8B52-870F7B4102DC}" presName="Name5" presStyleLbl="vennNode1" presStyleIdx="0" presStyleCnt="7">
        <dgm:presLayoutVars>
          <dgm:bulletEnabled val="1"/>
        </dgm:presLayoutVars>
      </dgm:prSet>
      <dgm:spPr>
        <a:prstGeom prst="ellipse">
          <a:avLst/>
        </a:prstGeom>
      </dgm:spPr>
      <dgm:t>
        <a:bodyPr/>
        <a:lstStyle/>
        <a:p>
          <a:endParaRPr lang="pl-PL"/>
        </a:p>
      </dgm:t>
    </dgm:pt>
    <dgm:pt modelId="{F454B752-2AC1-4C5B-87DC-0B4150BEE7A1}" type="pres">
      <dgm:prSet presAssocID="{76943FDE-5EE1-44F6-B0C9-F927A449E5FC}" presName="space" presStyleCnt="0"/>
      <dgm:spPr/>
    </dgm:pt>
    <dgm:pt modelId="{9A88BF6A-4E5D-480F-9B0C-85FEC3CC30A2}" type="pres">
      <dgm:prSet presAssocID="{0086CE72-8B4A-4235-B261-6D1EC36DAE94}" presName="Name5" presStyleLbl="vennNode1" presStyleIdx="1" presStyleCnt="7">
        <dgm:presLayoutVars>
          <dgm:bulletEnabled val="1"/>
        </dgm:presLayoutVars>
      </dgm:prSet>
      <dgm:spPr>
        <a:prstGeom prst="ellipse">
          <a:avLst/>
        </a:prstGeom>
      </dgm:spPr>
      <dgm:t>
        <a:bodyPr/>
        <a:lstStyle/>
        <a:p>
          <a:endParaRPr lang="pl-PL"/>
        </a:p>
      </dgm:t>
    </dgm:pt>
    <dgm:pt modelId="{78A0D685-C5F0-415A-9C6D-3C3360B39B28}" type="pres">
      <dgm:prSet presAssocID="{699F2CE9-BE6F-43BD-8E13-4E1891AF5335}" presName="space" presStyleCnt="0"/>
      <dgm:spPr/>
    </dgm:pt>
    <dgm:pt modelId="{202ADFB4-B8D8-410A-92BD-09459A2FCDBA}" type="pres">
      <dgm:prSet presAssocID="{1163D300-419F-4AB2-A8FF-06F3A4E69870}" presName="Name5" presStyleLbl="vennNode1" presStyleIdx="2" presStyleCnt="7">
        <dgm:presLayoutVars>
          <dgm:bulletEnabled val="1"/>
        </dgm:presLayoutVars>
      </dgm:prSet>
      <dgm:spPr>
        <a:prstGeom prst="ellipse">
          <a:avLst/>
        </a:prstGeom>
      </dgm:spPr>
      <dgm:t>
        <a:bodyPr/>
        <a:lstStyle/>
        <a:p>
          <a:endParaRPr lang="pl-PL"/>
        </a:p>
      </dgm:t>
    </dgm:pt>
    <dgm:pt modelId="{79A7920B-7E6F-4644-890E-7C35952B14A9}" type="pres">
      <dgm:prSet presAssocID="{23E528E5-9847-4DDE-AD0E-87433135A60A}" presName="space" presStyleCnt="0"/>
      <dgm:spPr/>
    </dgm:pt>
    <dgm:pt modelId="{E302203D-3FB6-41B4-916F-62B48717EF1C}" type="pres">
      <dgm:prSet presAssocID="{C018ABAC-7C99-4D49-847E-E307876AB8E0}" presName="Name5" presStyleLbl="vennNode1" presStyleIdx="3" presStyleCnt="7">
        <dgm:presLayoutVars>
          <dgm:bulletEnabled val="1"/>
        </dgm:presLayoutVars>
      </dgm:prSet>
      <dgm:spPr>
        <a:prstGeom prst="ellipse">
          <a:avLst/>
        </a:prstGeom>
      </dgm:spPr>
      <dgm:t>
        <a:bodyPr/>
        <a:lstStyle/>
        <a:p>
          <a:endParaRPr lang="pl-PL"/>
        </a:p>
      </dgm:t>
    </dgm:pt>
    <dgm:pt modelId="{A38DDDE1-92D2-47DC-AD25-ECAE6C45C613}" type="pres">
      <dgm:prSet presAssocID="{A73F0704-89CF-42FC-A1F2-1BEC183375B1}" presName="space" presStyleCnt="0"/>
      <dgm:spPr/>
    </dgm:pt>
    <dgm:pt modelId="{7FA74EA6-42F6-4123-B149-A1633CF2F615}" type="pres">
      <dgm:prSet presAssocID="{16EC684C-F0C7-4CB4-92C4-0373DC3D4BBC}" presName="Name5" presStyleLbl="vennNode1" presStyleIdx="4" presStyleCnt="7" custLinFactNeighborX="-3616" custLinFactNeighborY="2189">
        <dgm:presLayoutVars>
          <dgm:bulletEnabled val="1"/>
        </dgm:presLayoutVars>
      </dgm:prSet>
      <dgm:spPr>
        <a:prstGeom prst="ellipse">
          <a:avLst/>
        </a:prstGeom>
      </dgm:spPr>
      <dgm:t>
        <a:bodyPr/>
        <a:lstStyle/>
        <a:p>
          <a:endParaRPr lang="pl-PL"/>
        </a:p>
      </dgm:t>
    </dgm:pt>
    <dgm:pt modelId="{E68EBF6B-0D5C-47AB-B7A9-09A27598C125}" type="pres">
      <dgm:prSet presAssocID="{0F00EC79-9A56-47DC-A51C-8A4A30325C17}" presName="space" presStyleCnt="0"/>
      <dgm:spPr/>
    </dgm:pt>
    <dgm:pt modelId="{9BC5D220-310D-4F08-B3F5-21FAC4EE45BA}" type="pres">
      <dgm:prSet presAssocID="{087CE4D6-133E-437A-B3D9-AFED3013DA96}" presName="Name5" presStyleLbl="vennNode1" presStyleIdx="5" presStyleCnt="7" custScaleX="107481" custLinFactNeighborX="-9522" custLinFactNeighborY="-635">
        <dgm:presLayoutVars>
          <dgm:bulletEnabled val="1"/>
        </dgm:presLayoutVars>
      </dgm:prSet>
      <dgm:spPr>
        <a:prstGeom prst="ellipse">
          <a:avLst/>
        </a:prstGeom>
      </dgm:spPr>
      <dgm:t>
        <a:bodyPr/>
        <a:lstStyle/>
        <a:p>
          <a:endParaRPr lang="pl-PL"/>
        </a:p>
      </dgm:t>
    </dgm:pt>
    <dgm:pt modelId="{17C47E98-B517-43CE-BA7D-6AAA6633605C}" type="pres">
      <dgm:prSet presAssocID="{D62F32AC-5F9B-4BEE-957B-CBDD23653BF1}" presName="space" presStyleCnt="0"/>
      <dgm:spPr/>
    </dgm:pt>
    <dgm:pt modelId="{C1D29CC5-2452-4B6F-A0CB-08CE51491D59}" type="pres">
      <dgm:prSet presAssocID="{BCC44277-60A2-44C8-AE76-F12DB84A2103}" presName="Name5" presStyleLbl="vennNode1" presStyleIdx="6" presStyleCnt="7">
        <dgm:presLayoutVars>
          <dgm:bulletEnabled val="1"/>
        </dgm:presLayoutVars>
      </dgm:prSet>
      <dgm:spPr>
        <a:prstGeom prst="ellipse">
          <a:avLst/>
        </a:prstGeom>
      </dgm:spPr>
      <dgm:t>
        <a:bodyPr/>
        <a:lstStyle/>
        <a:p>
          <a:endParaRPr lang="pl-PL"/>
        </a:p>
      </dgm:t>
    </dgm:pt>
  </dgm:ptLst>
  <dgm:cxnLst>
    <dgm:cxn modelId="{168B8594-04B6-4A7F-85FB-C559B15DBC6F}" srcId="{9337C971-9A9E-4165-B94B-D2E62D857C58}" destId="{C018ABAC-7C99-4D49-847E-E307876AB8E0}" srcOrd="3" destOrd="0" parTransId="{EB8F9898-80D6-416A-AFB8-760597FBFD2A}" sibTransId="{A73F0704-89CF-42FC-A1F2-1BEC183375B1}"/>
    <dgm:cxn modelId="{4F468CFB-27B6-4BE9-AC2F-A2EE56C9B659}" srcId="{9337C971-9A9E-4165-B94B-D2E62D857C58}" destId="{6AC7B1A0-A322-4C6D-8B52-870F7B4102DC}" srcOrd="0" destOrd="0" parTransId="{D63B8FB3-4C2D-4637-97FF-109B356BB1AE}" sibTransId="{76943FDE-5EE1-44F6-B0C9-F927A449E5FC}"/>
    <dgm:cxn modelId="{40A85DCE-672A-4032-AFC2-84300FFE1872}" type="presOf" srcId="{9337C971-9A9E-4165-B94B-D2E62D857C58}" destId="{CF93D0CD-882E-4536-BC99-FA61BA4EF861}" srcOrd="0" destOrd="0" presId="urn:microsoft.com/office/officeart/2005/8/layout/venn3"/>
    <dgm:cxn modelId="{AD243EAA-506C-4F00-A9FB-63A4AF3C3D30}" srcId="{9337C971-9A9E-4165-B94B-D2E62D857C58}" destId="{1163D300-419F-4AB2-A8FF-06F3A4E69870}" srcOrd="2" destOrd="0" parTransId="{23331549-8A17-43B9-BAA5-3D10C23A65BE}" sibTransId="{23E528E5-9847-4DDE-AD0E-87433135A60A}"/>
    <dgm:cxn modelId="{F61F3875-0B6B-4433-AF7F-C5FE10C42EFE}" srcId="{9337C971-9A9E-4165-B94B-D2E62D857C58}" destId="{BCC44277-60A2-44C8-AE76-F12DB84A2103}" srcOrd="6" destOrd="0" parTransId="{8598D778-19EF-4A5F-952F-D1217389E635}" sibTransId="{D95824C1-8C4B-4AD2-A936-7AC60F99E130}"/>
    <dgm:cxn modelId="{8F83B404-EE47-469F-A448-84E7985A3C04}" type="presOf" srcId="{087CE4D6-133E-437A-B3D9-AFED3013DA96}" destId="{9BC5D220-310D-4F08-B3F5-21FAC4EE45BA}" srcOrd="0" destOrd="0" presId="urn:microsoft.com/office/officeart/2005/8/layout/venn3"/>
    <dgm:cxn modelId="{FB1E9407-8DA3-4BD5-B4B8-47F36B719DDF}" srcId="{9337C971-9A9E-4165-B94B-D2E62D857C58}" destId="{16EC684C-F0C7-4CB4-92C4-0373DC3D4BBC}" srcOrd="4" destOrd="0" parTransId="{5758C73D-68A5-40D8-A54E-F3A4B494122B}" sibTransId="{0F00EC79-9A56-47DC-A51C-8A4A30325C17}"/>
    <dgm:cxn modelId="{73DF9705-7A3E-4919-BF90-F879F5C0AC0D}" type="presOf" srcId="{16EC684C-F0C7-4CB4-92C4-0373DC3D4BBC}" destId="{7FA74EA6-42F6-4123-B149-A1633CF2F615}" srcOrd="0" destOrd="0" presId="urn:microsoft.com/office/officeart/2005/8/layout/venn3"/>
    <dgm:cxn modelId="{CB91FC1B-9C64-444D-BB37-05A01A6CA675}" type="presOf" srcId="{6AC7B1A0-A322-4C6D-8B52-870F7B4102DC}" destId="{F893376F-F574-473A-8FF2-8D492EE74093}" srcOrd="0" destOrd="0" presId="urn:microsoft.com/office/officeart/2005/8/layout/venn3"/>
    <dgm:cxn modelId="{405B16B0-7BED-4FEF-B057-641519C8F508}" srcId="{9337C971-9A9E-4165-B94B-D2E62D857C58}" destId="{087CE4D6-133E-437A-B3D9-AFED3013DA96}" srcOrd="5" destOrd="0" parTransId="{9858CA66-711D-4B50-B219-F2610C455970}" sibTransId="{D62F32AC-5F9B-4BEE-957B-CBDD23653BF1}"/>
    <dgm:cxn modelId="{D9C14003-976C-4BDA-B460-73230C50B084}" type="presOf" srcId="{BCC44277-60A2-44C8-AE76-F12DB84A2103}" destId="{C1D29CC5-2452-4B6F-A0CB-08CE51491D59}" srcOrd="0" destOrd="0" presId="urn:microsoft.com/office/officeart/2005/8/layout/venn3"/>
    <dgm:cxn modelId="{0515597C-327C-4736-86B4-C4599832E64B}" type="presOf" srcId="{C018ABAC-7C99-4D49-847E-E307876AB8E0}" destId="{E302203D-3FB6-41B4-916F-62B48717EF1C}" srcOrd="0" destOrd="0" presId="urn:microsoft.com/office/officeart/2005/8/layout/venn3"/>
    <dgm:cxn modelId="{A9E0E5D9-07FD-4C42-97B5-86B43119FE8C}" srcId="{9337C971-9A9E-4165-B94B-D2E62D857C58}" destId="{0086CE72-8B4A-4235-B261-6D1EC36DAE94}" srcOrd="1" destOrd="0" parTransId="{F1C21EB8-5FB1-4DC1-94D9-479A64B24EAA}" sibTransId="{699F2CE9-BE6F-43BD-8E13-4E1891AF5335}"/>
    <dgm:cxn modelId="{75B373E2-0866-41AC-9A01-AB2E4EF4D729}" type="presOf" srcId="{1163D300-419F-4AB2-A8FF-06F3A4E69870}" destId="{202ADFB4-B8D8-410A-92BD-09459A2FCDBA}" srcOrd="0" destOrd="0" presId="urn:microsoft.com/office/officeart/2005/8/layout/venn3"/>
    <dgm:cxn modelId="{51C29FBC-93EE-4895-92E8-8B25C5AC6630}" type="presOf" srcId="{0086CE72-8B4A-4235-B261-6D1EC36DAE94}" destId="{9A88BF6A-4E5D-480F-9B0C-85FEC3CC30A2}" srcOrd="0" destOrd="0" presId="urn:microsoft.com/office/officeart/2005/8/layout/venn3"/>
    <dgm:cxn modelId="{1F32200C-ED90-4369-88E6-B9F472D3C2E9}" type="presParOf" srcId="{CF93D0CD-882E-4536-BC99-FA61BA4EF861}" destId="{F893376F-F574-473A-8FF2-8D492EE74093}" srcOrd="0" destOrd="0" presId="urn:microsoft.com/office/officeart/2005/8/layout/venn3"/>
    <dgm:cxn modelId="{8F489492-3677-4C49-BD5F-F1C4F84684CC}" type="presParOf" srcId="{CF93D0CD-882E-4536-BC99-FA61BA4EF861}" destId="{F454B752-2AC1-4C5B-87DC-0B4150BEE7A1}" srcOrd="1" destOrd="0" presId="urn:microsoft.com/office/officeart/2005/8/layout/venn3"/>
    <dgm:cxn modelId="{BE5AA70B-10C2-4DA7-8884-2CBCF9270F39}" type="presParOf" srcId="{CF93D0CD-882E-4536-BC99-FA61BA4EF861}" destId="{9A88BF6A-4E5D-480F-9B0C-85FEC3CC30A2}" srcOrd="2" destOrd="0" presId="urn:microsoft.com/office/officeart/2005/8/layout/venn3"/>
    <dgm:cxn modelId="{3B264F28-E6AA-4830-9610-1F96BE543DAB}" type="presParOf" srcId="{CF93D0CD-882E-4536-BC99-FA61BA4EF861}" destId="{78A0D685-C5F0-415A-9C6D-3C3360B39B28}" srcOrd="3" destOrd="0" presId="urn:microsoft.com/office/officeart/2005/8/layout/venn3"/>
    <dgm:cxn modelId="{70445EE0-75B1-49D2-9BAD-F28305D041E2}" type="presParOf" srcId="{CF93D0CD-882E-4536-BC99-FA61BA4EF861}" destId="{202ADFB4-B8D8-410A-92BD-09459A2FCDBA}" srcOrd="4" destOrd="0" presId="urn:microsoft.com/office/officeart/2005/8/layout/venn3"/>
    <dgm:cxn modelId="{F9AA37D3-35C6-4629-AF04-84D5AC6B62A1}" type="presParOf" srcId="{CF93D0CD-882E-4536-BC99-FA61BA4EF861}" destId="{79A7920B-7E6F-4644-890E-7C35952B14A9}" srcOrd="5" destOrd="0" presId="urn:microsoft.com/office/officeart/2005/8/layout/venn3"/>
    <dgm:cxn modelId="{8E3DEDA1-AF5B-4DC6-A158-B75E775D9B30}" type="presParOf" srcId="{CF93D0CD-882E-4536-BC99-FA61BA4EF861}" destId="{E302203D-3FB6-41B4-916F-62B48717EF1C}" srcOrd="6" destOrd="0" presId="urn:microsoft.com/office/officeart/2005/8/layout/venn3"/>
    <dgm:cxn modelId="{84AFB66B-64C0-4F5A-908B-585FA1B60235}" type="presParOf" srcId="{CF93D0CD-882E-4536-BC99-FA61BA4EF861}" destId="{A38DDDE1-92D2-47DC-AD25-ECAE6C45C613}" srcOrd="7" destOrd="0" presId="urn:microsoft.com/office/officeart/2005/8/layout/venn3"/>
    <dgm:cxn modelId="{67FD40F9-EBD2-4A33-9F36-A3B8734AEA3F}" type="presParOf" srcId="{CF93D0CD-882E-4536-BC99-FA61BA4EF861}" destId="{7FA74EA6-42F6-4123-B149-A1633CF2F615}" srcOrd="8" destOrd="0" presId="urn:microsoft.com/office/officeart/2005/8/layout/venn3"/>
    <dgm:cxn modelId="{031D11A1-E6F9-4817-93CD-F17E6C605376}" type="presParOf" srcId="{CF93D0CD-882E-4536-BC99-FA61BA4EF861}" destId="{E68EBF6B-0D5C-47AB-B7A9-09A27598C125}" srcOrd="9" destOrd="0" presId="urn:microsoft.com/office/officeart/2005/8/layout/venn3"/>
    <dgm:cxn modelId="{41716F18-DDBB-4EA6-89FA-627A1DFB9387}" type="presParOf" srcId="{CF93D0CD-882E-4536-BC99-FA61BA4EF861}" destId="{9BC5D220-310D-4F08-B3F5-21FAC4EE45BA}" srcOrd="10" destOrd="0" presId="urn:microsoft.com/office/officeart/2005/8/layout/venn3"/>
    <dgm:cxn modelId="{6E3D1EE0-E750-4237-9BFA-CA67E22471F9}" type="presParOf" srcId="{CF93D0CD-882E-4536-BC99-FA61BA4EF861}" destId="{17C47E98-B517-43CE-BA7D-6AAA6633605C}" srcOrd="11" destOrd="0" presId="urn:microsoft.com/office/officeart/2005/8/layout/venn3"/>
    <dgm:cxn modelId="{6438EEA3-A2BB-441F-A529-7F94D0EFA061}" type="presParOf" srcId="{CF93D0CD-882E-4536-BC99-FA61BA4EF861}" destId="{C1D29CC5-2452-4B6F-A0CB-08CE51491D59}" srcOrd="12" destOrd="0" presId="urn:microsoft.com/office/officeart/2005/8/layout/venn3"/>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6071F828-A230-4A8D-8296-7D9517D151BC}"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pl-PL"/>
        </a:p>
      </dgm:t>
    </dgm:pt>
    <dgm:pt modelId="{0FBE006D-C90E-44D7-879C-537513618A46}">
      <dgm:prSet phldrT="[Tekst]"/>
      <dgm:spPr>
        <a:xfrm rot="16200000">
          <a:off x="727607" y="1478136"/>
          <a:ext cx="2488034" cy="472726"/>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Mechanizmy  i instrumenty wewnętrzne wdrażania Strategii</a:t>
          </a:r>
        </a:p>
      </dgm:t>
    </dgm:pt>
    <dgm:pt modelId="{7814E7DB-B1B0-43FA-96BA-DEEB848C621B}" type="parTrans" cxnId="{C1998CC4-9817-4FF2-9188-56FC58F181B6}">
      <dgm:prSet/>
      <dgm:spPr/>
      <dgm:t>
        <a:bodyPr/>
        <a:lstStyle/>
        <a:p>
          <a:endParaRPr lang="pl-PL"/>
        </a:p>
      </dgm:t>
    </dgm:pt>
    <dgm:pt modelId="{82E2AC25-7CFE-4159-88F0-3D150A59E905}" type="sibTrans" cxnId="{C1998CC4-9817-4FF2-9188-56FC58F181B6}">
      <dgm:prSet/>
      <dgm:spPr/>
      <dgm:t>
        <a:bodyPr/>
        <a:lstStyle/>
        <a:p>
          <a:endParaRPr lang="pl-PL"/>
        </a:p>
      </dgm:t>
    </dgm:pt>
    <dgm:pt modelId="{1A729FC0-9DC6-47E7-B52B-3FD4E221C093}">
      <dgm:prSet phldrT="[Tekst]"/>
      <dgm:spPr>
        <a:xfrm>
          <a:off x="2518096" y="866"/>
          <a:ext cx="1550542" cy="472726"/>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prawny</a:t>
          </a:r>
        </a:p>
      </dgm:t>
    </dgm:pt>
    <dgm:pt modelId="{74A3E92A-688D-4FEB-B466-CD51FB0B4C02}" type="parTrans" cxnId="{7B3E6B42-E787-4180-BFB3-A91A0D57CB37}">
      <dgm:prSet/>
      <dgm:spPr>
        <a:xfrm>
          <a:off x="2207987" y="237229"/>
          <a:ext cx="310108" cy="1477270"/>
        </a:xfrm>
        <a:noFill/>
        <a:ln w="25400" cap="flat" cmpd="sng" algn="ctr">
          <a:solidFill>
            <a:srgbClr val="31B6FD">
              <a:shade val="60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08AFCA32-BCC7-4203-B1D9-D20D827CAC83}" type="sibTrans" cxnId="{7B3E6B42-E787-4180-BFB3-A91A0D57CB37}">
      <dgm:prSet/>
      <dgm:spPr/>
      <dgm:t>
        <a:bodyPr/>
        <a:lstStyle/>
        <a:p>
          <a:endParaRPr lang="pl-PL"/>
        </a:p>
      </dgm:t>
    </dgm:pt>
    <dgm:pt modelId="{615A27C0-ED95-4E1F-B7B6-6C3EE8F32E12}">
      <dgm:prSet phldrT="[Tekst]"/>
      <dgm:spPr>
        <a:xfrm>
          <a:off x="2518096" y="591774"/>
          <a:ext cx="1550542" cy="472726"/>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finansowy</a:t>
          </a:r>
        </a:p>
      </dgm:t>
    </dgm:pt>
    <dgm:pt modelId="{C073FBD6-D219-4996-9669-F2A1988E1C20}" type="parTrans" cxnId="{77738A30-B698-4B4E-A520-61DEBF206E98}">
      <dgm:prSet/>
      <dgm:spPr>
        <a:xfrm>
          <a:off x="2207987" y="828137"/>
          <a:ext cx="310108" cy="886362"/>
        </a:xfrm>
        <a:noFill/>
        <a:ln w="25400" cap="flat" cmpd="sng" algn="ctr">
          <a:solidFill>
            <a:srgbClr val="31B6FD">
              <a:shade val="60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94279FB3-1E77-4904-9850-2290E5244579}" type="sibTrans" cxnId="{77738A30-B698-4B4E-A520-61DEBF206E98}">
      <dgm:prSet/>
      <dgm:spPr/>
      <dgm:t>
        <a:bodyPr/>
        <a:lstStyle/>
        <a:p>
          <a:endParaRPr lang="pl-PL"/>
        </a:p>
      </dgm:t>
    </dgm:pt>
    <dgm:pt modelId="{FB12D14D-1D9A-4E6F-AD50-C462BA1E7433}">
      <dgm:prSet phldrT="[Tekst]"/>
      <dgm:spPr>
        <a:xfrm>
          <a:off x="2518096" y="1182682"/>
          <a:ext cx="1550542" cy="472726"/>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planowania przestrzennego i planów/ programów wdrożeniowych</a:t>
          </a:r>
        </a:p>
      </dgm:t>
    </dgm:pt>
    <dgm:pt modelId="{66A988A7-DD6E-4D95-A2C3-DB52EC1F3C24}" type="parTrans" cxnId="{5594587F-2CE8-48C4-B5A0-F7865E41FF23}">
      <dgm:prSet/>
      <dgm:spPr>
        <a:xfrm>
          <a:off x="2207987" y="1419045"/>
          <a:ext cx="310108" cy="295454"/>
        </a:xfrm>
        <a:noFill/>
        <a:ln w="25400" cap="flat" cmpd="sng" algn="ctr">
          <a:solidFill>
            <a:srgbClr val="31B6FD">
              <a:shade val="60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1127F668-1C77-4D2A-BEC8-93FBFF9F1C59}" type="sibTrans" cxnId="{5594587F-2CE8-48C4-B5A0-F7865E41FF23}">
      <dgm:prSet/>
      <dgm:spPr/>
      <dgm:t>
        <a:bodyPr/>
        <a:lstStyle/>
        <a:p>
          <a:endParaRPr lang="pl-PL"/>
        </a:p>
      </dgm:t>
    </dgm:pt>
    <dgm:pt modelId="{289CFC1F-B42C-4A02-823F-6DB044A59A6E}">
      <dgm:prSet/>
      <dgm:spPr>
        <a:xfrm>
          <a:off x="2518096" y="2364498"/>
          <a:ext cx="1550542" cy="472726"/>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kontrolny</a:t>
          </a:r>
        </a:p>
      </dgm:t>
    </dgm:pt>
    <dgm:pt modelId="{0E3FD988-907C-46F7-BA2F-FC0662C596C5}" type="parTrans" cxnId="{16CF5E9D-5747-4FAF-991C-43E7E0AA5FFC}">
      <dgm:prSet/>
      <dgm:spPr>
        <a:xfrm>
          <a:off x="2207987" y="1714500"/>
          <a:ext cx="310108" cy="886362"/>
        </a:xfrm>
        <a:noFill/>
        <a:ln w="25400" cap="flat" cmpd="sng" algn="ctr">
          <a:solidFill>
            <a:srgbClr val="31B6FD">
              <a:shade val="60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0552FFCB-0347-4F09-A120-2D3EAF790DB7}" type="sibTrans" cxnId="{16CF5E9D-5747-4FAF-991C-43E7E0AA5FFC}">
      <dgm:prSet/>
      <dgm:spPr/>
      <dgm:t>
        <a:bodyPr/>
        <a:lstStyle/>
        <a:p>
          <a:endParaRPr lang="pl-PL"/>
        </a:p>
      </dgm:t>
    </dgm:pt>
    <dgm:pt modelId="{9DE0224E-3668-43B9-8CA2-E28101659BB5}">
      <dgm:prSet/>
      <dgm:spPr>
        <a:xfrm>
          <a:off x="2518096" y="2955407"/>
          <a:ext cx="1550542" cy="472726"/>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partycypacyjny</a:t>
          </a:r>
        </a:p>
      </dgm:t>
    </dgm:pt>
    <dgm:pt modelId="{CF0D9B79-36E7-442C-9156-D3525CF5C7D4}" type="parTrans" cxnId="{60238C80-C96B-454E-B720-0773691037EA}">
      <dgm:prSet/>
      <dgm:spPr>
        <a:xfrm>
          <a:off x="2207987" y="1714500"/>
          <a:ext cx="310108" cy="1477270"/>
        </a:xfrm>
        <a:noFill/>
        <a:ln w="25400" cap="flat" cmpd="sng" algn="ctr">
          <a:solidFill>
            <a:srgbClr val="31B6FD">
              <a:shade val="60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70CD4A5C-A4D5-4CA3-95EE-D1162738AE3C}" type="sibTrans" cxnId="{60238C80-C96B-454E-B720-0773691037EA}">
      <dgm:prSet/>
      <dgm:spPr/>
      <dgm:t>
        <a:bodyPr/>
        <a:lstStyle/>
        <a:p>
          <a:endParaRPr lang="pl-PL"/>
        </a:p>
      </dgm:t>
    </dgm:pt>
    <dgm:pt modelId="{751BC18E-877B-4165-9C9D-206BD30E52A0}">
      <dgm:prSet/>
      <dgm:spPr>
        <a:xfrm>
          <a:off x="2518096" y="1773590"/>
          <a:ext cx="1550542" cy="472726"/>
        </a:xfr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organizacyjny</a:t>
          </a:r>
        </a:p>
      </dgm:t>
    </dgm:pt>
    <dgm:pt modelId="{80D1A9A2-5079-4415-BA29-1703B11CA4D6}" type="parTrans" cxnId="{66D57E06-D84C-4611-959F-72845AC6C18F}">
      <dgm:prSet/>
      <dgm:spPr>
        <a:xfrm>
          <a:off x="2207987" y="1714500"/>
          <a:ext cx="310108" cy="295454"/>
        </a:xfrm>
        <a:noFill/>
        <a:ln w="25400" cap="flat" cmpd="sng" algn="ctr">
          <a:solidFill>
            <a:srgbClr val="31B6FD">
              <a:shade val="60000"/>
              <a:hueOff val="0"/>
              <a:satOff val="0"/>
              <a:lumOff val="0"/>
              <a:alphaOff val="0"/>
            </a:srgbClr>
          </a:solidFill>
          <a:prstDash val="solid"/>
        </a:ln>
        <a:effectLst/>
      </dgm:spPr>
      <dgm:t>
        <a:bodyPr/>
        <a:lstStyle/>
        <a:p>
          <a:endParaRPr lang="pl-PL">
            <a:solidFill>
              <a:sysClr val="windowText" lastClr="000000">
                <a:hueOff val="0"/>
                <a:satOff val="0"/>
                <a:lumOff val="0"/>
                <a:alphaOff val="0"/>
              </a:sysClr>
            </a:solidFill>
            <a:latin typeface="Calibri"/>
            <a:ea typeface="+mn-ea"/>
            <a:cs typeface="+mn-cs"/>
          </a:endParaRPr>
        </a:p>
      </dgm:t>
    </dgm:pt>
    <dgm:pt modelId="{68088883-DCC9-4738-BFB5-BEEB5B99BBE9}" type="sibTrans" cxnId="{66D57E06-D84C-4611-959F-72845AC6C18F}">
      <dgm:prSet/>
      <dgm:spPr/>
      <dgm:t>
        <a:bodyPr/>
        <a:lstStyle/>
        <a:p>
          <a:endParaRPr lang="pl-PL"/>
        </a:p>
      </dgm:t>
    </dgm:pt>
    <dgm:pt modelId="{DF384CE2-C57D-426B-98FA-B6DEEE7D9E6A}" type="pres">
      <dgm:prSet presAssocID="{6071F828-A230-4A8D-8296-7D9517D151BC}" presName="Name0" presStyleCnt="0">
        <dgm:presLayoutVars>
          <dgm:chPref val="1"/>
          <dgm:dir/>
          <dgm:animOne val="branch"/>
          <dgm:animLvl val="lvl"/>
          <dgm:resizeHandles val="exact"/>
        </dgm:presLayoutVars>
      </dgm:prSet>
      <dgm:spPr/>
      <dgm:t>
        <a:bodyPr/>
        <a:lstStyle/>
        <a:p>
          <a:endParaRPr lang="pl-PL"/>
        </a:p>
      </dgm:t>
    </dgm:pt>
    <dgm:pt modelId="{23FDF77E-C5C5-4F57-AB94-AB9741D2720E}" type="pres">
      <dgm:prSet presAssocID="{0FBE006D-C90E-44D7-879C-537513618A46}" presName="root1" presStyleCnt="0"/>
      <dgm:spPr/>
    </dgm:pt>
    <dgm:pt modelId="{14076DC2-62B6-4464-B5FB-DC87DD07CA0D}" type="pres">
      <dgm:prSet presAssocID="{0FBE006D-C90E-44D7-879C-537513618A46}" presName="LevelOneTextNode" presStyleLbl="node0" presStyleIdx="0" presStyleCnt="1">
        <dgm:presLayoutVars>
          <dgm:chPref val="3"/>
        </dgm:presLayoutVars>
      </dgm:prSet>
      <dgm:spPr>
        <a:prstGeom prst="rect">
          <a:avLst/>
        </a:prstGeom>
      </dgm:spPr>
      <dgm:t>
        <a:bodyPr/>
        <a:lstStyle/>
        <a:p>
          <a:endParaRPr lang="pl-PL"/>
        </a:p>
      </dgm:t>
    </dgm:pt>
    <dgm:pt modelId="{0F27C90E-241C-4779-8C22-B89137ECA7A3}" type="pres">
      <dgm:prSet presAssocID="{0FBE006D-C90E-44D7-879C-537513618A46}" presName="level2hierChild" presStyleCnt="0"/>
      <dgm:spPr/>
    </dgm:pt>
    <dgm:pt modelId="{D775965D-2448-4AAE-BA66-55ACA4F75197}" type="pres">
      <dgm:prSet presAssocID="{74A3E92A-688D-4FEB-B466-CD51FB0B4C02}" presName="conn2-1" presStyleLbl="parChTrans1D2" presStyleIdx="0" presStyleCnt="6"/>
      <dgm:spPr>
        <a:custGeom>
          <a:avLst/>
          <a:gdLst/>
          <a:ahLst/>
          <a:cxnLst/>
          <a:rect l="0" t="0" r="0" b="0"/>
          <a:pathLst>
            <a:path>
              <a:moveTo>
                <a:pt x="0" y="1477270"/>
              </a:moveTo>
              <a:lnTo>
                <a:pt x="155054" y="1477270"/>
              </a:lnTo>
              <a:lnTo>
                <a:pt x="155054" y="0"/>
              </a:lnTo>
              <a:lnTo>
                <a:pt x="310108" y="0"/>
              </a:lnTo>
            </a:path>
          </a:pathLst>
        </a:custGeom>
      </dgm:spPr>
      <dgm:t>
        <a:bodyPr/>
        <a:lstStyle/>
        <a:p>
          <a:endParaRPr lang="pl-PL"/>
        </a:p>
      </dgm:t>
    </dgm:pt>
    <dgm:pt modelId="{8BBA3C82-4A05-4078-98E8-09B59F0528B2}" type="pres">
      <dgm:prSet presAssocID="{74A3E92A-688D-4FEB-B466-CD51FB0B4C02}" presName="connTx" presStyleLbl="parChTrans1D2" presStyleIdx="0" presStyleCnt="6"/>
      <dgm:spPr/>
      <dgm:t>
        <a:bodyPr/>
        <a:lstStyle/>
        <a:p>
          <a:endParaRPr lang="pl-PL"/>
        </a:p>
      </dgm:t>
    </dgm:pt>
    <dgm:pt modelId="{73024A72-022C-486A-98CF-50C8623871FF}" type="pres">
      <dgm:prSet presAssocID="{1A729FC0-9DC6-47E7-B52B-3FD4E221C093}" presName="root2" presStyleCnt="0"/>
      <dgm:spPr/>
    </dgm:pt>
    <dgm:pt modelId="{0EB130B4-DCDF-4D9F-BAFE-C31B1E1C4A54}" type="pres">
      <dgm:prSet presAssocID="{1A729FC0-9DC6-47E7-B52B-3FD4E221C093}" presName="LevelTwoTextNode" presStyleLbl="node2" presStyleIdx="0" presStyleCnt="6">
        <dgm:presLayoutVars>
          <dgm:chPref val="3"/>
        </dgm:presLayoutVars>
      </dgm:prSet>
      <dgm:spPr>
        <a:prstGeom prst="rect">
          <a:avLst/>
        </a:prstGeom>
      </dgm:spPr>
      <dgm:t>
        <a:bodyPr/>
        <a:lstStyle/>
        <a:p>
          <a:endParaRPr lang="pl-PL"/>
        </a:p>
      </dgm:t>
    </dgm:pt>
    <dgm:pt modelId="{ED8E7D74-8E7B-471E-8A8C-BA371C42D271}" type="pres">
      <dgm:prSet presAssocID="{1A729FC0-9DC6-47E7-B52B-3FD4E221C093}" presName="level3hierChild" presStyleCnt="0"/>
      <dgm:spPr/>
    </dgm:pt>
    <dgm:pt modelId="{238F0453-1737-41CF-90A9-13062D2A4E81}" type="pres">
      <dgm:prSet presAssocID="{C073FBD6-D219-4996-9669-F2A1988E1C20}" presName="conn2-1" presStyleLbl="parChTrans1D2" presStyleIdx="1" presStyleCnt="6"/>
      <dgm:spPr>
        <a:custGeom>
          <a:avLst/>
          <a:gdLst/>
          <a:ahLst/>
          <a:cxnLst/>
          <a:rect l="0" t="0" r="0" b="0"/>
          <a:pathLst>
            <a:path>
              <a:moveTo>
                <a:pt x="0" y="886362"/>
              </a:moveTo>
              <a:lnTo>
                <a:pt x="155054" y="886362"/>
              </a:lnTo>
              <a:lnTo>
                <a:pt x="155054" y="0"/>
              </a:lnTo>
              <a:lnTo>
                <a:pt x="310108" y="0"/>
              </a:lnTo>
            </a:path>
          </a:pathLst>
        </a:custGeom>
      </dgm:spPr>
      <dgm:t>
        <a:bodyPr/>
        <a:lstStyle/>
        <a:p>
          <a:endParaRPr lang="pl-PL"/>
        </a:p>
      </dgm:t>
    </dgm:pt>
    <dgm:pt modelId="{29E34F96-431B-48A3-AE4A-14A0FD40C272}" type="pres">
      <dgm:prSet presAssocID="{C073FBD6-D219-4996-9669-F2A1988E1C20}" presName="connTx" presStyleLbl="parChTrans1D2" presStyleIdx="1" presStyleCnt="6"/>
      <dgm:spPr/>
      <dgm:t>
        <a:bodyPr/>
        <a:lstStyle/>
        <a:p>
          <a:endParaRPr lang="pl-PL"/>
        </a:p>
      </dgm:t>
    </dgm:pt>
    <dgm:pt modelId="{CF1A34D9-84C1-4949-9722-37C08774D584}" type="pres">
      <dgm:prSet presAssocID="{615A27C0-ED95-4E1F-B7B6-6C3EE8F32E12}" presName="root2" presStyleCnt="0"/>
      <dgm:spPr/>
    </dgm:pt>
    <dgm:pt modelId="{6BAD4927-0801-4FC6-862E-4172F1E9658A}" type="pres">
      <dgm:prSet presAssocID="{615A27C0-ED95-4E1F-B7B6-6C3EE8F32E12}" presName="LevelTwoTextNode" presStyleLbl="node2" presStyleIdx="1" presStyleCnt="6">
        <dgm:presLayoutVars>
          <dgm:chPref val="3"/>
        </dgm:presLayoutVars>
      </dgm:prSet>
      <dgm:spPr>
        <a:prstGeom prst="rect">
          <a:avLst/>
        </a:prstGeom>
      </dgm:spPr>
      <dgm:t>
        <a:bodyPr/>
        <a:lstStyle/>
        <a:p>
          <a:endParaRPr lang="pl-PL"/>
        </a:p>
      </dgm:t>
    </dgm:pt>
    <dgm:pt modelId="{9FAECF2A-D5E0-4B3C-95DC-F3C05AEA81A6}" type="pres">
      <dgm:prSet presAssocID="{615A27C0-ED95-4E1F-B7B6-6C3EE8F32E12}" presName="level3hierChild" presStyleCnt="0"/>
      <dgm:spPr/>
    </dgm:pt>
    <dgm:pt modelId="{760065D9-5A6D-43F0-AD30-B31EF236A035}" type="pres">
      <dgm:prSet presAssocID="{66A988A7-DD6E-4D95-A2C3-DB52EC1F3C24}" presName="conn2-1" presStyleLbl="parChTrans1D2" presStyleIdx="2" presStyleCnt="6"/>
      <dgm:spPr>
        <a:custGeom>
          <a:avLst/>
          <a:gdLst/>
          <a:ahLst/>
          <a:cxnLst/>
          <a:rect l="0" t="0" r="0" b="0"/>
          <a:pathLst>
            <a:path>
              <a:moveTo>
                <a:pt x="0" y="295454"/>
              </a:moveTo>
              <a:lnTo>
                <a:pt x="155054" y="295454"/>
              </a:lnTo>
              <a:lnTo>
                <a:pt x="155054" y="0"/>
              </a:lnTo>
              <a:lnTo>
                <a:pt x="310108" y="0"/>
              </a:lnTo>
            </a:path>
          </a:pathLst>
        </a:custGeom>
      </dgm:spPr>
      <dgm:t>
        <a:bodyPr/>
        <a:lstStyle/>
        <a:p>
          <a:endParaRPr lang="pl-PL"/>
        </a:p>
      </dgm:t>
    </dgm:pt>
    <dgm:pt modelId="{3E4B8951-C426-492B-9A7A-614D3FFDA85F}" type="pres">
      <dgm:prSet presAssocID="{66A988A7-DD6E-4D95-A2C3-DB52EC1F3C24}" presName="connTx" presStyleLbl="parChTrans1D2" presStyleIdx="2" presStyleCnt="6"/>
      <dgm:spPr/>
      <dgm:t>
        <a:bodyPr/>
        <a:lstStyle/>
        <a:p>
          <a:endParaRPr lang="pl-PL"/>
        </a:p>
      </dgm:t>
    </dgm:pt>
    <dgm:pt modelId="{2A458065-1A4C-479B-8537-0C2DE01865BF}" type="pres">
      <dgm:prSet presAssocID="{FB12D14D-1D9A-4E6F-AD50-C462BA1E7433}" presName="root2" presStyleCnt="0"/>
      <dgm:spPr/>
    </dgm:pt>
    <dgm:pt modelId="{590DCEBA-5AC2-44BF-ADC7-71CAA195A557}" type="pres">
      <dgm:prSet presAssocID="{FB12D14D-1D9A-4E6F-AD50-C462BA1E7433}" presName="LevelTwoTextNode" presStyleLbl="node2" presStyleIdx="2" presStyleCnt="6">
        <dgm:presLayoutVars>
          <dgm:chPref val="3"/>
        </dgm:presLayoutVars>
      </dgm:prSet>
      <dgm:spPr>
        <a:prstGeom prst="rect">
          <a:avLst/>
        </a:prstGeom>
      </dgm:spPr>
      <dgm:t>
        <a:bodyPr/>
        <a:lstStyle/>
        <a:p>
          <a:endParaRPr lang="pl-PL"/>
        </a:p>
      </dgm:t>
    </dgm:pt>
    <dgm:pt modelId="{FB6144B7-3300-4CA1-85D6-8D78ED645786}" type="pres">
      <dgm:prSet presAssocID="{FB12D14D-1D9A-4E6F-AD50-C462BA1E7433}" presName="level3hierChild" presStyleCnt="0"/>
      <dgm:spPr/>
    </dgm:pt>
    <dgm:pt modelId="{C59A761C-BB57-4BF3-AF47-315A1E03FC10}" type="pres">
      <dgm:prSet presAssocID="{80D1A9A2-5079-4415-BA29-1703B11CA4D6}" presName="conn2-1" presStyleLbl="parChTrans1D2" presStyleIdx="3" presStyleCnt="6"/>
      <dgm:spPr>
        <a:custGeom>
          <a:avLst/>
          <a:gdLst/>
          <a:ahLst/>
          <a:cxnLst/>
          <a:rect l="0" t="0" r="0" b="0"/>
          <a:pathLst>
            <a:path>
              <a:moveTo>
                <a:pt x="0" y="0"/>
              </a:moveTo>
              <a:lnTo>
                <a:pt x="155054" y="0"/>
              </a:lnTo>
              <a:lnTo>
                <a:pt x="155054" y="295454"/>
              </a:lnTo>
              <a:lnTo>
                <a:pt x="310108" y="295454"/>
              </a:lnTo>
            </a:path>
          </a:pathLst>
        </a:custGeom>
      </dgm:spPr>
      <dgm:t>
        <a:bodyPr/>
        <a:lstStyle/>
        <a:p>
          <a:endParaRPr lang="pl-PL"/>
        </a:p>
      </dgm:t>
    </dgm:pt>
    <dgm:pt modelId="{9CF2CAEC-BF69-475E-970A-B67998B4A6E2}" type="pres">
      <dgm:prSet presAssocID="{80D1A9A2-5079-4415-BA29-1703B11CA4D6}" presName="connTx" presStyleLbl="parChTrans1D2" presStyleIdx="3" presStyleCnt="6"/>
      <dgm:spPr/>
      <dgm:t>
        <a:bodyPr/>
        <a:lstStyle/>
        <a:p>
          <a:endParaRPr lang="pl-PL"/>
        </a:p>
      </dgm:t>
    </dgm:pt>
    <dgm:pt modelId="{4BA5940E-C8F3-4EAD-91E8-8870E9534791}" type="pres">
      <dgm:prSet presAssocID="{751BC18E-877B-4165-9C9D-206BD30E52A0}" presName="root2" presStyleCnt="0"/>
      <dgm:spPr/>
    </dgm:pt>
    <dgm:pt modelId="{3B2A9988-6652-4855-ABD1-2E5FD5F8426B}" type="pres">
      <dgm:prSet presAssocID="{751BC18E-877B-4165-9C9D-206BD30E52A0}" presName="LevelTwoTextNode" presStyleLbl="node2" presStyleIdx="3" presStyleCnt="6">
        <dgm:presLayoutVars>
          <dgm:chPref val="3"/>
        </dgm:presLayoutVars>
      </dgm:prSet>
      <dgm:spPr>
        <a:prstGeom prst="rect">
          <a:avLst/>
        </a:prstGeom>
      </dgm:spPr>
      <dgm:t>
        <a:bodyPr/>
        <a:lstStyle/>
        <a:p>
          <a:endParaRPr lang="pl-PL"/>
        </a:p>
      </dgm:t>
    </dgm:pt>
    <dgm:pt modelId="{87C8C331-3E5A-473A-A9B3-AA271AE77706}" type="pres">
      <dgm:prSet presAssocID="{751BC18E-877B-4165-9C9D-206BD30E52A0}" presName="level3hierChild" presStyleCnt="0"/>
      <dgm:spPr/>
    </dgm:pt>
    <dgm:pt modelId="{CD3FD13B-8EB8-48C5-81DA-E67B1D0B754C}" type="pres">
      <dgm:prSet presAssocID="{0E3FD988-907C-46F7-BA2F-FC0662C596C5}" presName="conn2-1" presStyleLbl="parChTrans1D2" presStyleIdx="4" presStyleCnt="6"/>
      <dgm:spPr>
        <a:custGeom>
          <a:avLst/>
          <a:gdLst/>
          <a:ahLst/>
          <a:cxnLst/>
          <a:rect l="0" t="0" r="0" b="0"/>
          <a:pathLst>
            <a:path>
              <a:moveTo>
                <a:pt x="0" y="0"/>
              </a:moveTo>
              <a:lnTo>
                <a:pt x="155054" y="0"/>
              </a:lnTo>
              <a:lnTo>
                <a:pt x="155054" y="886362"/>
              </a:lnTo>
              <a:lnTo>
                <a:pt x="310108" y="886362"/>
              </a:lnTo>
            </a:path>
          </a:pathLst>
        </a:custGeom>
      </dgm:spPr>
      <dgm:t>
        <a:bodyPr/>
        <a:lstStyle/>
        <a:p>
          <a:endParaRPr lang="pl-PL"/>
        </a:p>
      </dgm:t>
    </dgm:pt>
    <dgm:pt modelId="{6EDD5E0C-5DA7-4B12-9ADB-C741DEA2C6A9}" type="pres">
      <dgm:prSet presAssocID="{0E3FD988-907C-46F7-BA2F-FC0662C596C5}" presName="connTx" presStyleLbl="parChTrans1D2" presStyleIdx="4" presStyleCnt="6"/>
      <dgm:spPr/>
      <dgm:t>
        <a:bodyPr/>
        <a:lstStyle/>
        <a:p>
          <a:endParaRPr lang="pl-PL"/>
        </a:p>
      </dgm:t>
    </dgm:pt>
    <dgm:pt modelId="{BDC8B328-63E3-4BB5-A0D0-5F5CCA7053D1}" type="pres">
      <dgm:prSet presAssocID="{289CFC1F-B42C-4A02-823F-6DB044A59A6E}" presName="root2" presStyleCnt="0"/>
      <dgm:spPr/>
    </dgm:pt>
    <dgm:pt modelId="{12017EE4-7C03-4142-87AA-C35E6FFA1080}" type="pres">
      <dgm:prSet presAssocID="{289CFC1F-B42C-4A02-823F-6DB044A59A6E}" presName="LevelTwoTextNode" presStyleLbl="node2" presStyleIdx="4" presStyleCnt="6">
        <dgm:presLayoutVars>
          <dgm:chPref val="3"/>
        </dgm:presLayoutVars>
      </dgm:prSet>
      <dgm:spPr>
        <a:prstGeom prst="rect">
          <a:avLst/>
        </a:prstGeom>
      </dgm:spPr>
      <dgm:t>
        <a:bodyPr/>
        <a:lstStyle/>
        <a:p>
          <a:endParaRPr lang="pl-PL"/>
        </a:p>
      </dgm:t>
    </dgm:pt>
    <dgm:pt modelId="{95CE7C0F-A7C1-40DA-A4A8-CDD43B15D2E3}" type="pres">
      <dgm:prSet presAssocID="{289CFC1F-B42C-4A02-823F-6DB044A59A6E}" presName="level3hierChild" presStyleCnt="0"/>
      <dgm:spPr/>
    </dgm:pt>
    <dgm:pt modelId="{03A69B0D-F5E2-48BF-BA02-AD49317AB361}" type="pres">
      <dgm:prSet presAssocID="{CF0D9B79-36E7-442C-9156-D3525CF5C7D4}" presName="conn2-1" presStyleLbl="parChTrans1D2" presStyleIdx="5" presStyleCnt="6"/>
      <dgm:spPr>
        <a:custGeom>
          <a:avLst/>
          <a:gdLst/>
          <a:ahLst/>
          <a:cxnLst/>
          <a:rect l="0" t="0" r="0" b="0"/>
          <a:pathLst>
            <a:path>
              <a:moveTo>
                <a:pt x="0" y="0"/>
              </a:moveTo>
              <a:lnTo>
                <a:pt x="155054" y="0"/>
              </a:lnTo>
              <a:lnTo>
                <a:pt x="155054" y="1477270"/>
              </a:lnTo>
              <a:lnTo>
                <a:pt x="310108" y="1477270"/>
              </a:lnTo>
            </a:path>
          </a:pathLst>
        </a:custGeom>
      </dgm:spPr>
      <dgm:t>
        <a:bodyPr/>
        <a:lstStyle/>
        <a:p>
          <a:endParaRPr lang="pl-PL"/>
        </a:p>
      </dgm:t>
    </dgm:pt>
    <dgm:pt modelId="{862BE4DD-26F1-4158-B090-434FF5C270FA}" type="pres">
      <dgm:prSet presAssocID="{CF0D9B79-36E7-442C-9156-D3525CF5C7D4}" presName="connTx" presStyleLbl="parChTrans1D2" presStyleIdx="5" presStyleCnt="6"/>
      <dgm:spPr/>
      <dgm:t>
        <a:bodyPr/>
        <a:lstStyle/>
        <a:p>
          <a:endParaRPr lang="pl-PL"/>
        </a:p>
      </dgm:t>
    </dgm:pt>
    <dgm:pt modelId="{06048497-9690-4600-9CCC-EAB773312B4F}" type="pres">
      <dgm:prSet presAssocID="{9DE0224E-3668-43B9-8CA2-E28101659BB5}" presName="root2" presStyleCnt="0"/>
      <dgm:spPr/>
    </dgm:pt>
    <dgm:pt modelId="{8638A732-DAF9-40D8-8164-6E8DA306A23D}" type="pres">
      <dgm:prSet presAssocID="{9DE0224E-3668-43B9-8CA2-E28101659BB5}" presName="LevelTwoTextNode" presStyleLbl="node2" presStyleIdx="5" presStyleCnt="6">
        <dgm:presLayoutVars>
          <dgm:chPref val="3"/>
        </dgm:presLayoutVars>
      </dgm:prSet>
      <dgm:spPr>
        <a:prstGeom prst="rect">
          <a:avLst/>
        </a:prstGeom>
      </dgm:spPr>
      <dgm:t>
        <a:bodyPr/>
        <a:lstStyle/>
        <a:p>
          <a:endParaRPr lang="pl-PL"/>
        </a:p>
      </dgm:t>
    </dgm:pt>
    <dgm:pt modelId="{9FB2A50A-2DD3-4738-9E44-D925A20C127C}" type="pres">
      <dgm:prSet presAssocID="{9DE0224E-3668-43B9-8CA2-E28101659BB5}" presName="level3hierChild" presStyleCnt="0"/>
      <dgm:spPr/>
    </dgm:pt>
  </dgm:ptLst>
  <dgm:cxnLst>
    <dgm:cxn modelId="{6D07EAD4-72A4-4360-8B9C-FC21E9383F86}" type="presOf" srcId="{CF0D9B79-36E7-442C-9156-D3525CF5C7D4}" destId="{862BE4DD-26F1-4158-B090-434FF5C270FA}" srcOrd="1" destOrd="0" presId="urn:microsoft.com/office/officeart/2008/layout/HorizontalMultiLevelHierarchy"/>
    <dgm:cxn modelId="{E7116D30-24EB-4B8F-98D5-F0F73BDDE81C}" type="presOf" srcId="{0E3FD988-907C-46F7-BA2F-FC0662C596C5}" destId="{CD3FD13B-8EB8-48C5-81DA-E67B1D0B754C}" srcOrd="0" destOrd="0" presId="urn:microsoft.com/office/officeart/2008/layout/HorizontalMultiLevelHierarchy"/>
    <dgm:cxn modelId="{90060A10-151C-487C-AF9D-E9DC0E336957}" type="presOf" srcId="{80D1A9A2-5079-4415-BA29-1703B11CA4D6}" destId="{C59A761C-BB57-4BF3-AF47-315A1E03FC10}" srcOrd="0" destOrd="0" presId="urn:microsoft.com/office/officeart/2008/layout/HorizontalMultiLevelHierarchy"/>
    <dgm:cxn modelId="{721CE8A9-129D-4817-B26E-33AB9A49DE3E}" type="presOf" srcId="{C073FBD6-D219-4996-9669-F2A1988E1C20}" destId="{238F0453-1737-41CF-90A9-13062D2A4E81}" srcOrd="0" destOrd="0" presId="urn:microsoft.com/office/officeart/2008/layout/HorizontalMultiLevelHierarchy"/>
    <dgm:cxn modelId="{5B936525-5875-4878-819C-D41B1A08F7B2}" type="presOf" srcId="{9DE0224E-3668-43B9-8CA2-E28101659BB5}" destId="{8638A732-DAF9-40D8-8164-6E8DA306A23D}" srcOrd="0" destOrd="0" presId="urn:microsoft.com/office/officeart/2008/layout/HorizontalMultiLevelHierarchy"/>
    <dgm:cxn modelId="{A4504F4C-63DE-4F62-B018-6922B3747AD1}" type="presOf" srcId="{66A988A7-DD6E-4D95-A2C3-DB52EC1F3C24}" destId="{760065D9-5A6D-43F0-AD30-B31EF236A035}" srcOrd="0" destOrd="0" presId="urn:microsoft.com/office/officeart/2008/layout/HorizontalMultiLevelHierarchy"/>
    <dgm:cxn modelId="{F975237B-9C89-45EB-81C2-0CC72F196355}" type="presOf" srcId="{751BC18E-877B-4165-9C9D-206BD30E52A0}" destId="{3B2A9988-6652-4855-ABD1-2E5FD5F8426B}" srcOrd="0" destOrd="0" presId="urn:microsoft.com/office/officeart/2008/layout/HorizontalMultiLevelHierarchy"/>
    <dgm:cxn modelId="{77738A30-B698-4B4E-A520-61DEBF206E98}" srcId="{0FBE006D-C90E-44D7-879C-537513618A46}" destId="{615A27C0-ED95-4E1F-B7B6-6C3EE8F32E12}" srcOrd="1" destOrd="0" parTransId="{C073FBD6-D219-4996-9669-F2A1988E1C20}" sibTransId="{94279FB3-1E77-4904-9850-2290E5244579}"/>
    <dgm:cxn modelId="{E7782E32-DC48-4534-AB0E-A05416931AFD}" type="presOf" srcId="{289CFC1F-B42C-4A02-823F-6DB044A59A6E}" destId="{12017EE4-7C03-4142-87AA-C35E6FFA1080}" srcOrd="0" destOrd="0" presId="urn:microsoft.com/office/officeart/2008/layout/HorizontalMultiLevelHierarchy"/>
    <dgm:cxn modelId="{58FF2138-DC59-4FCC-9D59-879B73048BB4}" type="presOf" srcId="{0FBE006D-C90E-44D7-879C-537513618A46}" destId="{14076DC2-62B6-4464-B5FB-DC87DD07CA0D}" srcOrd="0" destOrd="0" presId="urn:microsoft.com/office/officeart/2008/layout/HorizontalMultiLevelHierarchy"/>
    <dgm:cxn modelId="{04499849-2A72-4B02-9CC8-A6884CBBEBF4}" type="presOf" srcId="{74A3E92A-688D-4FEB-B466-CD51FB0B4C02}" destId="{8BBA3C82-4A05-4078-98E8-09B59F0528B2}" srcOrd="1" destOrd="0" presId="urn:microsoft.com/office/officeart/2008/layout/HorizontalMultiLevelHierarchy"/>
    <dgm:cxn modelId="{3AE87212-D46E-450E-9029-E345018FFE75}" type="presOf" srcId="{FB12D14D-1D9A-4E6F-AD50-C462BA1E7433}" destId="{590DCEBA-5AC2-44BF-ADC7-71CAA195A557}" srcOrd="0" destOrd="0" presId="urn:microsoft.com/office/officeart/2008/layout/HorizontalMultiLevelHierarchy"/>
    <dgm:cxn modelId="{FF04B8FD-6684-437A-BF71-667781A0F16B}" type="presOf" srcId="{80D1A9A2-5079-4415-BA29-1703B11CA4D6}" destId="{9CF2CAEC-BF69-475E-970A-B67998B4A6E2}" srcOrd="1" destOrd="0" presId="urn:microsoft.com/office/officeart/2008/layout/HorizontalMultiLevelHierarchy"/>
    <dgm:cxn modelId="{60238C80-C96B-454E-B720-0773691037EA}" srcId="{0FBE006D-C90E-44D7-879C-537513618A46}" destId="{9DE0224E-3668-43B9-8CA2-E28101659BB5}" srcOrd="5" destOrd="0" parTransId="{CF0D9B79-36E7-442C-9156-D3525CF5C7D4}" sibTransId="{70CD4A5C-A4D5-4CA3-95EE-D1162738AE3C}"/>
    <dgm:cxn modelId="{51BA6A5E-FB7C-4E0F-91D7-4AC48E72F8D3}" type="presOf" srcId="{74A3E92A-688D-4FEB-B466-CD51FB0B4C02}" destId="{D775965D-2448-4AAE-BA66-55ACA4F75197}" srcOrd="0" destOrd="0" presId="urn:microsoft.com/office/officeart/2008/layout/HorizontalMultiLevelHierarchy"/>
    <dgm:cxn modelId="{81EB1452-0087-4EB3-A041-2C8D0CFC78B1}" type="presOf" srcId="{1A729FC0-9DC6-47E7-B52B-3FD4E221C093}" destId="{0EB130B4-DCDF-4D9F-BAFE-C31B1E1C4A54}" srcOrd="0" destOrd="0" presId="urn:microsoft.com/office/officeart/2008/layout/HorizontalMultiLevelHierarchy"/>
    <dgm:cxn modelId="{ED412159-8167-4328-8596-409A70DCA02A}" type="presOf" srcId="{0E3FD988-907C-46F7-BA2F-FC0662C596C5}" destId="{6EDD5E0C-5DA7-4B12-9ADB-C741DEA2C6A9}" srcOrd="1" destOrd="0" presId="urn:microsoft.com/office/officeart/2008/layout/HorizontalMultiLevelHierarchy"/>
    <dgm:cxn modelId="{C1998CC4-9817-4FF2-9188-56FC58F181B6}" srcId="{6071F828-A230-4A8D-8296-7D9517D151BC}" destId="{0FBE006D-C90E-44D7-879C-537513618A46}" srcOrd="0" destOrd="0" parTransId="{7814E7DB-B1B0-43FA-96BA-DEEB848C621B}" sibTransId="{82E2AC25-7CFE-4159-88F0-3D150A59E905}"/>
    <dgm:cxn modelId="{66D57E06-D84C-4611-959F-72845AC6C18F}" srcId="{0FBE006D-C90E-44D7-879C-537513618A46}" destId="{751BC18E-877B-4165-9C9D-206BD30E52A0}" srcOrd="3" destOrd="0" parTransId="{80D1A9A2-5079-4415-BA29-1703B11CA4D6}" sibTransId="{68088883-DCC9-4738-BFB5-BEEB5B99BBE9}"/>
    <dgm:cxn modelId="{5594587F-2CE8-48C4-B5A0-F7865E41FF23}" srcId="{0FBE006D-C90E-44D7-879C-537513618A46}" destId="{FB12D14D-1D9A-4E6F-AD50-C462BA1E7433}" srcOrd="2" destOrd="0" parTransId="{66A988A7-DD6E-4D95-A2C3-DB52EC1F3C24}" sibTransId="{1127F668-1C77-4D2A-BEC8-93FBFF9F1C59}"/>
    <dgm:cxn modelId="{28584B8D-2D36-4F86-8B2C-80AA429C8696}" type="presOf" srcId="{66A988A7-DD6E-4D95-A2C3-DB52EC1F3C24}" destId="{3E4B8951-C426-492B-9A7A-614D3FFDA85F}" srcOrd="1" destOrd="0" presId="urn:microsoft.com/office/officeart/2008/layout/HorizontalMultiLevelHierarchy"/>
    <dgm:cxn modelId="{45A1A4A5-8BAD-46A1-A883-34DD709E72A4}" type="presOf" srcId="{CF0D9B79-36E7-442C-9156-D3525CF5C7D4}" destId="{03A69B0D-F5E2-48BF-BA02-AD49317AB361}" srcOrd="0" destOrd="0" presId="urn:microsoft.com/office/officeart/2008/layout/HorizontalMultiLevelHierarchy"/>
    <dgm:cxn modelId="{7B3E6B42-E787-4180-BFB3-A91A0D57CB37}" srcId="{0FBE006D-C90E-44D7-879C-537513618A46}" destId="{1A729FC0-9DC6-47E7-B52B-3FD4E221C093}" srcOrd="0" destOrd="0" parTransId="{74A3E92A-688D-4FEB-B466-CD51FB0B4C02}" sibTransId="{08AFCA32-BCC7-4203-B1D9-D20D827CAC83}"/>
    <dgm:cxn modelId="{BAA820F3-4104-499C-92AD-2D9A864E3A82}" type="presOf" srcId="{6071F828-A230-4A8D-8296-7D9517D151BC}" destId="{DF384CE2-C57D-426B-98FA-B6DEEE7D9E6A}" srcOrd="0" destOrd="0" presId="urn:microsoft.com/office/officeart/2008/layout/HorizontalMultiLevelHierarchy"/>
    <dgm:cxn modelId="{16CF5E9D-5747-4FAF-991C-43E7E0AA5FFC}" srcId="{0FBE006D-C90E-44D7-879C-537513618A46}" destId="{289CFC1F-B42C-4A02-823F-6DB044A59A6E}" srcOrd="4" destOrd="0" parTransId="{0E3FD988-907C-46F7-BA2F-FC0662C596C5}" sibTransId="{0552FFCB-0347-4F09-A120-2D3EAF790DB7}"/>
    <dgm:cxn modelId="{C5A35C17-9AC3-47FF-904D-D619072F6973}" type="presOf" srcId="{C073FBD6-D219-4996-9669-F2A1988E1C20}" destId="{29E34F96-431B-48A3-AE4A-14A0FD40C272}" srcOrd="1" destOrd="0" presId="urn:microsoft.com/office/officeart/2008/layout/HorizontalMultiLevelHierarchy"/>
    <dgm:cxn modelId="{67227BCE-1864-4165-AB01-5BD8CC72C653}" type="presOf" srcId="{615A27C0-ED95-4E1F-B7B6-6C3EE8F32E12}" destId="{6BAD4927-0801-4FC6-862E-4172F1E9658A}" srcOrd="0" destOrd="0" presId="urn:microsoft.com/office/officeart/2008/layout/HorizontalMultiLevelHierarchy"/>
    <dgm:cxn modelId="{32F146A9-DD6D-4EEF-BCC1-56D0443F5C27}" type="presParOf" srcId="{DF384CE2-C57D-426B-98FA-B6DEEE7D9E6A}" destId="{23FDF77E-C5C5-4F57-AB94-AB9741D2720E}" srcOrd="0" destOrd="0" presId="urn:microsoft.com/office/officeart/2008/layout/HorizontalMultiLevelHierarchy"/>
    <dgm:cxn modelId="{38E10B21-E8EC-4E40-85DC-6B8017D34656}" type="presParOf" srcId="{23FDF77E-C5C5-4F57-AB94-AB9741D2720E}" destId="{14076DC2-62B6-4464-B5FB-DC87DD07CA0D}" srcOrd="0" destOrd="0" presId="urn:microsoft.com/office/officeart/2008/layout/HorizontalMultiLevelHierarchy"/>
    <dgm:cxn modelId="{DC7AAC65-4936-4FDC-84AB-9AA4635FDD2C}" type="presParOf" srcId="{23FDF77E-C5C5-4F57-AB94-AB9741D2720E}" destId="{0F27C90E-241C-4779-8C22-B89137ECA7A3}" srcOrd="1" destOrd="0" presId="urn:microsoft.com/office/officeart/2008/layout/HorizontalMultiLevelHierarchy"/>
    <dgm:cxn modelId="{3B29EFFC-5768-4A36-B94F-48353636947B}" type="presParOf" srcId="{0F27C90E-241C-4779-8C22-B89137ECA7A3}" destId="{D775965D-2448-4AAE-BA66-55ACA4F75197}" srcOrd="0" destOrd="0" presId="urn:microsoft.com/office/officeart/2008/layout/HorizontalMultiLevelHierarchy"/>
    <dgm:cxn modelId="{13B24613-C28F-4333-90AD-C3740812D6E8}" type="presParOf" srcId="{D775965D-2448-4AAE-BA66-55ACA4F75197}" destId="{8BBA3C82-4A05-4078-98E8-09B59F0528B2}" srcOrd="0" destOrd="0" presId="urn:microsoft.com/office/officeart/2008/layout/HorizontalMultiLevelHierarchy"/>
    <dgm:cxn modelId="{C47986C5-DE14-41AF-9552-E286622830EE}" type="presParOf" srcId="{0F27C90E-241C-4779-8C22-B89137ECA7A3}" destId="{73024A72-022C-486A-98CF-50C8623871FF}" srcOrd="1" destOrd="0" presId="urn:microsoft.com/office/officeart/2008/layout/HorizontalMultiLevelHierarchy"/>
    <dgm:cxn modelId="{18F2CDCE-CE26-47C3-AFC1-7480FFBDDDDC}" type="presParOf" srcId="{73024A72-022C-486A-98CF-50C8623871FF}" destId="{0EB130B4-DCDF-4D9F-BAFE-C31B1E1C4A54}" srcOrd="0" destOrd="0" presId="urn:microsoft.com/office/officeart/2008/layout/HorizontalMultiLevelHierarchy"/>
    <dgm:cxn modelId="{A3B92866-E7F0-4288-A7A4-A5665E2F702B}" type="presParOf" srcId="{73024A72-022C-486A-98CF-50C8623871FF}" destId="{ED8E7D74-8E7B-471E-8A8C-BA371C42D271}" srcOrd="1" destOrd="0" presId="urn:microsoft.com/office/officeart/2008/layout/HorizontalMultiLevelHierarchy"/>
    <dgm:cxn modelId="{04E34AC7-8904-4425-A262-B9CBB25E4E08}" type="presParOf" srcId="{0F27C90E-241C-4779-8C22-B89137ECA7A3}" destId="{238F0453-1737-41CF-90A9-13062D2A4E81}" srcOrd="2" destOrd="0" presId="urn:microsoft.com/office/officeart/2008/layout/HorizontalMultiLevelHierarchy"/>
    <dgm:cxn modelId="{637E8305-8F77-4ED1-9B4E-6C57637558B9}" type="presParOf" srcId="{238F0453-1737-41CF-90A9-13062D2A4E81}" destId="{29E34F96-431B-48A3-AE4A-14A0FD40C272}" srcOrd="0" destOrd="0" presId="urn:microsoft.com/office/officeart/2008/layout/HorizontalMultiLevelHierarchy"/>
    <dgm:cxn modelId="{E6104F69-67EB-4787-8286-59E8EC769E53}" type="presParOf" srcId="{0F27C90E-241C-4779-8C22-B89137ECA7A3}" destId="{CF1A34D9-84C1-4949-9722-37C08774D584}" srcOrd="3" destOrd="0" presId="urn:microsoft.com/office/officeart/2008/layout/HorizontalMultiLevelHierarchy"/>
    <dgm:cxn modelId="{8B7625F6-64F8-4DFC-BBB0-61991A65F679}" type="presParOf" srcId="{CF1A34D9-84C1-4949-9722-37C08774D584}" destId="{6BAD4927-0801-4FC6-862E-4172F1E9658A}" srcOrd="0" destOrd="0" presId="urn:microsoft.com/office/officeart/2008/layout/HorizontalMultiLevelHierarchy"/>
    <dgm:cxn modelId="{155D787A-CC6A-47A3-A550-9647EFFF9A44}" type="presParOf" srcId="{CF1A34D9-84C1-4949-9722-37C08774D584}" destId="{9FAECF2A-D5E0-4B3C-95DC-F3C05AEA81A6}" srcOrd="1" destOrd="0" presId="urn:microsoft.com/office/officeart/2008/layout/HorizontalMultiLevelHierarchy"/>
    <dgm:cxn modelId="{57064E68-042E-4B3F-A0E1-6AD316D19A8E}" type="presParOf" srcId="{0F27C90E-241C-4779-8C22-B89137ECA7A3}" destId="{760065D9-5A6D-43F0-AD30-B31EF236A035}" srcOrd="4" destOrd="0" presId="urn:microsoft.com/office/officeart/2008/layout/HorizontalMultiLevelHierarchy"/>
    <dgm:cxn modelId="{BE78A4B6-0C61-4AF4-B47C-9EA437283963}" type="presParOf" srcId="{760065D9-5A6D-43F0-AD30-B31EF236A035}" destId="{3E4B8951-C426-492B-9A7A-614D3FFDA85F}" srcOrd="0" destOrd="0" presId="urn:microsoft.com/office/officeart/2008/layout/HorizontalMultiLevelHierarchy"/>
    <dgm:cxn modelId="{D84EC2C0-BE16-40EE-8141-A2493F863EE6}" type="presParOf" srcId="{0F27C90E-241C-4779-8C22-B89137ECA7A3}" destId="{2A458065-1A4C-479B-8537-0C2DE01865BF}" srcOrd="5" destOrd="0" presId="urn:microsoft.com/office/officeart/2008/layout/HorizontalMultiLevelHierarchy"/>
    <dgm:cxn modelId="{8625E37C-4541-4901-A9B6-7967A16C1313}" type="presParOf" srcId="{2A458065-1A4C-479B-8537-0C2DE01865BF}" destId="{590DCEBA-5AC2-44BF-ADC7-71CAA195A557}" srcOrd="0" destOrd="0" presId="urn:microsoft.com/office/officeart/2008/layout/HorizontalMultiLevelHierarchy"/>
    <dgm:cxn modelId="{8C370223-9EF3-4A8A-B2EF-21C48A2A0433}" type="presParOf" srcId="{2A458065-1A4C-479B-8537-0C2DE01865BF}" destId="{FB6144B7-3300-4CA1-85D6-8D78ED645786}" srcOrd="1" destOrd="0" presId="urn:microsoft.com/office/officeart/2008/layout/HorizontalMultiLevelHierarchy"/>
    <dgm:cxn modelId="{04C2DE33-FF73-4CF2-926A-D8F997075B9D}" type="presParOf" srcId="{0F27C90E-241C-4779-8C22-B89137ECA7A3}" destId="{C59A761C-BB57-4BF3-AF47-315A1E03FC10}" srcOrd="6" destOrd="0" presId="urn:microsoft.com/office/officeart/2008/layout/HorizontalMultiLevelHierarchy"/>
    <dgm:cxn modelId="{C116A298-BF59-45E1-A6B0-F60AE76C002F}" type="presParOf" srcId="{C59A761C-BB57-4BF3-AF47-315A1E03FC10}" destId="{9CF2CAEC-BF69-475E-970A-B67998B4A6E2}" srcOrd="0" destOrd="0" presId="urn:microsoft.com/office/officeart/2008/layout/HorizontalMultiLevelHierarchy"/>
    <dgm:cxn modelId="{A011E36F-91D9-4A06-91FD-748A5208A135}" type="presParOf" srcId="{0F27C90E-241C-4779-8C22-B89137ECA7A3}" destId="{4BA5940E-C8F3-4EAD-91E8-8870E9534791}" srcOrd="7" destOrd="0" presId="urn:microsoft.com/office/officeart/2008/layout/HorizontalMultiLevelHierarchy"/>
    <dgm:cxn modelId="{75559C34-7087-4869-8B7C-6C71F5936C7A}" type="presParOf" srcId="{4BA5940E-C8F3-4EAD-91E8-8870E9534791}" destId="{3B2A9988-6652-4855-ABD1-2E5FD5F8426B}" srcOrd="0" destOrd="0" presId="urn:microsoft.com/office/officeart/2008/layout/HorizontalMultiLevelHierarchy"/>
    <dgm:cxn modelId="{8063FD66-2F74-4171-BE2D-61C7D0CEE53F}" type="presParOf" srcId="{4BA5940E-C8F3-4EAD-91E8-8870E9534791}" destId="{87C8C331-3E5A-473A-A9B3-AA271AE77706}" srcOrd="1" destOrd="0" presId="urn:microsoft.com/office/officeart/2008/layout/HorizontalMultiLevelHierarchy"/>
    <dgm:cxn modelId="{065725D7-61DD-4875-8617-7ED582EEF137}" type="presParOf" srcId="{0F27C90E-241C-4779-8C22-B89137ECA7A3}" destId="{CD3FD13B-8EB8-48C5-81DA-E67B1D0B754C}" srcOrd="8" destOrd="0" presId="urn:microsoft.com/office/officeart/2008/layout/HorizontalMultiLevelHierarchy"/>
    <dgm:cxn modelId="{7581FFA7-E9CE-4EFE-9B9C-39B032FB0F04}" type="presParOf" srcId="{CD3FD13B-8EB8-48C5-81DA-E67B1D0B754C}" destId="{6EDD5E0C-5DA7-4B12-9ADB-C741DEA2C6A9}" srcOrd="0" destOrd="0" presId="urn:microsoft.com/office/officeart/2008/layout/HorizontalMultiLevelHierarchy"/>
    <dgm:cxn modelId="{7066887B-624C-4D99-A64D-90071DCA0EE2}" type="presParOf" srcId="{0F27C90E-241C-4779-8C22-B89137ECA7A3}" destId="{BDC8B328-63E3-4BB5-A0D0-5F5CCA7053D1}" srcOrd="9" destOrd="0" presId="urn:microsoft.com/office/officeart/2008/layout/HorizontalMultiLevelHierarchy"/>
    <dgm:cxn modelId="{0ABCAFDA-EB8D-41A1-BB09-03676C1392E2}" type="presParOf" srcId="{BDC8B328-63E3-4BB5-A0D0-5F5CCA7053D1}" destId="{12017EE4-7C03-4142-87AA-C35E6FFA1080}" srcOrd="0" destOrd="0" presId="urn:microsoft.com/office/officeart/2008/layout/HorizontalMultiLevelHierarchy"/>
    <dgm:cxn modelId="{50444AA8-E4E1-4BE3-A644-1857A3F38A80}" type="presParOf" srcId="{BDC8B328-63E3-4BB5-A0D0-5F5CCA7053D1}" destId="{95CE7C0F-A7C1-40DA-A4A8-CDD43B15D2E3}" srcOrd="1" destOrd="0" presId="urn:microsoft.com/office/officeart/2008/layout/HorizontalMultiLevelHierarchy"/>
    <dgm:cxn modelId="{646513C9-91AD-4A0B-A514-A6D78E5FEF5D}" type="presParOf" srcId="{0F27C90E-241C-4779-8C22-B89137ECA7A3}" destId="{03A69B0D-F5E2-48BF-BA02-AD49317AB361}" srcOrd="10" destOrd="0" presId="urn:microsoft.com/office/officeart/2008/layout/HorizontalMultiLevelHierarchy"/>
    <dgm:cxn modelId="{930B6C9C-CBF8-4FEE-9F70-2E8C4F381AFB}" type="presParOf" srcId="{03A69B0D-F5E2-48BF-BA02-AD49317AB361}" destId="{862BE4DD-26F1-4158-B090-434FF5C270FA}" srcOrd="0" destOrd="0" presId="urn:microsoft.com/office/officeart/2008/layout/HorizontalMultiLevelHierarchy"/>
    <dgm:cxn modelId="{F922131D-DDC6-474A-9AFF-1349C67F9202}" type="presParOf" srcId="{0F27C90E-241C-4779-8C22-B89137ECA7A3}" destId="{06048497-9690-4600-9CCC-EAB773312B4F}" srcOrd="11" destOrd="0" presId="urn:microsoft.com/office/officeart/2008/layout/HorizontalMultiLevelHierarchy"/>
    <dgm:cxn modelId="{B52A9145-5D4E-4F79-9CDF-C8CA67A4391E}" type="presParOf" srcId="{06048497-9690-4600-9CCC-EAB773312B4F}" destId="{8638A732-DAF9-40D8-8164-6E8DA306A23D}" srcOrd="0" destOrd="0" presId="urn:microsoft.com/office/officeart/2008/layout/HorizontalMultiLevelHierarchy"/>
    <dgm:cxn modelId="{563F0B0C-211C-4860-BC3F-0C0E855E05E8}" type="presParOf" srcId="{06048497-9690-4600-9CCC-EAB773312B4F}" destId="{9FB2A50A-2DD3-4738-9E44-D925A20C127C}" srcOrd="1" destOrd="0" presId="urn:microsoft.com/office/officeart/2008/layout/HorizontalMultiLevelHierarchy"/>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9CA4C310-DF57-4306-9003-7FD846D48563}" type="doc">
      <dgm:prSet loTypeId="urn:microsoft.com/office/officeart/2005/8/layout/radial1" loCatId="relationship" qsTypeId="urn:microsoft.com/office/officeart/2005/8/quickstyle/simple1" qsCatId="simple" csTypeId="urn:microsoft.com/office/officeart/2005/8/colors/accent5_2" csCatId="accent5" phldr="1"/>
      <dgm:spPr/>
      <dgm:t>
        <a:bodyPr/>
        <a:lstStyle/>
        <a:p>
          <a:endParaRPr lang="pl-PL"/>
        </a:p>
      </dgm:t>
    </dgm:pt>
    <dgm:pt modelId="{0F566387-CA12-4F9B-9B60-8D500B8DB7DF}">
      <dgm:prSet phldrT="[Tekst]" custT="1"/>
      <dgm:spPr>
        <a:xfrm>
          <a:off x="1594217" y="1573929"/>
          <a:ext cx="1707414" cy="1649758"/>
        </a:xfr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sz="1100">
              <a:solidFill>
                <a:sysClr val="window" lastClr="FFFFFF"/>
              </a:solidFill>
              <a:latin typeface="Calibri"/>
              <a:ea typeface="+mn-ea"/>
              <a:cs typeface="+mn-cs"/>
            </a:rPr>
            <a:t>Rada Porozumienia</a:t>
          </a:r>
        </a:p>
        <a:p>
          <a:pPr algn="ctr"/>
          <a:r>
            <a:rPr lang="pl-PL" sz="1100">
              <a:solidFill>
                <a:sysClr val="window" lastClr="FFFFFF"/>
              </a:solidFill>
              <a:latin typeface="Calibri"/>
              <a:ea typeface="+mn-ea"/>
              <a:cs typeface="+mn-cs"/>
            </a:rPr>
            <a:t>Koordynator Wspólny</a:t>
          </a:r>
        </a:p>
        <a:p>
          <a:pPr algn="ctr"/>
          <a:r>
            <a:rPr lang="pl-PL" sz="1100">
              <a:solidFill>
                <a:sysClr val="window" lastClr="FFFFFF"/>
              </a:solidFill>
              <a:latin typeface="Calibri"/>
              <a:ea typeface="+mn-ea"/>
              <a:cs typeface="+mn-cs"/>
            </a:rPr>
            <a:t>Grupy zadaniowe wraz z Kierownikami grup zadaniowych</a:t>
          </a:r>
        </a:p>
        <a:p>
          <a:pPr algn="ctr"/>
          <a:r>
            <a:rPr lang="pl-PL" sz="1100">
              <a:solidFill>
                <a:sysClr val="window" lastClr="FFFFFF"/>
              </a:solidFill>
              <a:latin typeface="Calibri"/>
              <a:ea typeface="+mn-ea"/>
              <a:cs typeface="+mn-cs"/>
            </a:rPr>
            <a:t>Rada Społeczna</a:t>
          </a:r>
        </a:p>
      </dgm:t>
    </dgm:pt>
    <dgm:pt modelId="{3109B412-AA3D-40B0-B89C-917F13E2AFA9}" type="parTrans" cxnId="{478D1EFB-C40B-4489-82D9-50FB51E7DFA4}">
      <dgm:prSet/>
      <dgm:spPr/>
      <dgm:t>
        <a:bodyPr/>
        <a:lstStyle/>
        <a:p>
          <a:pPr algn="ctr"/>
          <a:endParaRPr lang="pl-PL"/>
        </a:p>
      </dgm:t>
    </dgm:pt>
    <dgm:pt modelId="{779A137F-7F50-4E44-92E6-FEA8B3FDDC3B}" type="sibTrans" cxnId="{478D1EFB-C40B-4489-82D9-50FB51E7DFA4}">
      <dgm:prSet/>
      <dgm:spPr/>
      <dgm:t>
        <a:bodyPr/>
        <a:lstStyle/>
        <a:p>
          <a:pPr algn="ctr"/>
          <a:endParaRPr lang="pl-PL"/>
        </a:p>
      </dgm:t>
    </dgm:pt>
    <dgm:pt modelId="{1F1222A5-F909-42B9-98F4-13F784A7559B}">
      <dgm:prSet phldrT="[Tekst]"/>
      <dgm:spPr>
        <a:xfrm>
          <a:off x="1782613" y="18321"/>
          <a:ext cx="1330622" cy="1330622"/>
        </a:xfr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a:solidFill>
                <a:sysClr val="window" lastClr="FFFFFF"/>
              </a:solidFill>
              <a:latin typeface="Calibri"/>
              <a:ea typeface="+mn-ea"/>
              <a:cs typeface="+mn-cs"/>
            </a:rPr>
            <a:t>partnerzy i wykonawcy zadań w Strategii</a:t>
          </a:r>
        </a:p>
      </dgm:t>
    </dgm:pt>
    <dgm:pt modelId="{38A54430-9CC2-4370-97CD-706309BE6B16}" type="parTrans" cxnId="{3A4FAD48-D00B-46E3-87D8-5871C15E590A}">
      <dgm:prSet/>
      <dgm:spPr>
        <a:xfrm rot="16200000">
          <a:off x="2335431" y="1436976"/>
          <a:ext cx="224986" cy="48921"/>
        </a:xfrm>
        <a:noFill/>
        <a:ln w="25400" cap="flat" cmpd="sng" algn="ctr">
          <a:solidFill>
            <a:srgbClr val="F5C040">
              <a:shade val="60000"/>
              <a:hueOff val="0"/>
              <a:satOff val="0"/>
              <a:lumOff val="0"/>
              <a:alphaOff val="0"/>
            </a:srgbClr>
          </a:solidFill>
          <a:prstDash val="solid"/>
        </a:ln>
        <a:effectLst/>
      </dgm:spPr>
      <dgm:t>
        <a:bodyPr/>
        <a:lstStyle/>
        <a:p>
          <a:pPr algn="ctr"/>
          <a:endParaRPr lang="pl-PL">
            <a:solidFill>
              <a:sysClr val="windowText" lastClr="000000">
                <a:hueOff val="0"/>
                <a:satOff val="0"/>
                <a:lumOff val="0"/>
                <a:alphaOff val="0"/>
              </a:sysClr>
            </a:solidFill>
            <a:latin typeface="Calibri"/>
            <a:ea typeface="+mn-ea"/>
            <a:cs typeface="+mn-cs"/>
          </a:endParaRPr>
        </a:p>
      </dgm:t>
    </dgm:pt>
    <dgm:pt modelId="{A8C0CE27-C223-42B4-B588-B83FC5EA45F8}" type="sibTrans" cxnId="{3A4FAD48-D00B-46E3-87D8-5871C15E590A}">
      <dgm:prSet/>
      <dgm:spPr/>
      <dgm:t>
        <a:bodyPr/>
        <a:lstStyle/>
        <a:p>
          <a:pPr algn="ctr"/>
          <a:endParaRPr lang="pl-PL"/>
        </a:p>
      </dgm:t>
    </dgm:pt>
    <dgm:pt modelId="{100975D9-0454-4832-8920-292C6757799C}">
      <dgm:prSet phldrT="[Tekst]"/>
      <dgm:spPr>
        <a:xfrm>
          <a:off x="2801199" y="3153206"/>
          <a:ext cx="1330622" cy="1330622"/>
        </a:xfr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a:solidFill>
                <a:sysClr val="window" lastClr="FFFFFF"/>
              </a:solidFill>
              <a:latin typeface="Calibri"/>
              <a:ea typeface="+mn-ea"/>
              <a:cs typeface="+mn-cs"/>
            </a:rPr>
            <a:t>organizacje pozarządowe</a:t>
          </a:r>
        </a:p>
      </dgm:t>
    </dgm:pt>
    <dgm:pt modelId="{05A37F55-2CB1-4C51-B83E-289E1DB269BC}" type="parTrans" cxnId="{D81D2273-2C1A-47CF-B5E2-4EC222E38FDE}">
      <dgm:prSet/>
      <dgm:spPr>
        <a:xfrm rot="3260521">
          <a:off x="2882660" y="3152873"/>
          <a:ext cx="247652" cy="48921"/>
        </a:xfrm>
        <a:noFill/>
        <a:ln w="25400" cap="flat" cmpd="sng" algn="ctr">
          <a:solidFill>
            <a:srgbClr val="F5C040">
              <a:shade val="60000"/>
              <a:hueOff val="0"/>
              <a:satOff val="0"/>
              <a:lumOff val="0"/>
              <a:alphaOff val="0"/>
            </a:srgbClr>
          </a:solidFill>
          <a:prstDash val="solid"/>
        </a:ln>
        <a:effectLst/>
      </dgm:spPr>
      <dgm:t>
        <a:bodyPr/>
        <a:lstStyle/>
        <a:p>
          <a:pPr algn="ctr"/>
          <a:endParaRPr lang="pl-PL">
            <a:solidFill>
              <a:sysClr val="windowText" lastClr="000000">
                <a:hueOff val="0"/>
                <a:satOff val="0"/>
                <a:lumOff val="0"/>
                <a:alphaOff val="0"/>
              </a:sysClr>
            </a:solidFill>
            <a:latin typeface="Calibri"/>
            <a:ea typeface="+mn-ea"/>
            <a:cs typeface="+mn-cs"/>
          </a:endParaRPr>
        </a:p>
      </dgm:t>
    </dgm:pt>
    <dgm:pt modelId="{9EA09F8E-6E2B-4409-9D94-AFEC67E3A941}" type="sibTrans" cxnId="{D81D2273-2C1A-47CF-B5E2-4EC222E38FDE}">
      <dgm:prSet/>
      <dgm:spPr/>
      <dgm:t>
        <a:bodyPr/>
        <a:lstStyle/>
        <a:p>
          <a:pPr algn="ctr"/>
          <a:endParaRPr lang="pl-PL"/>
        </a:p>
      </dgm:t>
    </dgm:pt>
    <dgm:pt modelId="{7F9CBF3E-DE48-4331-B5FB-185AD97310FF}">
      <dgm:prSet phldrT="[Tekst]"/>
      <dgm:spPr>
        <a:xfrm>
          <a:off x="764028" y="3153206"/>
          <a:ext cx="1330622" cy="1330622"/>
        </a:xfr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a:solidFill>
                <a:sysClr val="window" lastClr="FFFFFF"/>
              </a:solidFill>
              <a:latin typeface="Calibri"/>
              <a:ea typeface="+mn-ea"/>
              <a:cs typeface="+mn-cs"/>
            </a:rPr>
            <a:t>instytucje i organizacje publiczne</a:t>
          </a:r>
        </a:p>
      </dgm:t>
    </dgm:pt>
    <dgm:pt modelId="{A837DAC0-ED03-412D-8617-51059F3E4284}" type="parTrans" cxnId="{11576E34-BDAE-4BD1-BE8C-C41073B6B5A0}">
      <dgm:prSet/>
      <dgm:spPr>
        <a:xfrm rot="7539479">
          <a:off x="1765537" y="3152873"/>
          <a:ext cx="247652" cy="48921"/>
        </a:xfrm>
        <a:noFill/>
        <a:ln w="25400" cap="flat" cmpd="sng" algn="ctr">
          <a:solidFill>
            <a:srgbClr val="F5C040">
              <a:shade val="60000"/>
              <a:hueOff val="0"/>
              <a:satOff val="0"/>
              <a:lumOff val="0"/>
              <a:alphaOff val="0"/>
            </a:srgbClr>
          </a:solidFill>
          <a:prstDash val="solid"/>
        </a:ln>
        <a:effectLst/>
      </dgm:spPr>
      <dgm:t>
        <a:bodyPr/>
        <a:lstStyle/>
        <a:p>
          <a:pPr algn="ctr"/>
          <a:endParaRPr lang="pl-PL">
            <a:solidFill>
              <a:sysClr val="windowText" lastClr="000000">
                <a:hueOff val="0"/>
                <a:satOff val="0"/>
                <a:lumOff val="0"/>
                <a:alphaOff val="0"/>
              </a:sysClr>
            </a:solidFill>
            <a:latin typeface="Calibri"/>
            <a:ea typeface="+mn-ea"/>
            <a:cs typeface="+mn-cs"/>
          </a:endParaRPr>
        </a:p>
      </dgm:t>
    </dgm:pt>
    <dgm:pt modelId="{F7B04EB7-19B7-44BC-BA11-4635FC924D75}" type="sibTrans" cxnId="{11576E34-BDAE-4BD1-BE8C-C41073B6B5A0}">
      <dgm:prSet/>
      <dgm:spPr/>
      <dgm:t>
        <a:bodyPr/>
        <a:lstStyle/>
        <a:p>
          <a:pPr algn="ctr"/>
          <a:endParaRPr lang="pl-PL"/>
        </a:p>
      </dgm:t>
    </dgm:pt>
    <dgm:pt modelId="{2B985AB2-9054-42E5-85A1-53D27A766648}">
      <dgm:prSet phldrT="[Tekst]"/>
      <dgm:spPr>
        <a:xfrm>
          <a:off x="134507" y="1215740"/>
          <a:ext cx="1330622" cy="1330622"/>
        </a:xfr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a:solidFill>
                <a:sysClr val="window" lastClr="FFFFFF"/>
              </a:solidFill>
              <a:latin typeface="Calibri"/>
              <a:ea typeface="+mn-ea"/>
              <a:cs typeface="+mn-cs"/>
            </a:rPr>
            <a:t>mieszkańcy</a:t>
          </a:r>
        </a:p>
      </dgm:t>
    </dgm:pt>
    <dgm:pt modelId="{FD795001-6B38-46B6-8900-5CCDC67D3F51}" type="parTrans" cxnId="{A0AC8C42-3ACB-4D4A-9284-4E8E862B08FC}">
      <dgm:prSet/>
      <dgm:spPr>
        <a:xfrm rot="11846415">
          <a:off x="1429690" y="2087644"/>
          <a:ext cx="211215" cy="48921"/>
        </a:xfrm>
        <a:noFill/>
        <a:ln w="25400" cap="flat" cmpd="sng" algn="ctr">
          <a:solidFill>
            <a:srgbClr val="F5C040">
              <a:shade val="60000"/>
              <a:hueOff val="0"/>
              <a:satOff val="0"/>
              <a:lumOff val="0"/>
              <a:alphaOff val="0"/>
            </a:srgbClr>
          </a:solidFill>
          <a:prstDash val="solid"/>
        </a:ln>
        <a:effectLst/>
      </dgm:spPr>
      <dgm:t>
        <a:bodyPr/>
        <a:lstStyle/>
        <a:p>
          <a:pPr algn="ctr"/>
          <a:endParaRPr lang="pl-PL">
            <a:solidFill>
              <a:sysClr val="windowText" lastClr="000000">
                <a:hueOff val="0"/>
                <a:satOff val="0"/>
                <a:lumOff val="0"/>
                <a:alphaOff val="0"/>
              </a:sysClr>
            </a:solidFill>
            <a:latin typeface="Calibri"/>
            <a:ea typeface="+mn-ea"/>
            <a:cs typeface="+mn-cs"/>
          </a:endParaRPr>
        </a:p>
      </dgm:t>
    </dgm:pt>
    <dgm:pt modelId="{C955F5E8-5954-42CB-AE27-7D8931EB59ED}" type="sibTrans" cxnId="{A0AC8C42-3ACB-4D4A-9284-4E8E862B08FC}">
      <dgm:prSet/>
      <dgm:spPr/>
      <dgm:t>
        <a:bodyPr/>
        <a:lstStyle/>
        <a:p>
          <a:pPr algn="ctr"/>
          <a:endParaRPr lang="pl-PL"/>
        </a:p>
      </dgm:t>
    </dgm:pt>
    <dgm:pt modelId="{BAC517CA-85BF-48ED-BCCB-17674F2C8ABB}">
      <dgm:prSet/>
      <dgm:spPr>
        <a:xfrm>
          <a:off x="3430720" y="1215740"/>
          <a:ext cx="1330622" cy="1330622"/>
        </a:xfr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pl-PL">
              <a:solidFill>
                <a:sysClr val="window" lastClr="FFFFFF"/>
              </a:solidFill>
              <a:latin typeface="Calibri"/>
              <a:ea typeface="+mn-ea"/>
              <a:cs typeface="+mn-cs"/>
            </a:rPr>
            <a:t>inne JST, powiat hrubieszowski, samorząd województwa</a:t>
          </a:r>
        </a:p>
      </dgm:t>
    </dgm:pt>
    <dgm:pt modelId="{BE41DC28-BC7E-48A3-9D42-FBB596489A91}" type="parTrans" cxnId="{2C2D516E-D96F-425F-8CF6-1D35C6D6445B}">
      <dgm:prSet/>
      <dgm:spPr>
        <a:xfrm rot="20553585">
          <a:off x="3254943" y="2087644"/>
          <a:ext cx="211215" cy="48921"/>
        </a:xfrm>
        <a:noFill/>
        <a:ln w="25400" cap="flat" cmpd="sng" algn="ctr">
          <a:solidFill>
            <a:srgbClr val="F5C040">
              <a:shade val="60000"/>
              <a:hueOff val="0"/>
              <a:satOff val="0"/>
              <a:lumOff val="0"/>
              <a:alphaOff val="0"/>
            </a:srgbClr>
          </a:solidFill>
          <a:prstDash val="solid"/>
        </a:ln>
        <a:effectLst/>
      </dgm:spPr>
      <dgm:t>
        <a:bodyPr/>
        <a:lstStyle/>
        <a:p>
          <a:pPr algn="ctr"/>
          <a:endParaRPr lang="pl-PL">
            <a:solidFill>
              <a:sysClr val="windowText" lastClr="000000">
                <a:hueOff val="0"/>
                <a:satOff val="0"/>
                <a:lumOff val="0"/>
                <a:alphaOff val="0"/>
              </a:sysClr>
            </a:solidFill>
            <a:latin typeface="Calibri"/>
            <a:ea typeface="+mn-ea"/>
            <a:cs typeface="+mn-cs"/>
          </a:endParaRPr>
        </a:p>
      </dgm:t>
    </dgm:pt>
    <dgm:pt modelId="{A787D374-BFF4-4324-B1B1-5B7579072F4E}" type="sibTrans" cxnId="{2C2D516E-D96F-425F-8CF6-1D35C6D6445B}">
      <dgm:prSet/>
      <dgm:spPr/>
      <dgm:t>
        <a:bodyPr/>
        <a:lstStyle/>
        <a:p>
          <a:pPr algn="ctr"/>
          <a:endParaRPr lang="pl-PL"/>
        </a:p>
      </dgm:t>
    </dgm:pt>
    <dgm:pt modelId="{B53AD199-BFAA-4C79-BA80-03D57CD0E128}" type="pres">
      <dgm:prSet presAssocID="{9CA4C310-DF57-4306-9003-7FD846D48563}" presName="cycle" presStyleCnt="0">
        <dgm:presLayoutVars>
          <dgm:chMax val="1"/>
          <dgm:dir/>
          <dgm:animLvl val="ctr"/>
          <dgm:resizeHandles val="exact"/>
        </dgm:presLayoutVars>
      </dgm:prSet>
      <dgm:spPr/>
      <dgm:t>
        <a:bodyPr/>
        <a:lstStyle/>
        <a:p>
          <a:endParaRPr lang="pl-PL"/>
        </a:p>
      </dgm:t>
    </dgm:pt>
    <dgm:pt modelId="{25FFD994-21C4-4F37-AC6C-EB6B200C6EC2}" type="pres">
      <dgm:prSet presAssocID="{0F566387-CA12-4F9B-9B60-8D500B8DB7DF}" presName="centerShape" presStyleLbl="node0" presStyleIdx="0" presStyleCnt="1" custScaleX="128317" custScaleY="123984" custLinFactNeighborX="0" custLinFactNeighborY="-512"/>
      <dgm:spPr>
        <a:prstGeom prst="ellipse">
          <a:avLst/>
        </a:prstGeom>
      </dgm:spPr>
      <dgm:t>
        <a:bodyPr/>
        <a:lstStyle/>
        <a:p>
          <a:endParaRPr lang="pl-PL"/>
        </a:p>
      </dgm:t>
    </dgm:pt>
    <dgm:pt modelId="{DDBFD164-1205-4C2A-A2A8-B35FBC535B38}" type="pres">
      <dgm:prSet presAssocID="{38A54430-9CC2-4370-97CD-706309BE6B16}" presName="Name9" presStyleLbl="parChTrans1D2" presStyleIdx="0" presStyleCnt="5"/>
      <dgm:spPr>
        <a:custGeom>
          <a:avLst/>
          <a:gdLst/>
          <a:ahLst/>
          <a:cxnLst/>
          <a:rect l="0" t="0" r="0" b="0"/>
          <a:pathLst>
            <a:path>
              <a:moveTo>
                <a:pt x="0" y="24460"/>
              </a:moveTo>
              <a:lnTo>
                <a:pt x="224986" y="24460"/>
              </a:lnTo>
            </a:path>
          </a:pathLst>
        </a:custGeom>
      </dgm:spPr>
      <dgm:t>
        <a:bodyPr/>
        <a:lstStyle/>
        <a:p>
          <a:endParaRPr lang="pl-PL"/>
        </a:p>
      </dgm:t>
    </dgm:pt>
    <dgm:pt modelId="{20BCD183-0CB7-4BF1-A4CB-03D64F28C009}" type="pres">
      <dgm:prSet presAssocID="{38A54430-9CC2-4370-97CD-706309BE6B16}" presName="connTx" presStyleLbl="parChTrans1D2" presStyleIdx="0" presStyleCnt="5"/>
      <dgm:spPr/>
      <dgm:t>
        <a:bodyPr/>
        <a:lstStyle/>
        <a:p>
          <a:endParaRPr lang="pl-PL"/>
        </a:p>
      </dgm:t>
    </dgm:pt>
    <dgm:pt modelId="{BE8E4599-1862-4C45-A97D-90997DA00062}" type="pres">
      <dgm:prSet presAssocID="{1F1222A5-F909-42B9-98F4-13F784A7559B}" presName="node" presStyleLbl="node1" presStyleIdx="0" presStyleCnt="5">
        <dgm:presLayoutVars>
          <dgm:bulletEnabled val="1"/>
        </dgm:presLayoutVars>
      </dgm:prSet>
      <dgm:spPr>
        <a:prstGeom prst="ellipse">
          <a:avLst/>
        </a:prstGeom>
      </dgm:spPr>
      <dgm:t>
        <a:bodyPr/>
        <a:lstStyle/>
        <a:p>
          <a:endParaRPr lang="pl-PL"/>
        </a:p>
      </dgm:t>
    </dgm:pt>
    <dgm:pt modelId="{8BC19D2D-7942-4722-A94D-D9262056F5EF}" type="pres">
      <dgm:prSet presAssocID="{BE41DC28-BC7E-48A3-9D42-FBB596489A91}" presName="Name9" presStyleLbl="parChTrans1D2" presStyleIdx="1" presStyleCnt="5"/>
      <dgm:spPr>
        <a:custGeom>
          <a:avLst/>
          <a:gdLst/>
          <a:ahLst/>
          <a:cxnLst/>
          <a:rect l="0" t="0" r="0" b="0"/>
          <a:pathLst>
            <a:path>
              <a:moveTo>
                <a:pt x="0" y="24460"/>
              </a:moveTo>
              <a:lnTo>
                <a:pt x="211215" y="24460"/>
              </a:lnTo>
            </a:path>
          </a:pathLst>
        </a:custGeom>
      </dgm:spPr>
      <dgm:t>
        <a:bodyPr/>
        <a:lstStyle/>
        <a:p>
          <a:endParaRPr lang="pl-PL"/>
        </a:p>
      </dgm:t>
    </dgm:pt>
    <dgm:pt modelId="{8A90B517-B2F6-42C0-A1F5-A6A74C4A5DC6}" type="pres">
      <dgm:prSet presAssocID="{BE41DC28-BC7E-48A3-9D42-FBB596489A91}" presName="connTx" presStyleLbl="parChTrans1D2" presStyleIdx="1" presStyleCnt="5"/>
      <dgm:spPr/>
      <dgm:t>
        <a:bodyPr/>
        <a:lstStyle/>
        <a:p>
          <a:endParaRPr lang="pl-PL"/>
        </a:p>
      </dgm:t>
    </dgm:pt>
    <dgm:pt modelId="{01BA0FB8-295C-4FC2-A2BA-369992224BDB}" type="pres">
      <dgm:prSet presAssocID="{BAC517CA-85BF-48ED-BCCB-17674F2C8ABB}" presName="node" presStyleLbl="node1" presStyleIdx="1" presStyleCnt="5">
        <dgm:presLayoutVars>
          <dgm:bulletEnabled val="1"/>
        </dgm:presLayoutVars>
      </dgm:prSet>
      <dgm:spPr>
        <a:prstGeom prst="ellipse">
          <a:avLst/>
        </a:prstGeom>
      </dgm:spPr>
      <dgm:t>
        <a:bodyPr/>
        <a:lstStyle/>
        <a:p>
          <a:endParaRPr lang="pl-PL"/>
        </a:p>
      </dgm:t>
    </dgm:pt>
    <dgm:pt modelId="{24A9B976-6BBC-4918-9D1E-488A06196256}" type="pres">
      <dgm:prSet presAssocID="{05A37F55-2CB1-4C51-B83E-289E1DB269BC}" presName="Name9" presStyleLbl="parChTrans1D2" presStyleIdx="2" presStyleCnt="5"/>
      <dgm:spPr>
        <a:custGeom>
          <a:avLst/>
          <a:gdLst/>
          <a:ahLst/>
          <a:cxnLst/>
          <a:rect l="0" t="0" r="0" b="0"/>
          <a:pathLst>
            <a:path>
              <a:moveTo>
                <a:pt x="0" y="24460"/>
              </a:moveTo>
              <a:lnTo>
                <a:pt x="247652" y="24460"/>
              </a:lnTo>
            </a:path>
          </a:pathLst>
        </a:custGeom>
      </dgm:spPr>
      <dgm:t>
        <a:bodyPr/>
        <a:lstStyle/>
        <a:p>
          <a:endParaRPr lang="pl-PL"/>
        </a:p>
      </dgm:t>
    </dgm:pt>
    <dgm:pt modelId="{1610B486-789E-4E55-BA6A-76C522555CF8}" type="pres">
      <dgm:prSet presAssocID="{05A37F55-2CB1-4C51-B83E-289E1DB269BC}" presName="connTx" presStyleLbl="parChTrans1D2" presStyleIdx="2" presStyleCnt="5"/>
      <dgm:spPr/>
      <dgm:t>
        <a:bodyPr/>
        <a:lstStyle/>
        <a:p>
          <a:endParaRPr lang="pl-PL"/>
        </a:p>
      </dgm:t>
    </dgm:pt>
    <dgm:pt modelId="{A293BDCA-8B09-417C-AC62-BE411F2725AB}" type="pres">
      <dgm:prSet presAssocID="{100975D9-0454-4832-8920-292C6757799C}" presName="node" presStyleLbl="node1" presStyleIdx="2" presStyleCnt="5">
        <dgm:presLayoutVars>
          <dgm:bulletEnabled val="1"/>
        </dgm:presLayoutVars>
      </dgm:prSet>
      <dgm:spPr>
        <a:prstGeom prst="ellipse">
          <a:avLst/>
        </a:prstGeom>
      </dgm:spPr>
      <dgm:t>
        <a:bodyPr/>
        <a:lstStyle/>
        <a:p>
          <a:endParaRPr lang="pl-PL"/>
        </a:p>
      </dgm:t>
    </dgm:pt>
    <dgm:pt modelId="{B2277E38-1BD9-4084-89AD-47640DD60BF0}" type="pres">
      <dgm:prSet presAssocID="{A837DAC0-ED03-412D-8617-51059F3E4284}" presName="Name9" presStyleLbl="parChTrans1D2" presStyleIdx="3" presStyleCnt="5"/>
      <dgm:spPr>
        <a:custGeom>
          <a:avLst/>
          <a:gdLst/>
          <a:ahLst/>
          <a:cxnLst/>
          <a:rect l="0" t="0" r="0" b="0"/>
          <a:pathLst>
            <a:path>
              <a:moveTo>
                <a:pt x="0" y="24460"/>
              </a:moveTo>
              <a:lnTo>
                <a:pt x="247652" y="24460"/>
              </a:lnTo>
            </a:path>
          </a:pathLst>
        </a:custGeom>
      </dgm:spPr>
      <dgm:t>
        <a:bodyPr/>
        <a:lstStyle/>
        <a:p>
          <a:endParaRPr lang="pl-PL"/>
        </a:p>
      </dgm:t>
    </dgm:pt>
    <dgm:pt modelId="{4A256815-5F82-4BDC-AF85-A27EAB3ECB37}" type="pres">
      <dgm:prSet presAssocID="{A837DAC0-ED03-412D-8617-51059F3E4284}" presName="connTx" presStyleLbl="parChTrans1D2" presStyleIdx="3" presStyleCnt="5"/>
      <dgm:spPr/>
      <dgm:t>
        <a:bodyPr/>
        <a:lstStyle/>
        <a:p>
          <a:endParaRPr lang="pl-PL"/>
        </a:p>
      </dgm:t>
    </dgm:pt>
    <dgm:pt modelId="{FBE2EE26-8EC9-465F-9916-67D100402BF0}" type="pres">
      <dgm:prSet presAssocID="{7F9CBF3E-DE48-4331-B5FB-185AD97310FF}" presName="node" presStyleLbl="node1" presStyleIdx="3" presStyleCnt="5">
        <dgm:presLayoutVars>
          <dgm:bulletEnabled val="1"/>
        </dgm:presLayoutVars>
      </dgm:prSet>
      <dgm:spPr>
        <a:prstGeom prst="ellipse">
          <a:avLst/>
        </a:prstGeom>
      </dgm:spPr>
      <dgm:t>
        <a:bodyPr/>
        <a:lstStyle/>
        <a:p>
          <a:endParaRPr lang="pl-PL"/>
        </a:p>
      </dgm:t>
    </dgm:pt>
    <dgm:pt modelId="{E4933B61-9AA0-4985-85C3-5B235496B223}" type="pres">
      <dgm:prSet presAssocID="{FD795001-6B38-46B6-8900-5CCDC67D3F51}" presName="Name9" presStyleLbl="parChTrans1D2" presStyleIdx="4" presStyleCnt="5"/>
      <dgm:spPr>
        <a:custGeom>
          <a:avLst/>
          <a:gdLst/>
          <a:ahLst/>
          <a:cxnLst/>
          <a:rect l="0" t="0" r="0" b="0"/>
          <a:pathLst>
            <a:path>
              <a:moveTo>
                <a:pt x="0" y="24460"/>
              </a:moveTo>
              <a:lnTo>
                <a:pt x="211215" y="24460"/>
              </a:lnTo>
            </a:path>
          </a:pathLst>
        </a:custGeom>
      </dgm:spPr>
      <dgm:t>
        <a:bodyPr/>
        <a:lstStyle/>
        <a:p>
          <a:endParaRPr lang="pl-PL"/>
        </a:p>
      </dgm:t>
    </dgm:pt>
    <dgm:pt modelId="{D3C2644F-EB46-4A4A-90C6-9E8F01D844B7}" type="pres">
      <dgm:prSet presAssocID="{FD795001-6B38-46B6-8900-5CCDC67D3F51}" presName="connTx" presStyleLbl="parChTrans1D2" presStyleIdx="4" presStyleCnt="5"/>
      <dgm:spPr/>
      <dgm:t>
        <a:bodyPr/>
        <a:lstStyle/>
        <a:p>
          <a:endParaRPr lang="pl-PL"/>
        </a:p>
      </dgm:t>
    </dgm:pt>
    <dgm:pt modelId="{B0B8383A-C3CD-4E5A-A2F9-171457A36D30}" type="pres">
      <dgm:prSet presAssocID="{2B985AB2-9054-42E5-85A1-53D27A766648}" presName="node" presStyleLbl="node1" presStyleIdx="4" presStyleCnt="5">
        <dgm:presLayoutVars>
          <dgm:bulletEnabled val="1"/>
        </dgm:presLayoutVars>
      </dgm:prSet>
      <dgm:spPr>
        <a:prstGeom prst="ellipse">
          <a:avLst/>
        </a:prstGeom>
      </dgm:spPr>
      <dgm:t>
        <a:bodyPr/>
        <a:lstStyle/>
        <a:p>
          <a:endParaRPr lang="pl-PL"/>
        </a:p>
      </dgm:t>
    </dgm:pt>
  </dgm:ptLst>
  <dgm:cxnLst>
    <dgm:cxn modelId="{29EE675A-12E8-4337-B3A1-EDC7013FD41B}" type="presOf" srcId="{BE41DC28-BC7E-48A3-9D42-FBB596489A91}" destId="{8A90B517-B2F6-42C0-A1F5-A6A74C4A5DC6}" srcOrd="1" destOrd="0" presId="urn:microsoft.com/office/officeart/2005/8/layout/radial1"/>
    <dgm:cxn modelId="{9981D527-1D3D-46B9-BB8D-1C2FD54BF546}" type="presOf" srcId="{1F1222A5-F909-42B9-98F4-13F784A7559B}" destId="{BE8E4599-1862-4C45-A97D-90997DA00062}" srcOrd="0" destOrd="0" presId="urn:microsoft.com/office/officeart/2005/8/layout/radial1"/>
    <dgm:cxn modelId="{8FD69E34-2637-433C-A951-337FB8EFCE22}" type="presOf" srcId="{BAC517CA-85BF-48ED-BCCB-17674F2C8ABB}" destId="{01BA0FB8-295C-4FC2-A2BA-369992224BDB}" srcOrd="0" destOrd="0" presId="urn:microsoft.com/office/officeart/2005/8/layout/radial1"/>
    <dgm:cxn modelId="{87DB43CE-BE69-4706-9441-3CF797872997}" type="presOf" srcId="{38A54430-9CC2-4370-97CD-706309BE6B16}" destId="{20BCD183-0CB7-4BF1-A4CB-03D64F28C009}" srcOrd="1" destOrd="0" presId="urn:microsoft.com/office/officeart/2005/8/layout/radial1"/>
    <dgm:cxn modelId="{73F2FF20-A25F-4B2C-94D7-AAB0AEA320B2}" type="presOf" srcId="{BE41DC28-BC7E-48A3-9D42-FBB596489A91}" destId="{8BC19D2D-7942-4722-A94D-D9262056F5EF}" srcOrd="0" destOrd="0" presId="urn:microsoft.com/office/officeart/2005/8/layout/radial1"/>
    <dgm:cxn modelId="{849DFDD6-4BEF-4939-972F-2A72A5416ED0}" type="presOf" srcId="{100975D9-0454-4832-8920-292C6757799C}" destId="{A293BDCA-8B09-417C-AC62-BE411F2725AB}" srcOrd="0" destOrd="0" presId="urn:microsoft.com/office/officeart/2005/8/layout/radial1"/>
    <dgm:cxn modelId="{11576E34-BDAE-4BD1-BE8C-C41073B6B5A0}" srcId="{0F566387-CA12-4F9B-9B60-8D500B8DB7DF}" destId="{7F9CBF3E-DE48-4331-B5FB-185AD97310FF}" srcOrd="3" destOrd="0" parTransId="{A837DAC0-ED03-412D-8617-51059F3E4284}" sibTransId="{F7B04EB7-19B7-44BC-BA11-4635FC924D75}"/>
    <dgm:cxn modelId="{6FBD647F-EB12-4855-BB73-E7E5712E13BD}" type="presOf" srcId="{FD795001-6B38-46B6-8900-5CCDC67D3F51}" destId="{D3C2644F-EB46-4A4A-90C6-9E8F01D844B7}" srcOrd="1" destOrd="0" presId="urn:microsoft.com/office/officeart/2005/8/layout/radial1"/>
    <dgm:cxn modelId="{478D1EFB-C40B-4489-82D9-50FB51E7DFA4}" srcId="{9CA4C310-DF57-4306-9003-7FD846D48563}" destId="{0F566387-CA12-4F9B-9B60-8D500B8DB7DF}" srcOrd="0" destOrd="0" parTransId="{3109B412-AA3D-40B0-B89C-917F13E2AFA9}" sibTransId="{779A137F-7F50-4E44-92E6-FEA8B3FDDC3B}"/>
    <dgm:cxn modelId="{A0AC8C42-3ACB-4D4A-9284-4E8E862B08FC}" srcId="{0F566387-CA12-4F9B-9B60-8D500B8DB7DF}" destId="{2B985AB2-9054-42E5-85A1-53D27A766648}" srcOrd="4" destOrd="0" parTransId="{FD795001-6B38-46B6-8900-5CCDC67D3F51}" sibTransId="{C955F5E8-5954-42CB-AE27-7D8931EB59ED}"/>
    <dgm:cxn modelId="{28288616-610B-4B7D-8A18-6CFB65F9AC23}" type="presOf" srcId="{0F566387-CA12-4F9B-9B60-8D500B8DB7DF}" destId="{25FFD994-21C4-4F37-AC6C-EB6B200C6EC2}" srcOrd="0" destOrd="0" presId="urn:microsoft.com/office/officeart/2005/8/layout/radial1"/>
    <dgm:cxn modelId="{8DAC28D1-D680-4D74-8804-9D5CBA38CCFE}" type="presOf" srcId="{FD795001-6B38-46B6-8900-5CCDC67D3F51}" destId="{E4933B61-9AA0-4985-85C3-5B235496B223}" srcOrd="0" destOrd="0" presId="urn:microsoft.com/office/officeart/2005/8/layout/radial1"/>
    <dgm:cxn modelId="{501D2672-BC05-4FAF-94ED-FA806B929B7B}" type="presOf" srcId="{38A54430-9CC2-4370-97CD-706309BE6B16}" destId="{DDBFD164-1205-4C2A-A2A8-B35FBC535B38}" srcOrd="0" destOrd="0" presId="urn:microsoft.com/office/officeart/2005/8/layout/radial1"/>
    <dgm:cxn modelId="{5F341F3C-A5CF-4B61-A360-B37F55AD02D1}" type="presOf" srcId="{2B985AB2-9054-42E5-85A1-53D27A766648}" destId="{B0B8383A-C3CD-4E5A-A2F9-171457A36D30}" srcOrd="0" destOrd="0" presId="urn:microsoft.com/office/officeart/2005/8/layout/radial1"/>
    <dgm:cxn modelId="{80520032-A8B1-4F24-AFAA-25A1353C133F}" type="presOf" srcId="{9CA4C310-DF57-4306-9003-7FD846D48563}" destId="{B53AD199-BFAA-4C79-BA80-03D57CD0E128}" srcOrd="0" destOrd="0" presId="urn:microsoft.com/office/officeart/2005/8/layout/radial1"/>
    <dgm:cxn modelId="{6D760D2A-0997-4B2A-9D98-50BC9B6674FA}" type="presOf" srcId="{A837DAC0-ED03-412D-8617-51059F3E4284}" destId="{B2277E38-1BD9-4084-89AD-47640DD60BF0}" srcOrd="0" destOrd="0" presId="urn:microsoft.com/office/officeart/2005/8/layout/radial1"/>
    <dgm:cxn modelId="{D81D2273-2C1A-47CF-B5E2-4EC222E38FDE}" srcId="{0F566387-CA12-4F9B-9B60-8D500B8DB7DF}" destId="{100975D9-0454-4832-8920-292C6757799C}" srcOrd="2" destOrd="0" parTransId="{05A37F55-2CB1-4C51-B83E-289E1DB269BC}" sibTransId="{9EA09F8E-6E2B-4409-9D94-AFEC67E3A941}"/>
    <dgm:cxn modelId="{2185A3A1-AF11-4352-BE62-773084915623}" type="presOf" srcId="{05A37F55-2CB1-4C51-B83E-289E1DB269BC}" destId="{1610B486-789E-4E55-BA6A-76C522555CF8}" srcOrd="1" destOrd="0" presId="urn:microsoft.com/office/officeart/2005/8/layout/radial1"/>
    <dgm:cxn modelId="{C060C5B5-114B-4CFB-8F97-BA1528662170}" type="presOf" srcId="{7F9CBF3E-DE48-4331-B5FB-185AD97310FF}" destId="{FBE2EE26-8EC9-465F-9916-67D100402BF0}" srcOrd="0" destOrd="0" presId="urn:microsoft.com/office/officeart/2005/8/layout/radial1"/>
    <dgm:cxn modelId="{DE2E8945-D321-49FC-99C2-2B9173F1239F}" type="presOf" srcId="{A837DAC0-ED03-412D-8617-51059F3E4284}" destId="{4A256815-5F82-4BDC-AF85-A27EAB3ECB37}" srcOrd="1" destOrd="0" presId="urn:microsoft.com/office/officeart/2005/8/layout/radial1"/>
    <dgm:cxn modelId="{4315DCF6-6912-48A3-B125-AFEFBC0F20E2}" type="presOf" srcId="{05A37F55-2CB1-4C51-B83E-289E1DB269BC}" destId="{24A9B976-6BBC-4918-9D1E-488A06196256}" srcOrd="0" destOrd="0" presId="urn:microsoft.com/office/officeart/2005/8/layout/radial1"/>
    <dgm:cxn modelId="{2C2D516E-D96F-425F-8CF6-1D35C6D6445B}" srcId="{0F566387-CA12-4F9B-9B60-8D500B8DB7DF}" destId="{BAC517CA-85BF-48ED-BCCB-17674F2C8ABB}" srcOrd="1" destOrd="0" parTransId="{BE41DC28-BC7E-48A3-9D42-FBB596489A91}" sibTransId="{A787D374-BFF4-4324-B1B1-5B7579072F4E}"/>
    <dgm:cxn modelId="{3A4FAD48-D00B-46E3-87D8-5871C15E590A}" srcId="{0F566387-CA12-4F9B-9B60-8D500B8DB7DF}" destId="{1F1222A5-F909-42B9-98F4-13F784A7559B}" srcOrd="0" destOrd="0" parTransId="{38A54430-9CC2-4370-97CD-706309BE6B16}" sibTransId="{A8C0CE27-C223-42B4-B588-B83FC5EA45F8}"/>
    <dgm:cxn modelId="{99D97D7D-D1CE-4C0D-BBBE-FD711B5AC035}" type="presParOf" srcId="{B53AD199-BFAA-4C79-BA80-03D57CD0E128}" destId="{25FFD994-21C4-4F37-AC6C-EB6B200C6EC2}" srcOrd="0" destOrd="0" presId="urn:microsoft.com/office/officeart/2005/8/layout/radial1"/>
    <dgm:cxn modelId="{2FC84F5B-4D16-4ED8-9BC7-A2B71ECD8854}" type="presParOf" srcId="{B53AD199-BFAA-4C79-BA80-03D57CD0E128}" destId="{DDBFD164-1205-4C2A-A2A8-B35FBC535B38}" srcOrd="1" destOrd="0" presId="urn:microsoft.com/office/officeart/2005/8/layout/radial1"/>
    <dgm:cxn modelId="{822550E2-836C-4D99-A066-DDE0866F9B13}" type="presParOf" srcId="{DDBFD164-1205-4C2A-A2A8-B35FBC535B38}" destId="{20BCD183-0CB7-4BF1-A4CB-03D64F28C009}" srcOrd="0" destOrd="0" presId="urn:microsoft.com/office/officeart/2005/8/layout/radial1"/>
    <dgm:cxn modelId="{C097DA99-7404-4132-B00B-AB142DA27E7D}" type="presParOf" srcId="{B53AD199-BFAA-4C79-BA80-03D57CD0E128}" destId="{BE8E4599-1862-4C45-A97D-90997DA00062}" srcOrd="2" destOrd="0" presId="urn:microsoft.com/office/officeart/2005/8/layout/radial1"/>
    <dgm:cxn modelId="{0FED7C2C-8062-4800-B047-4AA38A4E88A6}" type="presParOf" srcId="{B53AD199-BFAA-4C79-BA80-03D57CD0E128}" destId="{8BC19D2D-7942-4722-A94D-D9262056F5EF}" srcOrd="3" destOrd="0" presId="urn:microsoft.com/office/officeart/2005/8/layout/radial1"/>
    <dgm:cxn modelId="{25BDFC5B-F9A8-4481-B368-F22A43593875}" type="presParOf" srcId="{8BC19D2D-7942-4722-A94D-D9262056F5EF}" destId="{8A90B517-B2F6-42C0-A1F5-A6A74C4A5DC6}" srcOrd="0" destOrd="0" presId="urn:microsoft.com/office/officeart/2005/8/layout/radial1"/>
    <dgm:cxn modelId="{BE8AB0AE-5589-4E70-AE1A-FF8353AC32DD}" type="presParOf" srcId="{B53AD199-BFAA-4C79-BA80-03D57CD0E128}" destId="{01BA0FB8-295C-4FC2-A2BA-369992224BDB}" srcOrd="4" destOrd="0" presId="urn:microsoft.com/office/officeart/2005/8/layout/radial1"/>
    <dgm:cxn modelId="{B1B7AD98-F768-4C0B-8424-9411041B1C45}" type="presParOf" srcId="{B53AD199-BFAA-4C79-BA80-03D57CD0E128}" destId="{24A9B976-6BBC-4918-9D1E-488A06196256}" srcOrd="5" destOrd="0" presId="urn:microsoft.com/office/officeart/2005/8/layout/radial1"/>
    <dgm:cxn modelId="{EE4713FE-9DD1-48B6-91F6-5878DE29FBC7}" type="presParOf" srcId="{24A9B976-6BBC-4918-9D1E-488A06196256}" destId="{1610B486-789E-4E55-BA6A-76C522555CF8}" srcOrd="0" destOrd="0" presId="urn:microsoft.com/office/officeart/2005/8/layout/radial1"/>
    <dgm:cxn modelId="{55CA6B28-5D96-4786-A114-148DAAEA2A5B}" type="presParOf" srcId="{B53AD199-BFAA-4C79-BA80-03D57CD0E128}" destId="{A293BDCA-8B09-417C-AC62-BE411F2725AB}" srcOrd="6" destOrd="0" presId="urn:microsoft.com/office/officeart/2005/8/layout/radial1"/>
    <dgm:cxn modelId="{04FD9449-6296-41E0-9DCA-39259D356BEF}" type="presParOf" srcId="{B53AD199-BFAA-4C79-BA80-03D57CD0E128}" destId="{B2277E38-1BD9-4084-89AD-47640DD60BF0}" srcOrd="7" destOrd="0" presId="urn:microsoft.com/office/officeart/2005/8/layout/radial1"/>
    <dgm:cxn modelId="{83726835-A8C3-4107-B7AA-A6614168D6AD}" type="presParOf" srcId="{B2277E38-1BD9-4084-89AD-47640DD60BF0}" destId="{4A256815-5F82-4BDC-AF85-A27EAB3ECB37}" srcOrd="0" destOrd="0" presId="urn:microsoft.com/office/officeart/2005/8/layout/radial1"/>
    <dgm:cxn modelId="{9F555674-6D79-47EE-9B76-FCF0F2F79F6E}" type="presParOf" srcId="{B53AD199-BFAA-4C79-BA80-03D57CD0E128}" destId="{FBE2EE26-8EC9-465F-9916-67D100402BF0}" srcOrd="8" destOrd="0" presId="urn:microsoft.com/office/officeart/2005/8/layout/radial1"/>
    <dgm:cxn modelId="{BCE89EA8-C551-442C-9127-E548ADFA28C9}" type="presParOf" srcId="{B53AD199-BFAA-4C79-BA80-03D57CD0E128}" destId="{E4933B61-9AA0-4985-85C3-5B235496B223}" srcOrd="9" destOrd="0" presId="urn:microsoft.com/office/officeart/2005/8/layout/radial1"/>
    <dgm:cxn modelId="{77E5F31C-2987-44F5-88D2-FE7E6AEE75C2}" type="presParOf" srcId="{E4933B61-9AA0-4985-85C3-5B235496B223}" destId="{D3C2644F-EB46-4A4A-90C6-9E8F01D844B7}" srcOrd="0" destOrd="0" presId="urn:microsoft.com/office/officeart/2005/8/layout/radial1"/>
    <dgm:cxn modelId="{9843C797-88B6-4271-B75D-97E82C9566E1}" type="presParOf" srcId="{B53AD199-BFAA-4C79-BA80-03D57CD0E128}" destId="{B0B8383A-C3CD-4E5A-A2F9-171457A36D30}" srcOrd="10" destOrd="0" presId="urn:microsoft.com/office/officeart/2005/8/layout/radial1"/>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681F551-D444-4F7B-9947-F8AF7605F63B}" type="doc">
      <dgm:prSet loTypeId="urn:microsoft.com/office/officeart/2005/8/layout/pyramid2" loCatId="pyramid" qsTypeId="urn:microsoft.com/office/officeart/2005/8/quickstyle/simple1" qsCatId="simple" csTypeId="urn:microsoft.com/office/officeart/2005/8/colors/accent5_2" csCatId="accent5" phldr="1"/>
      <dgm:spPr/>
    </dgm:pt>
    <dgm:pt modelId="{E5D4793C-DBF9-4ADB-A433-FB11B4C63E7D}">
      <dgm:prSet phldrT="[Tekst]" custT="1"/>
      <dgm:spPr/>
      <dgm:t>
        <a:bodyPr/>
        <a:lstStyle/>
        <a:p>
          <a:r>
            <a:rPr lang="pl-PL" sz="1100"/>
            <a:t>Jeden </a:t>
          </a:r>
          <a:r>
            <a:rPr lang="pl-PL" sz="1100" b="1"/>
            <a:t>cel nadrzędny</a:t>
          </a:r>
          <a:r>
            <a:rPr lang="pl-PL" sz="1100"/>
            <a:t>, który nawiązuje do wizji rozwoju i przyświecał formułowaniu celów strategicznych</a:t>
          </a:r>
        </a:p>
      </dgm:t>
    </dgm:pt>
    <dgm:pt modelId="{C8524CE1-B747-4142-8390-AAFFF850B725}" type="parTrans" cxnId="{F0F665B7-78D1-4360-BABF-D7339043E60E}">
      <dgm:prSet/>
      <dgm:spPr/>
      <dgm:t>
        <a:bodyPr/>
        <a:lstStyle/>
        <a:p>
          <a:endParaRPr lang="pl-PL"/>
        </a:p>
      </dgm:t>
    </dgm:pt>
    <dgm:pt modelId="{721DC802-14DC-4A04-BA28-D34EAFF0D7E8}" type="sibTrans" cxnId="{F0F665B7-78D1-4360-BABF-D7339043E60E}">
      <dgm:prSet/>
      <dgm:spPr/>
      <dgm:t>
        <a:bodyPr/>
        <a:lstStyle/>
        <a:p>
          <a:endParaRPr lang="pl-PL"/>
        </a:p>
      </dgm:t>
    </dgm:pt>
    <dgm:pt modelId="{512C83D5-6FDE-4F36-8369-BB00AC9AEC30}">
      <dgm:prSet phldrT="[Tekst]" custT="1"/>
      <dgm:spPr/>
      <dgm:t>
        <a:bodyPr/>
        <a:lstStyle/>
        <a:p>
          <a:r>
            <a:rPr lang="pl-PL" sz="1100"/>
            <a:t>Cztery </a:t>
          </a:r>
          <a:r>
            <a:rPr lang="pl-PL" sz="1100" b="1"/>
            <a:t>cele strategiczne</a:t>
          </a:r>
          <a:r>
            <a:rPr lang="pl-PL" sz="1100"/>
            <a:t> – uwzględniają potrzebę likwidacji najważniejszych słabych stron HOF, w tym zagrożeń oraz efektywne wykorzystanie mocnych stron, w tym szans, z uwzględnieniem możliwości wsparcia finansowego przez fundusze zewnętrzne i współpracę międzysektorową. Cele strategiczne mają charakter długofalowy i zasadniczo wynikają bezpośrednio z przyjętej wizji rozwoju i są odpowiedzią na główne wyzwania rozwojowe.</a:t>
          </a:r>
        </a:p>
      </dgm:t>
    </dgm:pt>
    <dgm:pt modelId="{3C795ED4-B88D-4114-BFD2-A4991B33FB45}" type="parTrans" cxnId="{D2A756B2-D7A7-4D05-8618-BF74D61ADE6B}">
      <dgm:prSet/>
      <dgm:spPr/>
      <dgm:t>
        <a:bodyPr/>
        <a:lstStyle/>
        <a:p>
          <a:endParaRPr lang="pl-PL"/>
        </a:p>
      </dgm:t>
    </dgm:pt>
    <dgm:pt modelId="{F5155D03-EF04-4432-83D0-449F1CFFA770}" type="sibTrans" cxnId="{D2A756B2-D7A7-4D05-8618-BF74D61ADE6B}">
      <dgm:prSet/>
      <dgm:spPr/>
      <dgm:t>
        <a:bodyPr/>
        <a:lstStyle/>
        <a:p>
          <a:endParaRPr lang="pl-PL"/>
        </a:p>
      </dgm:t>
    </dgm:pt>
    <dgm:pt modelId="{21E14084-07EE-4C95-A600-82E587122CFB}">
      <dgm:prSet phldrT="[Tekst]" custT="1"/>
      <dgm:spPr/>
      <dgm:t>
        <a:bodyPr/>
        <a:lstStyle/>
        <a:p>
          <a:r>
            <a:rPr lang="pl-PL" sz="1100" b="1"/>
            <a:t>Cele szczegółowe (operacyjne)</a:t>
          </a:r>
          <a:r>
            <a:rPr lang="pl-PL" sz="1100"/>
            <a:t> – wynikają z celów strategicznych i ich zamysłem jest określenie zadania lub grupy zadań w wybranych dziedzinach koniecznych do podejmowania inwestycji na rzecz rozwoju obszaru HOF. Dotyczą one średniego horyzontu czasowego.</a:t>
          </a:r>
        </a:p>
      </dgm:t>
    </dgm:pt>
    <dgm:pt modelId="{3D296999-2055-47B5-BBB5-4DF11770994E}" type="parTrans" cxnId="{AA6FE1B0-719B-42C3-A089-06B7EDE48C63}">
      <dgm:prSet/>
      <dgm:spPr/>
      <dgm:t>
        <a:bodyPr/>
        <a:lstStyle/>
        <a:p>
          <a:endParaRPr lang="pl-PL"/>
        </a:p>
      </dgm:t>
    </dgm:pt>
    <dgm:pt modelId="{9CE9E042-7443-4322-B9CD-9B42CDBD82A3}" type="sibTrans" cxnId="{AA6FE1B0-719B-42C3-A089-06B7EDE48C63}">
      <dgm:prSet/>
      <dgm:spPr/>
      <dgm:t>
        <a:bodyPr/>
        <a:lstStyle/>
        <a:p>
          <a:endParaRPr lang="pl-PL"/>
        </a:p>
      </dgm:t>
    </dgm:pt>
    <dgm:pt modelId="{47CED44F-D20C-4889-8163-2047D552987F}" type="pres">
      <dgm:prSet presAssocID="{F681F551-D444-4F7B-9947-F8AF7605F63B}" presName="compositeShape" presStyleCnt="0">
        <dgm:presLayoutVars>
          <dgm:dir/>
          <dgm:resizeHandles/>
        </dgm:presLayoutVars>
      </dgm:prSet>
      <dgm:spPr/>
    </dgm:pt>
    <dgm:pt modelId="{A74B7870-85D3-4E87-9B0B-E1F34E30348E}" type="pres">
      <dgm:prSet presAssocID="{F681F551-D444-4F7B-9947-F8AF7605F63B}" presName="pyramid" presStyleLbl="node1" presStyleIdx="0" presStyleCnt="1" custLinFactNeighborX="28770" custLinFactNeighborY="3175"/>
      <dgm:spPr/>
    </dgm:pt>
    <dgm:pt modelId="{741C5787-5A41-4EBA-9D74-4E6620F06DD0}" type="pres">
      <dgm:prSet presAssocID="{F681F551-D444-4F7B-9947-F8AF7605F63B}" presName="theList" presStyleCnt="0"/>
      <dgm:spPr/>
    </dgm:pt>
    <dgm:pt modelId="{243A9B19-00E9-4506-9DE1-0F61D1625C82}" type="pres">
      <dgm:prSet presAssocID="{E5D4793C-DBF9-4ADB-A433-FB11B4C63E7D}" presName="aNode" presStyleLbl="fgAcc1" presStyleIdx="0" presStyleCnt="3" custScaleX="246079" custLinFactNeighborX="-6497" custLinFactNeighborY="53644">
        <dgm:presLayoutVars>
          <dgm:bulletEnabled val="1"/>
        </dgm:presLayoutVars>
      </dgm:prSet>
      <dgm:spPr/>
      <dgm:t>
        <a:bodyPr/>
        <a:lstStyle/>
        <a:p>
          <a:endParaRPr lang="pl-PL"/>
        </a:p>
      </dgm:t>
    </dgm:pt>
    <dgm:pt modelId="{8EB4432C-5179-4FB3-8757-159E13665D80}" type="pres">
      <dgm:prSet presAssocID="{E5D4793C-DBF9-4ADB-A433-FB11B4C63E7D}" presName="aSpace" presStyleCnt="0"/>
      <dgm:spPr/>
    </dgm:pt>
    <dgm:pt modelId="{31D26ECE-922E-4282-9661-5040FE4458F6}" type="pres">
      <dgm:prSet presAssocID="{512C83D5-6FDE-4F36-8369-BB00AC9AEC30}" presName="aNode" presStyleLbl="fgAcc1" presStyleIdx="1" presStyleCnt="3" custScaleX="247618" custScaleY="147840" custLinFactNeighborX="-5444" custLinFactNeighborY="67832">
        <dgm:presLayoutVars>
          <dgm:bulletEnabled val="1"/>
        </dgm:presLayoutVars>
      </dgm:prSet>
      <dgm:spPr/>
      <dgm:t>
        <a:bodyPr/>
        <a:lstStyle/>
        <a:p>
          <a:endParaRPr lang="pl-PL"/>
        </a:p>
      </dgm:t>
    </dgm:pt>
    <dgm:pt modelId="{AD1D7C45-ACF6-4F32-BB30-FCA4C81D52BA}" type="pres">
      <dgm:prSet presAssocID="{512C83D5-6FDE-4F36-8369-BB00AC9AEC30}" presName="aSpace" presStyleCnt="0"/>
      <dgm:spPr/>
    </dgm:pt>
    <dgm:pt modelId="{C0A74882-5503-49FB-A48B-9BD97FD78BDD}" type="pres">
      <dgm:prSet presAssocID="{21E14084-07EE-4C95-A600-82E587122CFB}" presName="aNode" presStyleLbl="fgAcc1" presStyleIdx="2" presStyleCnt="3" custScaleX="247479" custLinFactY="5102" custLinFactNeighborX="-4726" custLinFactNeighborY="100000">
        <dgm:presLayoutVars>
          <dgm:bulletEnabled val="1"/>
        </dgm:presLayoutVars>
      </dgm:prSet>
      <dgm:spPr/>
      <dgm:t>
        <a:bodyPr/>
        <a:lstStyle/>
        <a:p>
          <a:endParaRPr lang="pl-PL"/>
        </a:p>
      </dgm:t>
    </dgm:pt>
    <dgm:pt modelId="{989811F9-27A4-4AE2-918A-AC8DAEAE1892}" type="pres">
      <dgm:prSet presAssocID="{21E14084-07EE-4C95-A600-82E587122CFB}" presName="aSpace" presStyleCnt="0"/>
      <dgm:spPr/>
    </dgm:pt>
  </dgm:ptLst>
  <dgm:cxnLst>
    <dgm:cxn modelId="{1A46A309-6018-4B68-8449-129222A7911E}" type="presOf" srcId="{512C83D5-6FDE-4F36-8369-BB00AC9AEC30}" destId="{31D26ECE-922E-4282-9661-5040FE4458F6}" srcOrd="0" destOrd="0" presId="urn:microsoft.com/office/officeart/2005/8/layout/pyramid2"/>
    <dgm:cxn modelId="{AA6FE1B0-719B-42C3-A089-06B7EDE48C63}" srcId="{F681F551-D444-4F7B-9947-F8AF7605F63B}" destId="{21E14084-07EE-4C95-A600-82E587122CFB}" srcOrd="2" destOrd="0" parTransId="{3D296999-2055-47B5-BBB5-4DF11770994E}" sibTransId="{9CE9E042-7443-4322-B9CD-9B42CDBD82A3}"/>
    <dgm:cxn modelId="{D306DBBE-1773-4199-BB75-1F68704F818B}" type="presOf" srcId="{F681F551-D444-4F7B-9947-F8AF7605F63B}" destId="{47CED44F-D20C-4889-8163-2047D552987F}" srcOrd="0" destOrd="0" presId="urn:microsoft.com/office/officeart/2005/8/layout/pyramid2"/>
    <dgm:cxn modelId="{D2A756B2-D7A7-4D05-8618-BF74D61ADE6B}" srcId="{F681F551-D444-4F7B-9947-F8AF7605F63B}" destId="{512C83D5-6FDE-4F36-8369-BB00AC9AEC30}" srcOrd="1" destOrd="0" parTransId="{3C795ED4-B88D-4114-BFD2-A4991B33FB45}" sibTransId="{F5155D03-EF04-4432-83D0-449F1CFFA770}"/>
    <dgm:cxn modelId="{F0F665B7-78D1-4360-BABF-D7339043E60E}" srcId="{F681F551-D444-4F7B-9947-F8AF7605F63B}" destId="{E5D4793C-DBF9-4ADB-A433-FB11B4C63E7D}" srcOrd="0" destOrd="0" parTransId="{C8524CE1-B747-4142-8390-AAFFF850B725}" sibTransId="{721DC802-14DC-4A04-BA28-D34EAFF0D7E8}"/>
    <dgm:cxn modelId="{9BA22767-EAF0-44C1-8D45-20C7971FC266}" type="presOf" srcId="{E5D4793C-DBF9-4ADB-A433-FB11B4C63E7D}" destId="{243A9B19-00E9-4506-9DE1-0F61D1625C82}" srcOrd="0" destOrd="0" presId="urn:microsoft.com/office/officeart/2005/8/layout/pyramid2"/>
    <dgm:cxn modelId="{0D9857E0-3842-4B2E-94FC-9799E52ED2CA}" type="presOf" srcId="{21E14084-07EE-4C95-A600-82E587122CFB}" destId="{C0A74882-5503-49FB-A48B-9BD97FD78BDD}" srcOrd="0" destOrd="0" presId="urn:microsoft.com/office/officeart/2005/8/layout/pyramid2"/>
    <dgm:cxn modelId="{63EF31AE-37B7-495C-85D5-61B5B13BB873}" type="presParOf" srcId="{47CED44F-D20C-4889-8163-2047D552987F}" destId="{A74B7870-85D3-4E87-9B0B-E1F34E30348E}" srcOrd="0" destOrd="0" presId="urn:microsoft.com/office/officeart/2005/8/layout/pyramid2"/>
    <dgm:cxn modelId="{F807307C-34AE-47F8-A8A3-14D2CB89A6BD}" type="presParOf" srcId="{47CED44F-D20C-4889-8163-2047D552987F}" destId="{741C5787-5A41-4EBA-9D74-4E6620F06DD0}" srcOrd="1" destOrd="0" presId="urn:microsoft.com/office/officeart/2005/8/layout/pyramid2"/>
    <dgm:cxn modelId="{AC4D1A4D-1393-4717-8793-0950803395AA}" type="presParOf" srcId="{741C5787-5A41-4EBA-9D74-4E6620F06DD0}" destId="{243A9B19-00E9-4506-9DE1-0F61D1625C82}" srcOrd="0" destOrd="0" presId="urn:microsoft.com/office/officeart/2005/8/layout/pyramid2"/>
    <dgm:cxn modelId="{47712069-1A3A-4906-B69F-A4EF43DFB1CD}" type="presParOf" srcId="{741C5787-5A41-4EBA-9D74-4E6620F06DD0}" destId="{8EB4432C-5179-4FB3-8757-159E13665D80}" srcOrd="1" destOrd="0" presId="urn:microsoft.com/office/officeart/2005/8/layout/pyramid2"/>
    <dgm:cxn modelId="{30378D0A-0D72-4502-B9C6-DAB5F9C97920}" type="presParOf" srcId="{741C5787-5A41-4EBA-9D74-4E6620F06DD0}" destId="{31D26ECE-922E-4282-9661-5040FE4458F6}" srcOrd="2" destOrd="0" presId="urn:microsoft.com/office/officeart/2005/8/layout/pyramid2"/>
    <dgm:cxn modelId="{25C0CB4E-747C-4765-906B-AFF3D97A17C7}" type="presParOf" srcId="{741C5787-5A41-4EBA-9D74-4E6620F06DD0}" destId="{AD1D7C45-ACF6-4F32-BB30-FCA4C81D52BA}" srcOrd="3" destOrd="0" presId="urn:microsoft.com/office/officeart/2005/8/layout/pyramid2"/>
    <dgm:cxn modelId="{1C767101-694B-420C-B139-0B8C13FFBDC3}" type="presParOf" srcId="{741C5787-5A41-4EBA-9D74-4E6620F06DD0}" destId="{C0A74882-5503-49FB-A48B-9BD97FD78BDD}" srcOrd="4" destOrd="0" presId="urn:microsoft.com/office/officeart/2005/8/layout/pyramid2"/>
    <dgm:cxn modelId="{8A94B34E-2C2A-452A-8DE8-EF8B78C8B00F}" type="presParOf" srcId="{741C5787-5A41-4EBA-9D74-4E6620F06DD0}" destId="{989811F9-27A4-4AE2-918A-AC8DAEAE1892}" srcOrd="5" destOrd="0" presId="urn:microsoft.com/office/officeart/2005/8/layout/pyramid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F73EFAE-F060-4B65-B64A-C328D4EE91B6}" type="doc">
      <dgm:prSet loTypeId="urn:microsoft.com/office/officeart/2005/8/layout/pyramid2" loCatId="pyramid" qsTypeId="urn:microsoft.com/office/officeart/2005/8/quickstyle/simple1" qsCatId="simple" csTypeId="urn:microsoft.com/office/officeart/2005/8/colors/accent5_2" csCatId="accent5" phldr="1"/>
      <dgm:spPr/>
    </dgm:pt>
    <dgm:pt modelId="{4AEC5F67-15E5-47AE-8E5B-66503B337239}">
      <dgm:prSet phldrT="[Tekst]" custT="1"/>
      <dgm:spPr/>
      <dgm:t>
        <a:bodyPr/>
        <a:lstStyle/>
        <a:p>
          <a:r>
            <a:rPr lang="pl-PL" sz="1100" b="1"/>
            <a:t>Działania</a:t>
          </a:r>
          <a:r>
            <a:rPr lang="pl-PL" sz="1100"/>
            <a:t> – stanowiące wiązki przedsięwzięć budujących kierunki działań. Jest to zabieg ułatwiający przypisanie kierunku działań do odpowiedniego celu oraz zwiększenie czytelności dokumentu.</a:t>
          </a:r>
        </a:p>
      </dgm:t>
    </dgm:pt>
    <dgm:pt modelId="{7B6A2BD3-AB80-4D83-BE19-8B0A8CFA2674}" type="parTrans" cxnId="{AC301507-5D31-4710-B8FF-46ED59536A14}">
      <dgm:prSet/>
      <dgm:spPr/>
      <dgm:t>
        <a:bodyPr/>
        <a:lstStyle/>
        <a:p>
          <a:endParaRPr lang="pl-PL"/>
        </a:p>
      </dgm:t>
    </dgm:pt>
    <dgm:pt modelId="{9AFA233F-CC03-4BC9-A48F-C34BA699143A}" type="sibTrans" cxnId="{AC301507-5D31-4710-B8FF-46ED59536A14}">
      <dgm:prSet/>
      <dgm:spPr/>
      <dgm:t>
        <a:bodyPr/>
        <a:lstStyle/>
        <a:p>
          <a:endParaRPr lang="pl-PL"/>
        </a:p>
      </dgm:t>
    </dgm:pt>
    <dgm:pt modelId="{F24F4DB7-2A31-42AF-B821-533861E09D82}">
      <dgm:prSet phldrT="[Tekst]" custT="1"/>
      <dgm:spPr/>
      <dgm:t>
        <a:bodyPr/>
        <a:lstStyle/>
        <a:p>
          <a:r>
            <a:rPr lang="pl-PL" sz="1100" b="1"/>
            <a:t>Kierunki działań</a:t>
          </a:r>
          <a:r>
            <a:rPr lang="pl-PL" sz="1100"/>
            <a:t> - są to konkretne przedsięwzięcia i zadania, które należałoby realizować, aby wdrożyć cele szczegółowe Strategii.</a:t>
          </a:r>
        </a:p>
      </dgm:t>
    </dgm:pt>
    <dgm:pt modelId="{E965549E-60A8-40B2-845B-5381DCF5B979}" type="parTrans" cxnId="{69C4C033-4F7A-4AEB-8B80-4F0841BF68AE}">
      <dgm:prSet/>
      <dgm:spPr/>
      <dgm:t>
        <a:bodyPr/>
        <a:lstStyle/>
        <a:p>
          <a:endParaRPr lang="pl-PL"/>
        </a:p>
      </dgm:t>
    </dgm:pt>
    <dgm:pt modelId="{2D38DB2F-E4DC-45CB-891A-4921C7B03461}" type="sibTrans" cxnId="{69C4C033-4F7A-4AEB-8B80-4F0841BF68AE}">
      <dgm:prSet/>
      <dgm:spPr/>
      <dgm:t>
        <a:bodyPr/>
        <a:lstStyle/>
        <a:p>
          <a:endParaRPr lang="pl-PL"/>
        </a:p>
      </dgm:t>
    </dgm:pt>
    <dgm:pt modelId="{3F84247F-9D77-46E4-8396-A01C87D4F86D}" type="pres">
      <dgm:prSet presAssocID="{0F73EFAE-F060-4B65-B64A-C328D4EE91B6}" presName="compositeShape" presStyleCnt="0">
        <dgm:presLayoutVars>
          <dgm:dir/>
          <dgm:resizeHandles/>
        </dgm:presLayoutVars>
      </dgm:prSet>
      <dgm:spPr/>
    </dgm:pt>
    <dgm:pt modelId="{73A74C8A-A638-4E59-8366-02085ABC7CA0}" type="pres">
      <dgm:prSet presAssocID="{0F73EFAE-F060-4B65-B64A-C328D4EE91B6}" presName="pyramid" presStyleLbl="node1" presStyleIdx="0" presStyleCnt="1" custLinFactNeighborX="27381"/>
      <dgm:spPr/>
    </dgm:pt>
    <dgm:pt modelId="{278895E2-FF90-4D1A-B43F-D74C35080D09}" type="pres">
      <dgm:prSet presAssocID="{0F73EFAE-F060-4B65-B64A-C328D4EE91B6}" presName="theList" presStyleCnt="0"/>
      <dgm:spPr/>
    </dgm:pt>
    <dgm:pt modelId="{D9ECE521-5830-4352-9AA3-A3D5C36878FE}" type="pres">
      <dgm:prSet presAssocID="{4AEC5F67-15E5-47AE-8E5B-66503B337239}" presName="aNode" presStyleLbl="fgAcc1" presStyleIdx="0" presStyleCnt="2" custScaleX="248895" custScaleY="34852" custLinFactY="1141" custLinFactNeighborX="-8546" custLinFactNeighborY="100000">
        <dgm:presLayoutVars>
          <dgm:bulletEnabled val="1"/>
        </dgm:presLayoutVars>
      </dgm:prSet>
      <dgm:spPr/>
      <dgm:t>
        <a:bodyPr/>
        <a:lstStyle/>
        <a:p>
          <a:endParaRPr lang="pl-PL"/>
        </a:p>
      </dgm:t>
    </dgm:pt>
    <dgm:pt modelId="{9CDA4CF6-FAC7-4D0C-A5C2-F66FA04C8821}" type="pres">
      <dgm:prSet presAssocID="{4AEC5F67-15E5-47AE-8E5B-66503B337239}" presName="aSpace" presStyleCnt="0"/>
      <dgm:spPr/>
    </dgm:pt>
    <dgm:pt modelId="{4CCEE1B7-3560-4583-A021-3076854F7618}" type="pres">
      <dgm:prSet presAssocID="{F24F4DB7-2A31-42AF-B821-533861E09D82}" presName="aNode" presStyleLbl="fgAcc1" presStyleIdx="1" presStyleCnt="2" custScaleX="246620" custScaleY="29396" custLinFactNeighborX="-8243" custLinFactNeighborY="93255">
        <dgm:presLayoutVars>
          <dgm:bulletEnabled val="1"/>
        </dgm:presLayoutVars>
      </dgm:prSet>
      <dgm:spPr/>
      <dgm:t>
        <a:bodyPr/>
        <a:lstStyle/>
        <a:p>
          <a:endParaRPr lang="pl-PL"/>
        </a:p>
      </dgm:t>
    </dgm:pt>
    <dgm:pt modelId="{51896ABB-4865-418D-9CEA-473137DF755A}" type="pres">
      <dgm:prSet presAssocID="{F24F4DB7-2A31-42AF-B821-533861E09D82}" presName="aSpace" presStyleCnt="0"/>
      <dgm:spPr/>
    </dgm:pt>
  </dgm:ptLst>
  <dgm:cxnLst>
    <dgm:cxn modelId="{69C4C033-4F7A-4AEB-8B80-4F0841BF68AE}" srcId="{0F73EFAE-F060-4B65-B64A-C328D4EE91B6}" destId="{F24F4DB7-2A31-42AF-B821-533861E09D82}" srcOrd="1" destOrd="0" parTransId="{E965549E-60A8-40B2-845B-5381DCF5B979}" sibTransId="{2D38DB2F-E4DC-45CB-891A-4921C7B03461}"/>
    <dgm:cxn modelId="{F44B7484-2033-4FAC-88A1-97FF13647D71}" type="presOf" srcId="{0F73EFAE-F060-4B65-B64A-C328D4EE91B6}" destId="{3F84247F-9D77-46E4-8396-A01C87D4F86D}" srcOrd="0" destOrd="0" presId="urn:microsoft.com/office/officeart/2005/8/layout/pyramid2"/>
    <dgm:cxn modelId="{AC301507-5D31-4710-B8FF-46ED59536A14}" srcId="{0F73EFAE-F060-4B65-B64A-C328D4EE91B6}" destId="{4AEC5F67-15E5-47AE-8E5B-66503B337239}" srcOrd="0" destOrd="0" parTransId="{7B6A2BD3-AB80-4D83-BE19-8B0A8CFA2674}" sibTransId="{9AFA233F-CC03-4BC9-A48F-C34BA699143A}"/>
    <dgm:cxn modelId="{DD97F43E-4108-4A8D-B22D-A5E68B2ACB03}" type="presOf" srcId="{4AEC5F67-15E5-47AE-8E5B-66503B337239}" destId="{D9ECE521-5830-4352-9AA3-A3D5C36878FE}" srcOrd="0" destOrd="0" presId="urn:microsoft.com/office/officeart/2005/8/layout/pyramid2"/>
    <dgm:cxn modelId="{A0289875-F8C8-49BB-BD27-BFC9DEAC28E7}" type="presOf" srcId="{F24F4DB7-2A31-42AF-B821-533861E09D82}" destId="{4CCEE1B7-3560-4583-A021-3076854F7618}" srcOrd="0" destOrd="0" presId="urn:microsoft.com/office/officeart/2005/8/layout/pyramid2"/>
    <dgm:cxn modelId="{1B48A87C-257B-4AE1-99B9-735BE73111A3}" type="presParOf" srcId="{3F84247F-9D77-46E4-8396-A01C87D4F86D}" destId="{73A74C8A-A638-4E59-8366-02085ABC7CA0}" srcOrd="0" destOrd="0" presId="urn:microsoft.com/office/officeart/2005/8/layout/pyramid2"/>
    <dgm:cxn modelId="{9611D3A8-17D7-4522-97BA-FD94FF90694D}" type="presParOf" srcId="{3F84247F-9D77-46E4-8396-A01C87D4F86D}" destId="{278895E2-FF90-4D1A-B43F-D74C35080D09}" srcOrd="1" destOrd="0" presId="urn:microsoft.com/office/officeart/2005/8/layout/pyramid2"/>
    <dgm:cxn modelId="{D7FE31C5-F15C-42F4-BCA9-DF74231D6A8E}" type="presParOf" srcId="{278895E2-FF90-4D1A-B43F-D74C35080D09}" destId="{D9ECE521-5830-4352-9AA3-A3D5C36878FE}" srcOrd="0" destOrd="0" presId="urn:microsoft.com/office/officeart/2005/8/layout/pyramid2"/>
    <dgm:cxn modelId="{FBA3920A-5E46-4F87-A374-DFADC5180A65}" type="presParOf" srcId="{278895E2-FF90-4D1A-B43F-D74C35080D09}" destId="{9CDA4CF6-FAC7-4D0C-A5C2-F66FA04C8821}" srcOrd="1" destOrd="0" presId="urn:microsoft.com/office/officeart/2005/8/layout/pyramid2"/>
    <dgm:cxn modelId="{B481014B-1843-4894-8C2A-EFBFA75FF0C8}" type="presParOf" srcId="{278895E2-FF90-4D1A-B43F-D74C35080D09}" destId="{4CCEE1B7-3560-4583-A021-3076854F7618}" srcOrd="2" destOrd="0" presId="urn:microsoft.com/office/officeart/2005/8/layout/pyramid2"/>
    <dgm:cxn modelId="{0D02E5C1-3806-4781-A1DE-009403B7E17B}" type="presParOf" srcId="{278895E2-FF90-4D1A-B43F-D74C35080D09}" destId="{51896ABB-4865-418D-9CEA-473137DF755A}" srcOrd="3" destOrd="0" presId="urn:microsoft.com/office/officeart/2005/8/layout/pyramid2"/>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BD85716-C4A9-44EE-A5B4-05BCB8608700}" type="doc">
      <dgm:prSet loTypeId="urn:microsoft.com/office/officeart/2005/8/layout/hierarchy3" loCatId="hierarchy" qsTypeId="urn:microsoft.com/office/officeart/2005/8/quickstyle/simple1" qsCatId="simple" csTypeId="urn:microsoft.com/office/officeart/2005/8/colors/accent2_2" csCatId="accent2" phldr="1"/>
      <dgm:spPr/>
      <dgm:t>
        <a:bodyPr/>
        <a:lstStyle/>
        <a:p>
          <a:endParaRPr lang="pl-PL"/>
        </a:p>
      </dgm:t>
    </dgm:pt>
    <dgm:pt modelId="{1DBF08C4-5F39-4007-B7A9-834AF46DCF38}">
      <dgm:prSet phldrT="[Tekst]" custT="1"/>
      <dgm:spPr/>
      <dgm:t>
        <a:bodyPr/>
        <a:lstStyle/>
        <a:p>
          <a:r>
            <a:rPr lang="pl-PL" sz="1100"/>
            <a:t>1. LEPSZA JAKOŚĆ ŻYCIA I ZINTEGROWANA SPOŁECZNOŚĆ LOKALNA</a:t>
          </a:r>
        </a:p>
      </dgm:t>
    </dgm:pt>
    <dgm:pt modelId="{1394FCAC-0BA0-443E-AB54-CAB3F5CE139F}" type="parTrans" cxnId="{E706A078-84CB-4B62-BDF0-15EFCC0942CE}">
      <dgm:prSet/>
      <dgm:spPr/>
      <dgm:t>
        <a:bodyPr/>
        <a:lstStyle/>
        <a:p>
          <a:endParaRPr lang="pl-PL"/>
        </a:p>
      </dgm:t>
    </dgm:pt>
    <dgm:pt modelId="{F765F63F-3C50-4E1B-BBB6-69ED746B2FA6}" type="sibTrans" cxnId="{E706A078-84CB-4B62-BDF0-15EFCC0942CE}">
      <dgm:prSet/>
      <dgm:spPr/>
      <dgm:t>
        <a:bodyPr/>
        <a:lstStyle/>
        <a:p>
          <a:endParaRPr lang="pl-PL"/>
        </a:p>
      </dgm:t>
    </dgm:pt>
    <dgm:pt modelId="{3AF14554-BE2D-4D6B-9E3A-98BFF31548A7}">
      <dgm:prSet phldrT="[Tekst]" custT="1"/>
      <dgm:spPr/>
      <dgm:t>
        <a:bodyPr/>
        <a:lstStyle/>
        <a:p>
          <a:pPr algn="l"/>
          <a:r>
            <a:rPr lang="pl-PL" sz="1100"/>
            <a:t>1.1 Lepsza dostępność komunikacyjna obszaru HOF</a:t>
          </a:r>
        </a:p>
      </dgm:t>
    </dgm:pt>
    <dgm:pt modelId="{86E454FF-C7B8-42FB-AA35-D5BF9E6AFFBE}" type="parTrans" cxnId="{E6CA3014-4F72-435A-812C-9F54D6C656A1}">
      <dgm:prSet/>
      <dgm:spPr/>
      <dgm:t>
        <a:bodyPr/>
        <a:lstStyle/>
        <a:p>
          <a:endParaRPr lang="pl-PL"/>
        </a:p>
      </dgm:t>
    </dgm:pt>
    <dgm:pt modelId="{AF60DCE0-D981-4CBD-BEEB-B97709B57E60}" type="sibTrans" cxnId="{E6CA3014-4F72-435A-812C-9F54D6C656A1}">
      <dgm:prSet/>
      <dgm:spPr/>
      <dgm:t>
        <a:bodyPr/>
        <a:lstStyle/>
        <a:p>
          <a:endParaRPr lang="pl-PL"/>
        </a:p>
      </dgm:t>
    </dgm:pt>
    <dgm:pt modelId="{A79452FB-1CB1-4E6D-A149-34039B8305B7}">
      <dgm:prSet phldrT="[Tekst]" custT="1"/>
      <dgm:spPr/>
      <dgm:t>
        <a:bodyPr/>
        <a:lstStyle/>
        <a:p>
          <a:pPr algn="l"/>
          <a:r>
            <a:rPr lang="pl-PL" sz="1100"/>
            <a:t>1.2 Lepszy dostęp do mieszkań oraz ich wyższy standard</a:t>
          </a:r>
        </a:p>
      </dgm:t>
    </dgm:pt>
    <dgm:pt modelId="{32BA60A3-D6BB-47D7-9578-D6695B42AE05}" type="parTrans" cxnId="{756C788C-1507-4C4F-A59E-F7DEA6A695DC}">
      <dgm:prSet/>
      <dgm:spPr/>
      <dgm:t>
        <a:bodyPr/>
        <a:lstStyle/>
        <a:p>
          <a:endParaRPr lang="pl-PL"/>
        </a:p>
      </dgm:t>
    </dgm:pt>
    <dgm:pt modelId="{23AE9A07-9AFD-41C2-B529-9970600D2E73}" type="sibTrans" cxnId="{756C788C-1507-4C4F-A59E-F7DEA6A695DC}">
      <dgm:prSet/>
      <dgm:spPr/>
      <dgm:t>
        <a:bodyPr/>
        <a:lstStyle/>
        <a:p>
          <a:endParaRPr lang="pl-PL"/>
        </a:p>
      </dgm:t>
    </dgm:pt>
    <dgm:pt modelId="{6D2A9A7F-0B12-40CF-9CAD-6735C5619AEF}">
      <dgm:prSet custT="1"/>
      <dgm:spPr/>
      <dgm:t>
        <a:bodyPr/>
        <a:lstStyle/>
        <a:p>
          <a:pPr algn="l"/>
          <a:r>
            <a:rPr lang="pl-PL" sz="1100"/>
            <a:t>1.3 Lepszy dostęp i jakość usług w zakresie opieki nad dzieckiem oraz edukacji dzieci i młodzieży</a:t>
          </a:r>
        </a:p>
      </dgm:t>
    </dgm:pt>
    <dgm:pt modelId="{1D551526-F5E8-40EF-9D71-A3082A108AB8}" type="parTrans" cxnId="{76D0CD4A-7073-4A62-BB58-31E5B5BA047C}">
      <dgm:prSet/>
      <dgm:spPr/>
      <dgm:t>
        <a:bodyPr/>
        <a:lstStyle/>
        <a:p>
          <a:endParaRPr lang="pl-PL"/>
        </a:p>
      </dgm:t>
    </dgm:pt>
    <dgm:pt modelId="{BCE507A2-415F-4AC1-89BC-835E2A5053E8}" type="sibTrans" cxnId="{76D0CD4A-7073-4A62-BB58-31E5B5BA047C}">
      <dgm:prSet/>
      <dgm:spPr/>
      <dgm:t>
        <a:bodyPr/>
        <a:lstStyle/>
        <a:p>
          <a:endParaRPr lang="pl-PL"/>
        </a:p>
      </dgm:t>
    </dgm:pt>
    <dgm:pt modelId="{5FE140C2-D9AB-4DFA-B320-8D9C89DBA96D}">
      <dgm:prSet custT="1"/>
      <dgm:spPr/>
      <dgm:t>
        <a:bodyPr/>
        <a:lstStyle/>
        <a:p>
          <a:pPr algn="l"/>
          <a:r>
            <a:rPr lang="pl-PL" sz="1100"/>
            <a:t>1.4 Poprawa dostępności mieszkańców do usług zdrowia i opieki społecznej</a:t>
          </a:r>
        </a:p>
      </dgm:t>
    </dgm:pt>
    <dgm:pt modelId="{19BF6537-D617-4882-8DC1-89A701D05E88}" type="parTrans" cxnId="{1FCCDB8B-2C2E-49DF-8EB4-7C3134D913AD}">
      <dgm:prSet/>
      <dgm:spPr/>
      <dgm:t>
        <a:bodyPr/>
        <a:lstStyle/>
        <a:p>
          <a:endParaRPr lang="pl-PL"/>
        </a:p>
      </dgm:t>
    </dgm:pt>
    <dgm:pt modelId="{AB0CE29F-A6E7-47A2-AC99-4390062FEA87}" type="sibTrans" cxnId="{1FCCDB8B-2C2E-49DF-8EB4-7C3134D913AD}">
      <dgm:prSet/>
      <dgm:spPr/>
      <dgm:t>
        <a:bodyPr/>
        <a:lstStyle/>
        <a:p>
          <a:endParaRPr lang="pl-PL"/>
        </a:p>
      </dgm:t>
    </dgm:pt>
    <dgm:pt modelId="{B9311C6D-D582-49C7-8414-60786F7BE60F}">
      <dgm:prSet custT="1"/>
      <dgm:spPr/>
      <dgm:t>
        <a:bodyPr/>
        <a:lstStyle/>
        <a:p>
          <a:pPr algn="l"/>
          <a:r>
            <a:rPr lang="pl-PL" sz="1100"/>
            <a:t>1.5 Lepsza oferta w zakresie kultury i rekreacji dla mieszkańców</a:t>
          </a:r>
        </a:p>
      </dgm:t>
    </dgm:pt>
    <dgm:pt modelId="{57AD36ED-019A-40E0-B025-944DECFC3B32}" type="parTrans" cxnId="{D05B83D3-5EB4-4CC2-90DD-D7D0F7EE8964}">
      <dgm:prSet/>
      <dgm:spPr/>
      <dgm:t>
        <a:bodyPr/>
        <a:lstStyle/>
        <a:p>
          <a:endParaRPr lang="pl-PL"/>
        </a:p>
      </dgm:t>
    </dgm:pt>
    <dgm:pt modelId="{93ED80D3-2D24-4EBF-8D11-D9581C142D73}" type="sibTrans" cxnId="{D05B83D3-5EB4-4CC2-90DD-D7D0F7EE8964}">
      <dgm:prSet/>
      <dgm:spPr/>
      <dgm:t>
        <a:bodyPr/>
        <a:lstStyle/>
        <a:p>
          <a:endParaRPr lang="pl-PL"/>
        </a:p>
      </dgm:t>
    </dgm:pt>
    <dgm:pt modelId="{793AD66D-6EBA-4EE7-88D8-F56F3A1FAF18}">
      <dgm:prSet custT="1"/>
      <dgm:spPr/>
      <dgm:t>
        <a:bodyPr/>
        <a:lstStyle/>
        <a:p>
          <a:pPr algn="l"/>
          <a:r>
            <a:rPr lang="pl-PL" sz="1100"/>
            <a:t>1.6 Uporządkowana przestrzeń i bezpieczeństwo publiczne</a:t>
          </a:r>
        </a:p>
      </dgm:t>
    </dgm:pt>
    <dgm:pt modelId="{A08EC183-CEEC-4C42-9F0C-AB2CE8507158}" type="parTrans" cxnId="{7F0F22FD-A102-4005-976E-44982B770062}">
      <dgm:prSet/>
      <dgm:spPr/>
      <dgm:t>
        <a:bodyPr/>
        <a:lstStyle/>
        <a:p>
          <a:endParaRPr lang="pl-PL"/>
        </a:p>
      </dgm:t>
    </dgm:pt>
    <dgm:pt modelId="{DBEB51B7-C4C0-461E-A116-3174177C87B4}" type="sibTrans" cxnId="{7F0F22FD-A102-4005-976E-44982B770062}">
      <dgm:prSet/>
      <dgm:spPr/>
      <dgm:t>
        <a:bodyPr/>
        <a:lstStyle/>
        <a:p>
          <a:endParaRPr lang="pl-PL"/>
        </a:p>
      </dgm:t>
    </dgm:pt>
    <dgm:pt modelId="{0355AEDA-2668-422E-B036-65F9FC0C99A1}">
      <dgm:prSet custT="1"/>
      <dgm:spPr/>
      <dgm:t>
        <a:bodyPr/>
        <a:lstStyle/>
        <a:p>
          <a:pPr algn="l"/>
          <a:r>
            <a:rPr lang="pl-PL" sz="1100"/>
            <a:t>1.7 Integracja społeczna i aktywna polityka senioralna</a:t>
          </a:r>
        </a:p>
      </dgm:t>
    </dgm:pt>
    <dgm:pt modelId="{12BD75A8-A428-486E-9404-329A410469B4}" type="parTrans" cxnId="{4E6F0F69-7684-4C5B-ABAC-5832AB58D9F0}">
      <dgm:prSet/>
      <dgm:spPr/>
      <dgm:t>
        <a:bodyPr/>
        <a:lstStyle/>
        <a:p>
          <a:endParaRPr lang="pl-PL"/>
        </a:p>
      </dgm:t>
    </dgm:pt>
    <dgm:pt modelId="{F8EB5CDD-26DB-421D-B458-06C7D7D07FE4}" type="sibTrans" cxnId="{4E6F0F69-7684-4C5B-ABAC-5832AB58D9F0}">
      <dgm:prSet/>
      <dgm:spPr/>
      <dgm:t>
        <a:bodyPr/>
        <a:lstStyle/>
        <a:p>
          <a:endParaRPr lang="pl-PL"/>
        </a:p>
      </dgm:t>
    </dgm:pt>
    <dgm:pt modelId="{B9B944A0-940B-410D-A585-AC2E5EA0A9AE}">
      <dgm:prSet custT="1"/>
      <dgm:spPr/>
      <dgm:t>
        <a:bodyPr/>
        <a:lstStyle/>
        <a:p>
          <a:pPr algn="l"/>
          <a:r>
            <a:rPr lang="pl-PL" sz="1100"/>
            <a:t>1.8 Pogłębienie współpracy obszaru HOF w zakresie usług integracji społecznej</a:t>
          </a:r>
          <a:endParaRPr lang="pl-PL" sz="2000"/>
        </a:p>
      </dgm:t>
    </dgm:pt>
    <dgm:pt modelId="{610C9F9F-5905-4C2D-8BD2-0836FBCBB56A}" type="parTrans" cxnId="{ED82D4F1-E80B-48C4-A7D0-EBDAE4E409A3}">
      <dgm:prSet/>
      <dgm:spPr/>
      <dgm:t>
        <a:bodyPr/>
        <a:lstStyle/>
        <a:p>
          <a:endParaRPr lang="pl-PL"/>
        </a:p>
      </dgm:t>
    </dgm:pt>
    <dgm:pt modelId="{2947E931-637D-4412-8667-4FA2DB3C484F}" type="sibTrans" cxnId="{ED82D4F1-E80B-48C4-A7D0-EBDAE4E409A3}">
      <dgm:prSet/>
      <dgm:spPr/>
      <dgm:t>
        <a:bodyPr/>
        <a:lstStyle/>
        <a:p>
          <a:endParaRPr lang="pl-PL"/>
        </a:p>
      </dgm:t>
    </dgm:pt>
    <dgm:pt modelId="{FCEBBDF3-8CFF-4827-BABF-AB2AD39C6F3E}">
      <dgm:prSet custT="1"/>
      <dgm:spPr/>
      <dgm:t>
        <a:bodyPr/>
        <a:lstStyle/>
        <a:p>
          <a:pPr algn="l"/>
          <a:r>
            <a:rPr lang="pl-PL" sz="1100"/>
            <a:t>1.9 Zintegrowane wzmocnienie potencjału edukacyjnego i kulturowego HOF</a:t>
          </a:r>
          <a:endParaRPr lang="pl-PL" sz="2000"/>
        </a:p>
      </dgm:t>
    </dgm:pt>
    <dgm:pt modelId="{362F0155-11BA-4823-90D3-51506024AD6B}" type="parTrans" cxnId="{B291AE6A-8821-4BEF-B945-FEC07FD24FA3}">
      <dgm:prSet/>
      <dgm:spPr/>
      <dgm:t>
        <a:bodyPr/>
        <a:lstStyle/>
        <a:p>
          <a:endParaRPr lang="pl-PL"/>
        </a:p>
      </dgm:t>
    </dgm:pt>
    <dgm:pt modelId="{C8C0C8EE-9EB8-44ED-9F7A-65765D422EC2}" type="sibTrans" cxnId="{B291AE6A-8821-4BEF-B945-FEC07FD24FA3}">
      <dgm:prSet/>
      <dgm:spPr/>
      <dgm:t>
        <a:bodyPr/>
        <a:lstStyle/>
        <a:p>
          <a:endParaRPr lang="pl-PL"/>
        </a:p>
      </dgm:t>
    </dgm:pt>
    <dgm:pt modelId="{FC5660B4-B8B2-421B-9CE4-D5B62ADC21B7}" type="pres">
      <dgm:prSet presAssocID="{5BD85716-C4A9-44EE-A5B4-05BCB8608700}" presName="diagram" presStyleCnt="0">
        <dgm:presLayoutVars>
          <dgm:chPref val="1"/>
          <dgm:dir/>
          <dgm:animOne val="branch"/>
          <dgm:animLvl val="lvl"/>
          <dgm:resizeHandles/>
        </dgm:presLayoutVars>
      </dgm:prSet>
      <dgm:spPr/>
      <dgm:t>
        <a:bodyPr/>
        <a:lstStyle/>
        <a:p>
          <a:endParaRPr lang="pl-PL"/>
        </a:p>
      </dgm:t>
    </dgm:pt>
    <dgm:pt modelId="{101ECD31-81A7-49A1-8E61-DBAB43A1D897}" type="pres">
      <dgm:prSet presAssocID="{1DBF08C4-5F39-4007-B7A9-834AF46DCF38}" presName="root" presStyleCnt="0"/>
      <dgm:spPr/>
      <dgm:t>
        <a:bodyPr/>
        <a:lstStyle/>
        <a:p>
          <a:endParaRPr lang="pl-PL"/>
        </a:p>
      </dgm:t>
    </dgm:pt>
    <dgm:pt modelId="{7821D30F-AF2D-4BAD-827C-35451FF0418B}" type="pres">
      <dgm:prSet presAssocID="{1DBF08C4-5F39-4007-B7A9-834AF46DCF38}" presName="rootComposite" presStyleCnt="0"/>
      <dgm:spPr/>
      <dgm:t>
        <a:bodyPr/>
        <a:lstStyle/>
        <a:p>
          <a:endParaRPr lang="pl-PL"/>
        </a:p>
      </dgm:t>
    </dgm:pt>
    <dgm:pt modelId="{D6F8E3CA-5847-4835-AC41-DBCB14E4D140}" type="pres">
      <dgm:prSet presAssocID="{1DBF08C4-5F39-4007-B7A9-834AF46DCF38}" presName="rootText" presStyleLbl="node1" presStyleIdx="0" presStyleCnt="1" custScaleX="521554" custScaleY="167729" custLinFactNeighborX="-887" custLinFactNeighborY="1532"/>
      <dgm:spPr/>
      <dgm:t>
        <a:bodyPr/>
        <a:lstStyle/>
        <a:p>
          <a:endParaRPr lang="pl-PL"/>
        </a:p>
      </dgm:t>
    </dgm:pt>
    <dgm:pt modelId="{944184D3-53DB-4978-ABA0-F20247093944}" type="pres">
      <dgm:prSet presAssocID="{1DBF08C4-5F39-4007-B7A9-834AF46DCF38}" presName="rootConnector" presStyleLbl="node1" presStyleIdx="0" presStyleCnt="1"/>
      <dgm:spPr/>
      <dgm:t>
        <a:bodyPr/>
        <a:lstStyle/>
        <a:p>
          <a:endParaRPr lang="pl-PL"/>
        </a:p>
      </dgm:t>
    </dgm:pt>
    <dgm:pt modelId="{DE478972-A52B-4CC5-B7A6-2BCCF9C52F2D}" type="pres">
      <dgm:prSet presAssocID="{1DBF08C4-5F39-4007-B7A9-834AF46DCF38}" presName="childShape" presStyleCnt="0"/>
      <dgm:spPr/>
      <dgm:t>
        <a:bodyPr/>
        <a:lstStyle/>
        <a:p>
          <a:endParaRPr lang="pl-PL"/>
        </a:p>
      </dgm:t>
    </dgm:pt>
    <dgm:pt modelId="{E811F24B-BBC3-416E-8E00-C7D10C8D754A}" type="pres">
      <dgm:prSet presAssocID="{86E454FF-C7B8-42FB-AA35-D5BF9E6AFFBE}" presName="Name13" presStyleLbl="parChTrans1D2" presStyleIdx="0" presStyleCnt="9"/>
      <dgm:spPr/>
      <dgm:t>
        <a:bodyPr/>
        <a:lstStyle/>
        <a:p>
          <a:endParaRPr lang="pl-PL"/>
        </a:p>
      </dgm:t>
    </dgm:pt>
    <dgm:pt modelId="{EBBF2DE2-8204-4F7B-9262-8DFDE515E2B9}" type="pres">
      <dgm:prSet presAssocID="{3AF14554-BE2D-4D6B-9E3A-98BFF31548A7}" presName="childText" presStyleLbl="bgAcc1" presStyleIdx="0" presStyleCnt="9" custScaleX="504254">
        <dgm:presLayoutVars>
          <dgm:bulletEnabled val="1"/>
        </dgm:presLayoutVars>
      </dgm:prSet>
      <dgm:spPr/>
      <dgm:t>
        <a:bodyPr/>
        <a:lstStyle/>
        <a:p>
          <a:endParaRPr lang="pl-PL"/>
        </a:p>
      </dgm:t>
    </dgm:pt>
    <dgm:pt modelId="{6BAB3C95-9C46-4E7A-93F5-94F6FE50C105}" type="pres">
      <dgm:prSet presAssocID="{32BA60A3-D6BB-47D7-9578-D6695B42AE05}" presName="Name13" presStyleLbl="parChTrans1D2" presStyleIdx="1" presStyleCnt="9"/>
      <dgm:spPr/>
      <dgm:t>
        <a:bodyPr/>
        <a:lstStyle/>
        <a:p>
          <a:endParaRPr lang="pl-PL"/>
        </a:p>
      </dgm:t>
    </dgm:pt>
    <dgm:pt modelId="{9156352D-6D24-43EC-8CFA-DD4D869B9994}" type="pres">
      <dgm:prSet presAssocID="{A79452FB-1CB1-4E6D-A149-34039B8305B7}" presName="childText" presStyleLbl="bgAcc1" presStyleIdx="1" presStyleCnt="9" custScaleX="505015">
        <dgm:presLayoutVars>
          <dgm:bulletEnabled val="1"/>
        </dgm:presLayoutVars>
      </dgm:prSet>
      <dgm:spPr/>
      <dgm:t>
        <a:bodyPr/>
        <a:lstStyle/>
        <a:p>
          <a:endParaRPr lang="pl-PL"/>
        </a:p>
      </dgm:t>
    </dgm:pt>
    <dgm:pt modelId="{6FFD2F8F-4EEE-4C8E-B7D3-ABB5F34A2D4C}" type="pres">
      <dgm:prSet presAssocID="{1D551526-F5E8-40EF-9D71-A3082A108AB8}" presName="Name13" presStyleLbl="parChTrans1D2" presStyleIdx="2" presStyleCnt="9"/>
      <dgm:spPr/>
      <dgm:t>
        <a:bodyPr/>
        <a:lstStyle/>
        <a:p>
          <a:endParaRPr lang="pl-PL"/>
        </a:p>
      </dgm:t>
    </dgm:pt>
    <dgm:pt modelId="{818D9C18-65CE-4A3F-9330-A92579ECA450}" type="pres">
      <dgm:prSet presAssocID="{6D2A9A7F-0B12-40CF-9CAD-6735C5619AEF}" presName="childText" presStyleLbl="bgAcc1" presStyleIdx="2" presStyleCnt="9" custScaleX="508812">
        <dgm:presLayoutVars>
          <dgm:bulletEnabled val="1"/>
        </dgm:presLayoutVars>
      </dgm:prSet>
      <dgm:spPr/>
      <dgm:t>
        <a:bodyPr/>
        <a:lstStyle/>
        <a:p>
          <a:endParaRPr lang="pl-PL"/>
        </a:p>
      </dgm:t>
    </dgm:pt>
    <dgm:pt modelId="{E672734B-1002-4AF0-8818-A010335C20C5}" type="pres">
      <dgm:prSet presAssocID="{19BF6537-D617-4882-8DC1-89A701D05E88}" presName="Name13" presStyleLbl="parChTrans1D2" presStyleIdx="3" presStyleCnt="9"/>
      <dgm:spPr/>
      <dgm:t>
        <a:bodyPr/>
        <a:lstStyle/>
        <a:p>
          <a:endParaRPr lang="pl-PL"/>
        </a:p>
      </dgm:t>
    </dgm:pt>
    <dgm:pt modelId="{73A54E53-5D5A-4FCB-AC27-3C862FCDF39A}" type="pres">
      <dgm:prSet presAssocID="{5FE140C2-D9AB-4DFA-B320-8D9C89DBA96D}" presName="childText" presStyleLbl="bgAcc1" presStyleIdx="3" presStyleCnt="9" custScaleX="658237">
        <dgm:presLayoutVars>
          <dgm:bulletEnabled val="1"/>
        </dgm:presLayoutVars>
      </dgm:prSet>
      <dgm:spPr/>
      <dgm:t>
        <a:bodyPr/>
        <a:lstStyle/>
        <a:p>
          <a:endParaRPr lang="pl-PL"/>
        </a:p>
      </dgm:t>
    </dgm:pt>
    <dgm:pt modelId="{95F2A124-6F6B-45FE-9EF5-40F43BF007B6}" type="pres">
      <dgm:prSet presAssocID="{57AD36ED-019A-40E0-B025-944DECFC3B32}" presName="Name13" presStyleLbl="parChTrans1D2" presStyleIdx="4" presStyleCnt="9"/>
      <dgm:spPr/>
      <dgm:t>
        <a:bodyPr/>
        <a:lstStyle/>
        <a:p>
          <a:endParaRPr lang="pl-PL"/>
        </a:p>
      </dgm:t>
    </dgm:pt>
    <dgm:pt modelId="{50523A70-D43E-4AB8-BD08-9CCD9B809B51}" type="pres">
      <dgm:prSet presAssocID="{B9311C6D-D582-49C7-8414-60786F7BE60F}" presName="childText" presStyleLbl="bgAcc1" presStyleIdx="4" presStyleCnt="9" custScaleX="565199">
        <dgm:presLayoutVars>
          <dgm:bulletEnabled val="1"/>
        </dgm:presLayoutVars>
      </dgm:prSet>
      <dgm:spPr/>
      <dgm:t>
        <a:bodyPr/>
        <a:lstStyle/>
        <a:p>
          <a:endParaRPr lang="pl-PL"/>
        </a:p>
      </dgm:t>
    </dgm:pt>
    <dgm:pt modelId="{FD8830AA-2612-4553-957F-780A4E9100AE}" type="pres">
      <dgm:prSet presAssocID="{A08EC183-CEEC-4C42-9F0C-AB2CE8507158}" presName="Name13" presStyleLbl="parChTrans1D2" presStyleIdx="5" presStyleCnt="9"/>
      <dgm:spPr/>
      <dgm:t>
        <a:bodyPr/>
        <a:lstStyle/>
        <a:p>
          <a:endParaRPr lang="pl-PL"/>
        </a:p>
      </dgm:t>
    </dgm:pt>
    <dgm:pt modelId="{3FBFE4B0-D101-49BA-A04C-A9744F546DC2}" type="pres">
      <dgm:prSet presAssocID="{793AD66D-6EBA-4EE7-88D8-F56F3A1FAF18}" presName="childText" presStyleLbl="bgAcc1" presStyleIdx="5" presStyleCnt="9" custScaleX="531817">
        <dgm:presLayoutVars>
          <dgm:bulletEnabled val="1"/>
        </dgm:presLayoutVars>
      </dgm:prSet>
      <dgm:spPr/>
      <dgm:t>
        <a:bodyPr/>
        <a:lstStyle/>
        <a:p>
          <a:endParaRPr lang="pl-PL"/>
        </a:p>
      </dgm:t>
    </dgm:pt>
    <dgm:pt modelId="{3D47FFAB-29B2-4EA9-8B48-3BC16544D13A}" type="pres">
      <dgm:prSet presAssocID="{12BD75A8-A428-486E-9404-329A410469B4}" presName="Name13" presStyleLbl="parChTrans1D2" presStyleIdx="6" presStyleCnt="9"/>
      <dgm:spPr/>
      <dgm:t>
        <a:bodyPr/>
        <a:lstStyle/>
        <a:p>
          <a:endParaRPr lang="pl-PL"/>
        </a:p>
      </dgm:t>
    </dgm:pt>
    <dgm:pt modelId="{9CEA1F62-B990-4A4B-8537-313A4CAEB7EA}" type="pres">
      <dgm:prSet presAssocID="{0355AEDA-2668-422E-B036-65F9FC0C99A1}" presName="childText" presStyleLbl="bgAcc1" presStyleIdx="6" presStyleCnt="9" custScaleX="531232">
        <dgm:presLayoutVars>
          <dgm:bulletEnabled val="1"/>
        </dgm:presLayoutVars>
      </dgm:prSet>
      <dgm:spPr/>
      <dgm:t>
        <a:bodyPr/>
        <a:lstStyle/>
        <a:p>
          <a:endParaRPr lang="pl-PL"/>
        </a:p>
      </dgm:t>
    </dgm:pt>
    <dgm:pt modelId="{17E49BC0-CEEE-4248-965D-68268A3F631F}" type="pres">
      <dgm:prSet presAssocID="{610C9F9F-5905-4C2D-8BD2-0836FBCBB56A}" presName="Name13" presStyleLbl="parChTrans1D2" presStyleIdx="7" presStyleCnt="9"/>
      <dgm:spPr/>
      <dgm:t>
        <a:bodyPr/>
        <a:lstStyle/>
        <a:p>
          <a:endParaRPr lang="pl-PL"/>
        </a:p>
      </dgm:t>
    </dgm:pt>
    <dgm:pt modelId="{5C6AE8D9-C0D5-470B-AC00-3503564A35C9}" type="pres">
      <dgm:prSet presAssocID="{B9B944A0-940B-410D-A585-AC2E5EA0A9AE}" presName="childText" presStyleLbl="bgAcc1" presStyleIdx="7" presStyleCnt="9" custScaleX="681930">
        <dgm:presLayoutVars>
          <dgm:bulletEnabled val="1"/>
        </dgm:presLayoutVars>
      </dgm:prSet>
      <dgm:spPr/>
      <dgm:t>
        <a:bodyPr/>
        <a:lstStyle/>
        <a:p>
          <a:endParaRPr lang="pl-PL"/>
        </a:p>
      </dgm:t>
    </dgm:pt>
    <dgm:pt modelId="{D20472C9-206B-456F-A19E-5DAE8C684362}" type="pres">
      <dgm:prSet presAssocID="{362F0155-11BA-4823-90D3-51506024AD6B}" presName="Name13" presStyleLbl="parChTrans1D2" presStyleIdx="8" presStyleCnt="9"/>
      <dgm:spPr/>
      <dgm:t>
        <a:bodyPr/>
        <a:lstStyle/>
        <a:p>
          <a:endParaRPr lang="pl-PL"/>
        </a:p>
      </dgm:t>
    </dgm:pt>
    <dgm:pt modelId="{C5780BE5-C032-4685-B584-C4D89D667C1C}" type="pres">
      <dgm:prSet presAssocID="{FCEBBDF3-8CFF-4827-BABF-AB2AD39C6F3E}" presName="childText" presStyleLbl="bgAcc1" presStyleIdx="8" presStyleCnt="9" custScaleX="647307">
        <dgm:presLayoutVars>
          <dgm:bulletEnabled val="1"/>
        </dgm:presLayoutVars>
      </dgm:prSet>
      <dgm:spPr/>
      <dgm:t>
        <a:bodyPr/>
        <a:lstStyle/>
        <a:p>
          <a:endParaRPr lang="pl-PL"/>
        </a:p>
      </dgm:t>
    </dgm:pt>
  </dgm:ptLst>
  <dgm:cxnLst>
    <dgm:cxn modelId="{F5597AA0-4B23-49BA-BC05-C1E7BBEFA8C4}" type="presOf" srcId="{1DBF08C4-5F39-4007-B7A9-834AF46DCF38}" destId="{D6F8E3CA-5847-4835-AC41-DBCB14E4D140}" srcOrd="0" destOrd="0" presId="urn:microsoft.com/office/officeart/2005/8/layout/hierarchy3"/>
    <dgm:cxn modelId="{D05B83D3-5EB4-4CC2-90DD-D7D0F7EE8964}" srcId="{1DBF08C4-5F39-4007-B7A9-834AF46DCF38}" destId="{B9311C6D-D582-49C7-8414-60786F7BE60F}" srcOrd="4" destOrd="0" parTransId="{57AD36ED-019A-40E0-B025-944DECFC3B32}" sibTransId="{93ED80D3-2D24-4EBF-8D11-D9581C142D73}"/>
    <dgm:cxn modelId="{503E8FFF-C789-438B-9E9B-6BAD56496B96}" type="presOf" srcId="{FCEBBDF3-8CFF-4827-BABF-AB2AD39C6F3E}" destId="{C5780BE5-C032-4685-B584-C4D89D667C1C}" srcOrd="0" destOrd="0" presId="urn:microsoft.com/office/officeart/2005/8/layout/hierarchy3"/>
    <dgm:cxn modelId="{F377D078-AB1A-40A7-BA2D-B529D3F888CE}" type="presOf" srcId="{32BA60A3-D6BB-47D7-9578-D6695B42AE05}" destId="{6BAB3C95-9C46-4E7A-93F5-94F6FE50C105}" srcOrd="0" destOrd="0" presId="urn:microsoft.com/office/officeart/2005/8/layout/hierarchy3"/>
    <dgm:cxn modelId="{F47534B1-0235-43D3-B4BD-CCE0BF9A9027}" type="presOf" srcId="{A08EC183-CEEC-4C42-9F0C-AB2CE8507158}" destId="{FD8830AA-2612-4553-957F-780A4E9100AE}" srcOrd="0" destOrd="0" presId="urn:microsoft.com/office/officeart/2005/8/layout/hierarchy3"/>
    <dgm:cxn modelId="{9B3423E6-A559-47D1-92CF-D584ED786DE0}" type="presOf" srcId="{B9311C6D-D582-49C7-8414-60786F7BE60F}" destId="{50523A70-D43E-4AB8-BD08-9CCD9B809B51}" srcOrd="0" destOrd="0" presId="urn:microsoft.com/office/officeart/2005/8/layout/hierarchy3"/>
    <dgm:cxn modelId="{A658F7F4-75C9-4DBF-97AE-0A92BA897B50}" type="presOf" srcId="{362F0155-11BA-4823-90D3-51506024AD6B}" destId="{D20472C9-206B-456F-A19E-5DAE8C684362}" srcOrd="0" destOrd="0" presId="urn:microsoft.com/office/officeart/2005/8/layout/hierarchy3"/>
    <dgm:cxn modelId="{76D0CD4A-7073-4A62-BB58-31E5B5BA047C}" srcId="{1DBF08C4-5F39-4007-B7A9-834AF46DCF38}" destId="{6D2A9A7F-0B12-40CF-9CAD-6735C5619AEF}" srcOrd="2" destOrd="0" parTransId="{1D551526-F5E8-40EF-9D71-A3082A108AB8}" sibTransId="{BCE507A2-415F-4AC1-89BC-835E2A5053E8}"/>
    <dgm:cxn modelId="{B291AE6A-8821-4BEF-B945-FEC07FD24FA3}" srcId="{1DBF08C4-5F39-4007-B7A9-834AF46DCF38}" destId="{FCEBBDF3-8CFF-4827-BABF-AB2AD39C6F3E}" srcOrd="8" destOrd="0" parTransId="{362F0155-11BA-4823-90D3-51506024AD6B}" sibTransId="{C8C0C8EE-9EB8-44ED-9F7A-65765D422EC2}"/>
    <dgm:cxn modelId="{E64CD064-A35F-40C8-AF52-1D08B865D35E}" type="presOf" srcId="{1DBF08C4-5F39-4007-B7A9-834AF46DCF38}" destId="{944184D3-53DB-4978-ABA0-F20247093944}" srcOrd="1" destOrd="0" presId="urn:microsoft.com/office/officeart/2005/8/layout/hierarchy3"/>
    <dgm:cxn modelId="{773C3D3C-FB0F-40F3-951C-604E8040DBCF}" type="presOf" srcId="{3AF14554-BE2D-4D6B-9E3A-98BFF31548A7}" destId="{EBBF2DE2-8204-4F7B-9262-8DFDE515E2B9}" srcOrd="0" destOrd="0" presId="urn:microsoft.com/office/officeart/2005/8/layout/hierarchy3"/>
    <dgm:cxn modelId="{CF3E66D8-CA8D-4665-8F70-B0AB579A48E6}" type="presOf" srcId="{5BD85716-C4A9-44EE-A5B4-05BCB8608700}" destId="{FC5660B4-B8B2-421B-9CE4-D5B62ADC21B7}" srcOrd="0" destOrd="0" presId="urn:microsoft.com/office/officeart/2005/8/layout/hierarchy3"/>
    <dgm:cxn modelId="{1FCCDB8B-2C2E-49DF-8EB4-7C3134D913AD}" srcId="{1DBF08C4-5F39-4007-B7A9-834AF46DCF38}" destId="{5FE140C2-D9AB-4DFA-B320-8D9C89DBA96D}" srcOrd="3" destOrd="0" parTransId="{19BF6537-D617-4882-8DC1-89A701D05E88}" sibTransId="{AB0CE29F-A6E7-47A2-AC99-4390062FEA87}"/>
    <dgm:cxn modelId="{7F0F22FD-A102-4005-976E-44982B770062}" srcId="{1DBF08C4-5F39-4007-B7A9-834AF46DCF38}" destId="{793AD66D-6EBA-4EE7-88D8-F56F3A1FAF18}" srcOrd="5" destOrd="0" parTransId="{A08EC183-CEEC-4C42-9F0C-AB2CE8507158}" sibTransId="{DBEB51B7-C4C0-461E-A116-3174177C87B4}"/>
    <dgm:cxn modelId="{E706A078-84CB-4B62-BDF0-15EFCC0942CE}" srcId="{5BD85716-C4A9-44EE-A5B4-05BCB8608700}" destId="{1DBF08C4-5F39-4007-B7A9-834AF46DCF38}" srcOrd="0" destOrd="0" parTransId="{1394FCAC-0BA0-443E-AB54-CAB3F5CE139F}" sibTransId="{F765F63F-3C50-4E1B-BBB6-69ED746B2FA6}"/>
    <dgm:cxn modelId="{A9C265DF-FD6A-4278-8FE1-F4AEA3344A1C}" type="presOf" srcId="{6D2A9A7F-0B12-40CF-9CAD-6735C5619AEF}" destId="{818D9C18-65CE-4A3F-9330-A92579ECA450}" srcOrd="0" destOrd="0" presId="urn:microsoft.com/office/officeart/2005/8/layout/hierarchy3"/>
    <dgm:cxn modelId="{AABA9910-FE73-4B0B-A922-57C4CB94E182}" type="presOf" srcId="{5FE140C2-D9AB-4DFA-B320-8D9C89DBA96D}" destId="{73A54E53-5D5A-4FCB-AC27-3C862FCDF39A}" srcOrd="0" destOrd="0" presId="urn:microsoft.com/office/officeart/2005/8/layout/hierarchy3"/>
    <dgm:cxn modelId="{7441DBB6-22F7-4AFA-8089-174D90381C94}" type="presOf" srcId="{1D551526-F5E8-40EF-9D71-A3082A108AB8}" destId="{6FFD2F8F-4EEE-4C8E-B7D3-ABB5F34A2D4C}" srcOrd="0" destOrd="0" presId="urn:microsoft.com/office/officeart/2005/8/layout/hierarchy3"/>
    <dgm:cxn modelId="{D888C28F-B12C-4494-911D-CE0D8A15D3E9}" type="presOf" srcId="{B9B944A0-940B-410D-A585-AC2E5EA0A9AE}" destId="{5C6AE8D9-C0D5-470B-AC00-3503564A35C9}" srcOrd="0" destOrd="0" presId="urn:microsoft.com/office/officeart/2005/8/layout/hierarchy3"/>
    <dgm:cxn modelId="{C7892BA7-FEDC-46CF-B8A0-5810252D4AD4}" type="presOf" srcId="{793AD66D-6EBA-4EE7-88D8-F56F3A1FAF18}" destId="{3FBFE4B0-D101-49BA-A04C-A9744F546DC2}" srcOrd="0" destOrd="0" presId="urn:microsoft.com/office/officeart/2005/8/layout/hierarchy3"/>
    <dgm:cxn modelId="{F29AE584-F885-4313-8614-BE3E79D8BD81}" type="presOf" srcId="{A79452FB-1CB1-4E6D-A149-34039B8305B7}" destId="{9156352D-6D24-43EC-8CFA-DD4D869B9994}" srcOrd="0" destOrd="0" presId="urn:microsoft.com/office/officeart/2005/8/layout/hierarchy3"/>
    <dgm:cxn modelId="{E6CA3014-4F72-435A-812C-9F54D6C656A1}" srcId="{1DBF08C4-5F39-4007-B7A9-834AF46DCF38}" destId="{3AF14554-BE2D-4D6B-9E3A-98BFF31548A7}" srcOrd="0" destOrd="0" parTransId="{86E454FF-C7B8-42FB-AA35-D5BF9E6AFFBE}" sibTransId="{AF60DCE0-D981-4CBD-BEEB-B97709B57E60}"/>
    <dgm:cxn modelId="{756C788C-1507-4C4F-A59E-F7DEA6A695DC}" srcId="{1DBF08C4-5F39-4007-B7A9-834AF46DCF38}" destId="{A79452FB-1CB1-4E6D-A149-34039B8305B7}" srcOrd="1" destOrd="0" parTransId="{32BA60A3-D6BB-47D7-9578-D6695B42AE05}" sibTransId="{23AE9A07-9AFD-41C2-B529-9970600D2E73}"/>
    <dgm:cxn modelId="{20C32972-7A6A-4114-AD2D-F7F9C8886ADB}" type="presOf" srcId="{0355AEDA-2668-422E-B036-65F9FC0C99A1}" destId="{9CEA1F62-B990-4A4B-8537-313A4CAEB7EA}" srcOrd="0" destOrd="0" presId="urn:microsoft.com/office/officeart/2005/8/layout/hierarchy3"/>
    <dgm:cxn modelId="{E8E6D763-E3B7-4E3A-830C-8C03FEC28B08}" type="presOf" srcId="{57AD36ED-019A-40E0-B025-944DECFC3B32}" destId="{95F2A124-6F6B-45FE-9EF5-40F43BF007B6}" srcOrd="0" destOrd="0" presId="urn:microsoft.com/office/officeart/2005/8/layout/hierarchy3"/>
    <dgm:cxn modelId="{971DB8CA-7316-4409-966E-EC2421D0E5EF}" type="presOf" srcId="{12BD75A8-A428-486E-9404-329A410469B4}" destId="{3D47FFAB-29B2-4EA9-8B48-3BC16544D13A}" srcOrd="0" destOrd="0" presId="urn:microsoft.com/office/officeart/2005/8/layout/hierarchy3"/>
    <dgm:cxn modelId="{EF686975-4B28-4EDE-9373-D9B1A7338E34}" type="presOf" srcId="{19BF6537-D617-4882-8DC1-89A701D05E88}" destId="{E672734B-1002-4AF0-8818-A010335C20C5}" srcOrd="0" destOrd="0" presId="urn:microsoft.com/office/officeart/2005/8/layout/hierarchy3"/>
    <dgm:cxn modelId="{ED82D4F1-E80B-48C4-A7D0-EBDAE4E409A3}" srcId="{1DBF08C4-5F39-4007-B7A9-834AF46DCF38}" destId="{B9B944A0-940B-410D-A585-AC2E5EA0A9AE}" srcOrd="7" destOrd="0" parTransId="{610C9F9F-5905-4C2D-8BD2-0836FBCBB56A}" sibTransId="{2947E931-637D-4412-8667-4FA2DB3C484F}"/>
    <dgm:cxn modelId="{9A724DBE-EADF-4849-AFD7-14E470D49B82}" type="presOf" srcId="{86E454FF-C7B8-42FB-AA35-D5BF9E6AFFBE}" destId="{E811F24B-BBC3-416E-8E00-C7D10C8D754A}" srcOrd="0" destOrd="0" presId="urn:microsoft.com/office/officeart/2005/8/layout/hierarchy3"/>
    <dgm:cxn modelId="{4E6F0F69-7684-4C5B-ABAC-5832AB58D9F0}" srcId="{1DBF08C4-5F39-4007-B7A9-834AF46DCF38}" destId="{0355AEDA-2668-422E-B036-65F9FC0C99A1}" srcOrd="6" destOrd="0" parTransId="{12BD75A8-A428-486E-9404-329A410469B4}" sibTransId="{F8EB5CDD-26DB-421D-B458-06C7D7D07FE4}"/>
    <dgm:cxn modelId="{542941E8-5BF7-46D6-A8BE-F80960A04655}" type="presOf" srcId="{610C9F9F-5905-4C2D-8BD2-0836FBCBB56A}" destId="{17E49BC0-CEEE-4248-965D-68268A3F631F}" srcOrd="0" destOrd="0" presId="urn:microsoft.com/office/officeart/2005/8/layout/hierarchy3"/>
    <dgm:cxn modelId="{AB87F0B1-96F8-40D5-BC80-DFCC9CE3294F}" type="presParOf" srcId="{FC5660B4-B8B2-421B-9CE4-D5B62ADC21B7}" destId="{101ECD31-81A7-49A1-8E61-DBAB43A1D897}" srcOrd="0" destOrd="0" presId="urn:microsoft.com/office/officeart/2005/8/layout/hierarchy3"/>
    <dgm:cxn modelId="{0298DF4D-7FC6-4E0D-9514-8C72D46B58BD}" type="presParOf" srcId="{101ECD31-81A7-49A1-8E61-DBAB43A1D897}" destId="{7821D30F-AF2D-4BAD-827C-35451FF0418B}" srcOrd="0" destOrd="0" presId="urn:microsoft.com/office/officeart/2005/8/layout/hierarchy3"/>
    <dgm:cxn modelId="{AA24C245-B8FF-4A34-86F6-5E77E62B5B66}" type="presParOf" srcId="{7821D30F-AF2D-4BAD-827C-35451FF0418B}" destId="{D6F8E3CA-5847-4835-AC41-DBCB14E4D140}" srcOrd="0" destOrd="0" presId="urn:microsoft.com/office/officeart/2005/8/layout/hierarchy3"/>
    <dgm:cxn modelId="{C6B1F0DA-1AC5-431C-9AC2-ACA6B09DC5D5}" type="presParOf" srcId="{7821D30F-AF2D-4BAD-827C-35451FF0418B}" destId="{944184D3-53DB-4978-ABA0-F20247093944}" srcOrd="1" destOrd="0" presId="urn:microsoft.com/office/officeart/2005/8/layout/hierarchy3"/>
    <dgm:cxn modelId="{BC22EBFD-F1E7-4951-BA08-BAFF8249FCB7}" type="presParOf" srcId="{101ECD31-81A7-49A1-8E61-DBAB43A1D897}" destId="{DE478972-A52B-4CC5-B7A6-2BCCF9C52F2D}" srcOrd="1" destOrd="0" presId="urn:microsoft.com/office/officeart/2005/8/layout/hierarchy3"/>
    <dgm:cxn modelId="{5C5E0EC8-8914-4FF5-80C3-84C8AA3B2888}" type="presParOf" srcId="{DE478972-A52B-4CC5-B7A6-2BCCF9C52F2D}" destId="{E811F24B-BBC3-416E-8E00-C7D10C8D754A}" srcOrd="0" destOrd="0" presId="urn:microsoft.com/office/officeart/2005/8/layout/hierarchy3"/>
    <dgm:cxn modelId="{DA5CE29D-9BF8-4D1D-9A2E-860E1D637228}" type="presParOf" srcId="{DE478972-A52B-4CC5-B7A6-2BCCF9C52F2D}" destId="{EBBF2DE2-8204-4F7B-9262-8DFDE515E2B9}" srcOrd="1" destOrd="0" presId="urn:microsoft.com/office/officeart/2005/8/layout/hierarchy3"/>
    <dgm:cxn modelId="{B9B3B5F3-64BC-46F6-AD09-BF9AA9D693E9}" type="presParOf" srcId="{DE478972-A52B-4CC5-B7A6-2BCCF9C52F2D}" destId="{6BAB3C95-9C46-4E7A-93F5-94F6FE50C105}" srcOrd="2" destOrd="0" presId="urn:microsoft.com/office/officeart/2005/8/layout/hierarchy3"/>
    <dgm:cxn modelId="{324B5EB5-5B43-4969-B589-61EEC2956E20}" type="presParOf" srcId="{DE478972-A52B-4CC5-B7A6-2BCCF9C52F2D}" destId="{9156352D-6D24-43EC-8CFA-DD4D869B9994}" srcOrd="3" destOrd="0" presId="urn:microsoft.com/office/officeart/2005/8/layout/hierarchy3"/>
    <dgm:cxn modelId="{0BF7CB72-2EA5-4D3A-8BD7-0EBFD492E5B1}" type="presParOf" srcId="{DE478972-A52B-4CC5-B7A6-2BCCF9C52F2D}" destId="{6FFD2F8F-4EEE-4C8E-B7D3-ABB5F34A2D4C}" srcOrd="4" destOrd="0" presId="urn:microsoft.com/office/officeart/2005/8/layout/hierarchy3"/>
    <dgm:cxn modelId="{F4A3D3F1-3EBE-4075-999E-86E07EB5B938}" type="presParOf" srcId="{DE478972-A52B-4CC5-B7A6-2BCCF9C52F2D}" destId="{818D9C18-65CE-4A3F-9330-A92579ECA450}" srcOrd="5" destOrd="0" presId="urn:microsoft.com/office/officeart/2005/8/layout/hierarchy3"/>
    <dgm:cxn modelId="{2C458D17-745F-415B-8B70-D760AC95F513}" type="presParOf" srcId="{DE478972-A52B-4CC5-B7A6-2BCCF9C52F2D}" destId="{E672734B-1002-4AF0-8818-A010335C20C5}" srcOrd="6" destOrd="0" presId="urn:microsoft.com/office/officeart/2005/8/layout/hierarchy3"/>
    <dgm:cxn modelId="{35C22E26-B2A4-40C8-92C5-0708405CD094}" type="presParOf" srcId="{DE478972-A52B-4CC5-B7A6-2BCCF9C52F2D}" destId="{73A54E53-5D5A-4FCB-AC27-3C862FCDF39A}" srcOrd="7" destOrd="0" presId="urn:microsoft.com/office/officeart/2005/8/layout/hierarchy3"/>
    <dgm:cxn modelId="{242EE8FB-0650-4566-9678-032A29B15D90}" type="presParOf" srcId="{DE478972-A52B-4CC5-B7A6-2BCCF9C52F2D}" destId="{95F2A124-6F6B-45FE-9EF5-40F43BF007B6}" srcOrd="8" destOrd="0" presId="urn:microsoft.com/office/officeart/2005/8/layout/hierarchy3"/>
    <dgm:cxn modelId="{8C47407C-26A3-43BE-9494-630F58437C54}" type="presParOf" srcId="{DE478972-A52B-4CC5-B7A6-2BCCF9C52F2D}" destId="{50523A70-D43E-4AB8-BD08-9CCD9B809B51}" srcOrd="9" destOrd="0" presId="urn:microsoft.com/office/officeart/2005/8/layout/hierarchy3"/>
    <dgm:cxn modelId="{F115C6A6-3B49-4B70-B19C-5C8B34413DE7}" type="presParOf" srcId="{DE478972-A52B-4CC5-B7A6-2BCCF9C52F2D}" destId="{FD8830AA-2612-4553-957F-780A4E9100AE}" srcOrd="10" destOrd="0" presId="urn:microsoft.com/office/officeart/2005/8/layout/hierarchy3"/>
    <dgm:cxn modelId="{114BF4B5-073F-45F3-BB99-1CDB0F75BD31}" type="presParOf" srcId="{DE478972-A52B-4CC5-B7A6-2BCCF9C52F2D}" destId="{3FBFE4B0-D101-49BA-A04C-A9744F546DC2}" srcOrd="11" destOrd="0" presId="urn:microsoft.com/office/officeart/2005/8/layout/hierarchy3"/>
    <dgm:cxn modelId="{77B78717-981C-4BB9-BE4F-547C20249A58}" type="presParOf" srcId="{DE478972-A52B-4CC5-B7A6-2BCCF9C52F2D}" destId="{3D47FFAB-29B2-4EA9-8B48-3BC16544D13A}" srcOrd="12" destOrd="0" presId="urn:microsoft.com/office/officeart/2005/8/layout/hierarchy3"/>
    <dgm:cxn modelId="{7804C77B-20CA-46E4-956B-E0EB5D5E7E4B}" type="presParOf" srcId="{DE478972-A52B-4CC5-B7A6-2BCCF9C52F2D}" destId="{9CEA1F62-B990-4A4B-8537-313A4CAEB7EA}" srcOrd="13" destOrd="0" presId="urn:microsoft.com/office/officeart/2005/8/layout/hierarchy3"/>
    <dgm:cxn modelId="{EA5B3E3E-ECC7-4FCC-9B72-D81FDF4C2D1C}" type="presParOf" srcId="{DE478972-A52B-4CC5-B7A6-2BCCF9C52F2D}" destId="{17E49BC0-CEEE-4248-965D-68268A3F631F}" srcOrd="14" destOrd="0" presId="urn:microsoft.com/office/officeart/2005/8/layout/hierarchy3"/>
    <dgm:cxn modelId="{273C8ABA-011C-4CBD-B685-34B72E9B02A4}" type="presParOf" srcId="{DE478972-A52B-4CC5-B7A6-2BCCF9C52F2D}" destId="{5C6AE8D9-C0D5-470B-AC00-3503564A35C9}" srcOrd="15" destOrd="0" presId="urn:microsoft.com/office/officeart/2005/8/layout/hierarchy3"/>
    <dgm:cxn modelId="{9E7F54C9-E792-4C59-A01D-D5981C0FC60F}" type="presParOf" srcId="{DE478972-A52B-4CC5-B7A6-2BCCF9C52F2D}" destId="{D20472C9-206B-456F-A19E-5DAE8C684362}" srcOrd="16" destOrd="0" presId="urn:microsoft.com/office/officeart/2005/8/layout/hierarchy3"/>
    <dgm:cxn modelId="{E010083A-4F05-4D7E-8DD0-E561FF4A29FB}" type="presParOf" srcId="{DE478972-A52B-4CC5-B7A6-2BCCF9C52F2D}" destId="{C5780BE5-C032-4685-B584-C4D89D667C1C}" srcOrd="17" destOrd="0" presId="urn:microsoft.com/office/officeart/2005/8/layout/hierarchy3"/>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5BD85716-C4A9-44EE-A5B4-05BCB8608700}" type="doc">
      <dgm:prSet loTypeId="urn:microsoft.com/office/officeart/2005/8/layout/hierarchy3" loCatId="hierarchy" qsTypeId="urn:microsoft.com/office/officeart/2005/8/quickstyle/simple1" qsCatId="simple" csTypeId="urn:microsoft.com/office/officeart/2005/8/colors/accent2_2" csCatId="accent2" phldr="1"/>
      <dgm:spPr/>
      <dgm:t>
        <a:bodyPr/>
        <a:lstStyle/>
        <a:p>
          <a:endParaRPr lang="pl-PL"/>
        </a:p>
      </dgm:t>
    </dgm:pt>
    <dgm:pt modelId="{1DBF08C4-5F39-4007-B7A9-834AF46DCF38}">
      <dgm:prSet phldrT="[Tekst]" custT="1"/>
      <dgm:spPr/>
      <dgm:t>
        <a:bodyPr/>
        <a:lstStyle/>
        <a:p>
          <a:r>
            <a:rPr lang="pl-PL" sz="1100"/>
            <a:t>2. CZYSTE ŚRODOWISKO I ADAPTACJA DO ZMIAN KLIMATU</a:t>
          </a:r>
        </a:p>
      </dgm:t>
    </dgm:pt>
    <dgm:pt modelId="{1394FCAC-0BA0-443E-AB54-CAB3F5CE139F}" type="parTrans" cxnId="{E706A078-84CB-4B62-BDF0-15EFCC0942CE}">
      <dgm:prSet/>
      <dgm:spPr/>
      <dgm:t>
        <a:bodyPr/>
        <a:lstStyle/>
        <a:p>
          <a:endParaRPr lang="pl-PL"/>
        </a:p>
      </dgm:t>
    </dgm:pt>
    <dgm:pt modelId="{F765F63F-3C50-4E1B-BBB6-69ED746B2FA6}" type="sibTrans" cxnId="{E706A078-84CB-4B62-BDF0-15EFCC0942CE}">
      <dgm:prSet/>
      <dgm:spPr/>
      <dgm:t>
        <a:bodyPr/>
        <a:lstStyle/>
        <a:p>
          <a:endParaRPr lang="pl-PL"/>
        </a:p>
      </dgm:t>
    </dgm:pt>
    <dgm:pt modelId="{3AF14554-BE2D-4D6B-9E3A-98BFF31548A7}">
      <dgm:prSet phldrT="[Tekst]" custT="1"/>
      <dgm:spPr/>
      <dgm:t>
        <a:bodyPr/>
        <a:lstStyle/>
        <a:p>
          <a:pPr algn="l"/>
          <a:r>
            <a:rPr lang="pl-PL" sz="1100"/>
            <a:t>2.1 Racjonalne gospodarowanie zasobami wodnymi</a:t>
          </a:r>
        </a:p>
      </dgm:t>
    </dgm:pt>
    <dgm:pt modelId="{86E454FF-C7B8-42FB-AA35-D5BF9E6AFFBE}" type="parTrans" cxnId="{E6CA3014-4F72-435A-812C-9F54D6C656A1}">
      <dgm:prSet/>
      <dgm:spPr/>
      <dgm:t>
        <a:bodyPr/>
        <a:lstStyle/>
        <a:p>
          <a:endParaRPr lang="pl-PL"/>
        </a:p>
      </dgm:t>
    </dgm:pt>
    <dgm:pt modelId="{AF60DCE0-D981-4CBD-BEEB-B97709B57E60}" type="sibTrans" cxnId="{E6CA3014-4F72-435A-812C-9F54D6C656A1}">
      <dgm:prSet/>
      <dgm:spPr/>
      <dgm:t>
        <a:bodyPr/>
        <a:lstStyle/>
        <a:p>
          <a:endParaRPr lang="pl-PL"/>
        </a:p>
      </dgm:t>
    </dgm:pt>
    <dgm:pt modelId="{A79452FB-1CB1-4E6D-A149-34039B8305B7}">
      <dgm:prSet phldrT="[Tekst]" custT="1"/>
      <dgm:spPr/>
      <dgm:t>
        <a:bodyPr/>
        <a:lstStyle/>
        <a:p>
          <a:pPr algn="l"/>
          <a:r>
            <a:rPr lang="pl-PL" sz="1100"/>
            <a:t>2.2 Transformacja gospodarki odpadami w kierunku obiegu zamkniętego</a:t>
          </a:r>
        </a:p>
      </dgm:t>
    </dgm:pt>
    <dgm:pt modelId="{32BA60A3-D6BB-47D7-9578-D6695B42AE05}" type="parTrans" cxnId="{756C788C-1507-4C4F-A59E-F7DEA6A695DC}">
      <dgm:prSet/>
      <dgm:spPr/>
      <dgm:t>
        <a:bodyPr/>
        <a:lstStyle/>
        <a:p>
          <a:endParaRPr lang="pl-PL"/>
        </a:p>
      </dgm:t>
    </dgm:pt>
    <dgm:pt modelId="{23AE9A07-9AFD-41C2-B529-9970600D2E73}" type="sibTrans" cxnId="{756C788C-1507-4C4F-A59E-F7DEA6A695DC}">
      <dgm:prSet/>
      <dgm:spPr/>
      <dgm:t>
        <a:bodyPr/>
        <a:lstStyle/>
        <a:p>
          <a:endParaRPr lang="pl-PL"/>
        </a:p>
      </dgm:t>
    </dgm:pt>
    <dgm:pt modelId="{6D2A9A7F-0B12-40CF-9CAD-6735C5619AEF}">
      <dgm:prSet custT="1"/>
      <dgm:spPr/>
      <dgm:t>
        <a:bodyPr/>
        <a:lstStyle/>
        <a:p>
          <a:pPr algn="l"/>
          <a:r>
            <a:rPr lang="pl-PL" sz="1100"/>
            <a:t>2.3 Transformacja energetyczna i czyste powietrze</a:t>
          </a:r>
        </a:p>
      </dgm:t>
    </dgm:pt>
    <dgm:pt modelId="{1D551526-F5E8-40EF-9D71-A3082A108AB8}" type="parTrans" cxnId="{76D0CD4A-7073-4A62-BB58-31E5B5BA047C}">
      <dgm:prSet/>
      <dgm:spPr/>
      <dgm:t>
        <a:bodyPr/>
        <a:lstStyle/>
        <a:p>
          <a:endParaRPr lang="pl-PL"/>
        </a:p>
      </dgm:t>
    </dgm:pt>
    <dgm:pt modelId="{BCE507A2-415F-4AC1-89BC-835E2A5053E8}" type="sibTrans" cxnId="{76D0CD4A-7073-4A62-BB58-31E5B5BA047C}">
      <dgm:prSet/>
      <dgm:spPr/>
      <dgm:t>
        <a:bodyPr/>
        <a:lstStyle/>
        <a:p>
          <a:endParaRPr lang="pl-PL"/>
        </a:p>
      </dgm:t>
    </dgm:pt>
    <dgm:pt modelId="{5FE140C2-D9AB-4DFA-B320-8D9C89DBA96D}">
      <dgm:prSet custT="1"/>
      <dgm:spPr/>
      <dgm:t>
        <a:bodyPr/>
        <a:lstStyle/>
        <a:p>
          <a:pPr algn="l"/>
          <a:r>
            <a:rPr lang="pl-PL" sz="1100"/>
            <a:t>2.4 Ochrona walorów przyrodniczych i kulturowych obszaru HOF</a:t>
          </a:r>
        </a:p>
      </dgm:t>
    </dgm:pt>
    <dgm:pt modelId="{19BF6537-D617-4882-8DC1-89A701D05E88}" type="parTrans" cxnId="{1FCCDB8B-2C2E-49DF-8EB4-7C3134D913AD}">
      <dgm:prSet/>
      <dgm:spPr/>
      <dgm:t>
        <a:bodyPr/>
        <a:lstStyle/>
        <a:p>
          <a:endParaRPr lang="pl-PL"/>
        </a:p>
      </dgm:t>
    </dgm:pt>
    <dgm:pt modelId="{AB0CE29F-A6E7-47A2-AC99-4390062FEA87}" type="sibTrans" cxnId="{1FCCDB8B-2C2E-49DF-8EB4-7C3134D913AD}">
      <dgm:prSet/>
      <dgm:spPr/>
      <dgm:t>
        <a:bodyPr/>
        <a:lstStyle/>
        <a:p>
          <a:endParaRPr lang="pl-PL"/>
        </a:p>
      </dgm:t>
    </dgm:pt>
    <dgm:pt modelId="{B9311C6D-D582-49C7-8414-60786F7BE60F}">
      <dgm:prSet custT="1"/>
      <dgm:spPr/>
      <dgm:t>
        <a:bodyPr/>
        <a:lstStyle/>
        <a:p>
          <a:pPr algn="l"/>
          <a:r>
            <a:rPr lang="pl-PL" sz="1100"/>
            <a:t>2.5 Edukacja ekologiczna i kształtowanie postaw proekologicznych wśród mieszkańców</a:t>
          </a:r>
        </a:p>
      </dgm:t>
    </dgm:pt>
    <dgm:pt modelId="{57AD36ED-019A-40E0-B025-944DECFC3B32}" type="parTrans" cxnId="{D05B83D3-5EB4-4CC2-90DD-D7D0F7EE8964}">
      <dgm:prSet/>
      <dgm:spPr/>
      <dgm:t>
        <a:bodyPr/>
        <a:lstStyle/>
        <a:p>
          <a:endParaRPr lang="pl-PL"/>
        </a:p>
      </dgm:t>
    </dgm:pt>
    <dgm:pt modelId="{93ED80D3-2D24-4EBF-8D11-D9581C142D73}" type="sibTrans" cxnId="{D05B83D3-5EB4-4CC2-90DD-D7D0F7EE8964}">
      <dgm:prSet/>
      <dgm:spPr/>
      <dgm:t>
        <a:bodyPr/>
        <a:lstStyle/>
        <a:p>
          <a:endParaRPr lang="pl-PL"/>
        </a:p>
      </dgm:t>
    </dgm:pt>
    <dgm:pt modelId="{7695F98A-5923-45B0-B1E5-63B6FB79EB35}">
      <dgm:prSet custT="1"/>
      <dgm:spPr/>
      <dgm:t>
        <a:bodyPr/>
        <a:lstStyle/>
        <a:p>
          <a:pPr algn="l"/>
          <a:r>
            <a:rPr lang="pl-PL" sz="1100"/>
            <a:t>2.6 Partnerskie wspieranie efektywności energetycznej i energooszczędności na obszarze HOF</a:t>
          </a:r>
        </a:p>
      </dgm:t>
    </dgm:pt>
    <dgm:pt modelId="{C35DFA3B-FF55-4CB8-BD0F-4186BB9F2565}" type="parTrans" cxnId="{93734FE8-F565-4510-8736-6FEA7F381EE2}">
      <dgm:prSet/>
      <dgm:spPr/>
    </dgm:pt>
    <dgm:pt modelId="{72087FE9-FC53-43DD-9B0B-EFD20D3D5490}" type="sibTrans" cxnId="{93734FE8-F565-4510-8736-6FEA7F381EE2}">
      <dgm:prSet/>
      <dgm:spPr/>
    </dgm:pt>
    <dgm:pt modelId="{FC5660B4-B8B2-421B-9CE4-D5B62ADC21B7}" type="pres">
      <dgm:prSet presAssocID="{5BD85716-C4A9-44EE-A5B4-05BCB8608700}" presName="diagram" presStyleCnt="0">
        <dgm:presLayoutVars>
          <dgm:chPref val="1"/>
          <dgm:dir/>
          <dgm:animOne val="branch"/>
          <dgm:animLvl val="lvl"/>
          <dgm:resizeHandles/>
        </dgm:presLayoutVars>
      </dgm:prSet>
      <dgm:spPr/>
      <dgm:t>
        <a:bodyPr/>
        <a:lstStyle/>
        <a:p>
          <a:endParaRPr lang="pl-PL"/>
        </a:p>
      </dgm:t>
    </dgm:pt>
    <dgm:pt modelId="{101ECD31-81A7-49A1-8E61-DBAB43A1D897}" type="pres">
      <dgm:prSet presAssocID="{1DBF08C4-5F39-4007-B7A9-834AF46DCF38}" presName="root" presStyleCnt="0"/>
      <dgm:spPr/>
      <dgm:t>
        <a:bodyPr/>
        <a:lstStyle/>
        <a:p>
          <a:endParaRPr lang="pl-PL"/>
        </a:p>
      </dgm:t>
    </dgm:pt>
    <dgm:pt modelId="{7821D30F-AF2D-4BAD-827C-35451FF0418B}" type="pres">
      <dgm:prSet presAssocID="{1DBF08C4-5F39-4007-B7A9-834AF46DCF38}" presName="rootComposite" presStyleCnt="0"/>
      <dgm:spPr/>
      <dgm:t>
        <a:bodyPr/>
        <a:lstStyle/>
        <a:p>
          <a:endParaRPr lang="pl-PL"/>
        </a:p>
      </dgm:t>
    </dgm:pt>
    <dgm:pt modelId="{D6F8E3CA-5847-4835-AC41-DBCB14E4D140}" type="pres">
      <dgm:prSet presAssocID="{1DBF08C4-5F39-4007-B7A9-834AF46DCF38}" presName="rootText" presStyleLbl="node1" presStyleIdx="0" presStyleCnt="1" custScaleX="521554" custScaleY="167729" custLinFactNeighborX="-887" custLinFactNeighborY="1532"/>
      <dgm:spPr/>
      <dgm:t>
        <a:bodyPr/>
        <a:lstStyle/>
        <a:p>
          <a:endParaRPr lang="pl-PL"/>
        </a:p>
      </dgm:t>
    </dgm:pt>
    <dgm:pt modelId="{944184D3-53DB-4978-ABA0-F20247093944}" type="pres">
      <dgm:prSet presAssocID="{1DBF08C4-5F39-4007-B7A9-834AF46DCF38}" presName="rootConnector" presStyleLbl="node1" presStyleIdx="0" presStyleCnt="1"/>
      <dgm:spPr/>
      <dgm:t>
        <a:bodyPr/>
        <a:lstStyle/>
        <a:p>
          <a:endParaRPr lang="pl-PL"/>
        </a:p>
      </dgm:t>
    </dgm:pt>
    <dgm:pt modelId="{DE478972-A52B-4CC5-B7A6-2BCCF9C52F2D}" type="pres">
      <dgm:prSet presAssocID="{1DBF08C4-5F39-4007-B7A9-834AF46DCF38}" presName="childShape" presStyleCnt="0"/>
      <dgm:spPr/>
      <dgm:t>
        <a:bodyPr/>
        <a:lstStyle/>
        <a:p>
          <a:endParaRPr lang="pl-PL"/>
        </a:p>
      </dgm:t>
    </dgm:pt>
    <dgm:pt modelId="{E811F24B-BBC3-416E-8E00-C7D10C8D754A}" type="pres">
      <dgm:prSet presAssocID="{86E454FF-C7B8-42FB-AA35-D5BF9E6AFFBE}" presName="Name13" presStyleLbl="parChTrans1D2" presStyleIdx="0" presStyleCnt="6"/>
      <dgm:spPr/>
      <dgm:t>
        <a:bodyPr/>
        <a:lstStyle/>
        <a:p>
          <a:endParaRPr lang="pl-PL"/>
        </a:p>
      </dgm:t>
    </dgm:pt>
    <dgm:pt modelId="{EBBF2DE2-8204-4F7B-9262-8DFDE515E2B9}" type="pres">
      <dgm:prSet presAssocID="{3AF14554-BE2D-4D6B-9E3A-98BFF31548A7}" presName="childText" presStyleLbl="bgAcc1" presStyleIdx="0" presStyleCnt="6" custScaleX="504254">
        <dgm:presLayoutVars>
          <dgm:bulletEnabled val="1"/>
        </dgm:presLayoutVars>
      </dgm:prSet>
      <dgm:spPr/>
      <dgm:t>
        <a:bodyPr/>
        <a:lstStyle/>
        <a:p>
          <a:endParaRPr lang="pl-PL"/>
        </a:p>
      </dgm:t>
    </dgm:pt>
    <dgm:pt modelId="{6BAB3C95-9C46-4E7A-93F5-94F6FE50C105}" type="pres">
      <dgm:prSet presAssocID="{32BA60A3-D6BB-47D7-9578-D6695B42AE05}" presName="Name13" presStyleLbl="parChTrans1D2" presStyleIdx="1" presStyleCnt="6"/>
      <dgm:spPr/>
      <dgm:t>
        <a:bodyPr/>
        <a:lstStyle/>
        <a:p>
          <a:endParaRPr lang="pl-PL"/>
        </a:p>
      </dgm:t>
    </dgm:pt>
    <dgm:pt modelId="{9156352D-6D24-43EC-8CFA-DD4D869B9994}" type="pres">
      <dgm:prSet presAssocID="{A79452FB-1CB1-4E6D-A149-34039B8305B7}" presName="childText" presStyleLbl="bgAcc1" presStyleIdx="1" presStyleCnt="6" custScaleX="564308">
        <dgm:presLayoutVars>
          <dgm:bulletEnabled val="1"/>
        </dgm:presLayoutVars>
      </dgm:prSet>
      <dgm:spPr/>
      <dgm:t>
        <a:bodyPr/>
        <a:lstStyle/>
        <a:p>
          <a:endParaRPr lang="pl-PL"/>
        </a:p>
      </dgm:t>
    </dgm:pt>
    <dgm:pt modelId="{6FFD2F8F-4EEE-4C8E-B7D3-ABB5F34A2D4C}" type="pres">
      <dgm:prSet presAssocID="{1D551526-F5E8-40EF-9D71-A3082A108AB8}" presName="Name13" presStyleLbl="parChTrans1D2" presStyleIdx="2" presStyleCnt="6"/>
      <dgm:spPr/>
      <dgm:t>
        <a:bodyPr/>
        <a:lstStyle/>
        <a:p>
          <a:endParaRPr lang="pl-PL"/>
        </a:p>
      </dgm:t>
    </dgm:pt>
    <dgm:pt modelId="{818D9C18-65CE-4A3F-9330-A92579ECA450}" type="pres">
      <dgm:prSet presAssocID="{6D2A9A7F-0B12-40CF-9CAD-6735C5619AEF}" presName="childText" presStyleLbl="bgAcc1" presStyleIdx="2" presStyleCnt="6" custScaleX="508812">
        <dgm:presLayoutVars>
          <dgm:bulletEnabled val="1"/>
        </dgm:presLayoutVars>
      </dgm:prSet>
      <dgm:spPr/>
      <dgm:t>
        <a:bodyPr/>
        <a:lstStyle/>
        <a:p>
          <a:endParaRPr lang="pl-PL"/>
        </a:p>
      </dgm:t>
    </dgm:pt>
    <dgm:pt modelId="{E672734B-1002-4AF0-8818-A010335C20C5}" type="pres">
      <dgm:prSet presAssocID="{19BF6537-D617-4882-8DC1-89A701D05E88}" presName="Name13" presStyleLbl="parChTrans1D2" presStyleIdx="3" presStyleCnt="6"/>
      <dgm:spPr/>
      <dgm:t>
        <a:bodyPr/>
        <a:lstStyle/>
        <a:p>
          <a:endParaRPr lang="pl-PL"/>
        </a:p>
      </dgm:t>
    </dgm:pt>
    <dgm:pt modelId="{73A54E53-5D5A-4FCB-AC27-3C862FCDF39A}" type="pres">
      <dgm:prSet presAssocID="{5FE140C2-D9AB-4DFA-B320-8D9C89DBA96D}" presName="childText" presStyleLbl="bgAcc1" presStyleIdx="3" presStyleCnt="6" custScaleX="515080">
        <dgm:presLayoutVars>
          <dgm:bulletEnabled val="1"/>
        </dgm:presLayoutVars>
      </dgm:prSet>
      <dgm:spPr/>
      <dgm:t>
        <a:bodyPr/>
        <a:lstStyle/>
        <a:p>
          <a:endParaRPr lang="pl-PL"/>
        </a:p>
      </dgm:t>
    </dgm:pt>
    <dgm:pt modelId="{95F2A124-6F6B-45FE-9EF5-40F43BF007B6}" type="pres">
      <dgm:prSet presAssocID="{57AD36ED-019A-40E0-B025-944DECFC3B32}" presName="Name13" presStyleLbl="parChTrans1D2" presStyleIdx="4" presStyleCnt="6"/>
      <dgm:spPr/>
      <dgm:t>
        <a:bodyPr/>
        <a:lstStyle/>
        <a:p>
          <a:endParaRPr lang="pl-PL"/>
        </a:p>
      </dgm:t>
    </dgm:pt>
    <dgm:pt modelId="{50523A70-D43E-4AB8-BD08-9CCD9B809B51}" type="pres">
      <dgm:prSet presAssocID="{B9311C6D-D582-49C7-8414-60786F7BE60F}" presName="childText" presStyleLbl="bgAcc1" presStyleIdx="4" presStyleCnt="6" custScaleX="565199">
        <dgm:presLayoutVars>
          <dgm:bulletEnabled val="1"/>
        </dgm:presLayoutVars>
      </dgm:prSet>
      <dgm:spPr/>
      <dgm:t>
        <a:bodyPr/>
        <a:lstStyle/>
        <a:p>
          <a:endParaRPr lang="pl-PL"/>
        </a:p>
      </dgm:t>
    </dgm:pt>
    <dgm:pt modelId="{CCC0A630-ED07-4489-ADBE-F4188A95E3CD}" type="pres">
      <dgm:prSet presAssocID="{C35DFA3B-FF55-4CB8-BD0F-4186BB9F2565}" presName="Name13" presStyleLbl="parChTrans1D2" presStyleIdx="5" presStyleCnt="6"/>
      <dgm:spPr/>
    </dgm:pt>
    <dgm:pt modelId="{F4939DD7-F51E-4DA5-BAF7-CC38DB62E92C}" type="pres">
      <dgm:prSet presAssocID="{7695F98A-5923-45B0-B1E5-63B6FB79EB35}" presName="childText" presStyleLbl="bgAcc1" presStyleIdx="5" presStyleCnt="6" custScaleX="486621">
        <dgm:presLayoutVars>
          <dgm:bulletEnabled val="1"/>
        </dgm:presLayoutVars>
      </dgm:prSet>
      <dgm:spPr/>
      <dgm:t>
        <a:bodyPr/>
        <a:lstStyle/>
        <a:p>
          <a:endParaRPr lang="pl-PL"/>
        </a:p>
      </dgm:t>
    </dgm:pt>
  </dgm:ptLst>
  <dgm:cxnLst>
    <dgm:cxn modelId="{93734FE8-F565-4510-8736-6FEA7F381EE2}" srcId="{1DBF08C4-5F39-4007-B7A9-834AF46DCF38}" destId="{7695F98A-5923-45B0-B1E5-63B6FB79EB35}" srcOrd="5" destOrd="0" parTransId="{C35DFA3B-FF55-4CB8-BD0F-4186BB9F2565}" sibTransId="{72087FE9-FC53-43DD-9B0B-EFD20D3D5490}"/>
    <dgm:cxn modelId="{5FA13DF2-1508-4F20-92D8-EB6BCB0B2E07}" type="presOf" srcId="{19BF6537-D617-4882-8DC1-89A701D05E88}" destId="{E672734B-1002-4AF0-8818-A010335C20C5}" srcOrd="0" destOrd="0" presId="urn:microsoft.com/office/officeart/2005/8/layout/hierarchy3"/>
    <dgm:cxn modelId="{6012FC58-BE5E-4ED6-954D-E15B9D0E2727}" type="presOf" srcId="{B9311C6D-D582-49C7-8414-60786F7BE60F}" destId="{50523A70-D43E-4AB8-BD08-9CCD9B809B51}" srcOrd="0" destOrd="0" presId="urn:microsoft.com/office/officeart/2005/8/layout/hierarchy3"/>
    <dgm:cxn modelId="{163C2C4B-E998-4827-AB4B-C1EF821BFAF2}" type="presOf" srcId="{C35DFA3B-FF55-4CB8-BD0F-4186BB9F2565}" destId="{CCC0A630-ED07-4489-ADBE-F4188A95E3CD}" srcOrd="0" destOrd="0" presId="urn:microsoft.com/office/officeart/2005/8/layout/hierarchy3"/>
    <dgm:cxn modelId="{E6CA3014-4F72-435A-812C-9F54D6C656A1}" srcId="{1DBF08C4-5F39-4007-B7A9-834AF46DCF38}" destId="{3AF14554-BE2D-4D6B-9E3A-98BFF31548A7}" srcOrd="0" destOrd="0" parTransId="{86E454FF-C7B8-42FB-AA35-D5BF9E6AFFBE}" sibTransId="{AF60DCE0-D981-4CBD-BEEB-B97709B57E60}"/>
    <dgm:cxn modelId="{1FCCDB8B-2C2E-49DF-8EB4-7C3134D913AD}" srcId="{1DBF08C4-5F39-4007-B7A9-834AF46DCF38}" destId="{5FE140C2-D9AB-4DFA-B320-8D9C89DBA96D}" srcOrd="3" destOrd="0" parTransId="{19BF6537-D617-4882-8DC1-89A701D05E88}" sibTransId="{AB0CE29F-A6E7-47A2-AC99-4390062FEA87}"/>
    <dgm:cxn modelId="{D2A7CAB5-FE3D-4E0B-8911-2E14D2972EB0}" type="presOf" srcId="{1DBF08C4-5F39-4007-B7A9-834AF46DCF38}" destId="{D6F8E3CA-5847-4835-AC41-DBCB14E4D140}" srcOrd="0" destOrd="0" presId="urn:microsoft.com/office/officeart/2005/8/layout/hierarchy3"/>
    <dgm:cxn modelId="{3B99142C-B0EB-428F-8DAA-B13186412FA7}" type="presOf" srcId="{5BD85716-C4A9-44EE-A5B4-05BCB8608700}" destId="{FC5660B4-B8B2-421B-9CE4-D5B62ADC21B7}" srcOrd="0" destOrd="0" presId="urn:microsoft.com/office/officeart/2005/8/layout/hierarchy3"/>
    <dgm:cxn modelId="{5B5D673F-A202-4E84-BC65-2F25B3698A5C}" type="presOf" srcId="{6D2A9A7F-0B12-40CF-9CAD-6735C5619AEF}" destId="{818D9C18-65CE-4A3F-9330-A92579ECA450}" srcOrd="0" destOrd="0" presId="urn:microsoft.com/office/officeart/2005/8/layout/hierarchy3"/>
    <dgm:cxn modelId="{695E6655-8197-4F11-AB73-1A654F907AE9}" type="presOf" srcId="{1D551526-F5E8-40EF-9D71-A3082A108AB8}" destId="{6FFD2F8F-4EEE-4C8E-B7D3-ABB5F34A2D4C}" srcOrd="0" destOrd="0" presId="urn:microsoft.com/office/officeart/2005/8/layout/hierarchy3"/>
    <dgm:cxn modelId="{2A0AA0A2-8B08-473D-97B1-13CAAA743D8B}" type="presOf" srcId="{5FE140C2-D9AB-4DFA-B320-8D9C89DBA96D}" destId="{73A54E53-5D5A-4FCB-AC27-3C862FCDF39A}" srcOrd="0" destOrd="0" presId="urn:microsoft.com/office/officeart/2005/8/layout/hierarchy3"/>
    <dgm:cxn modelId="{D05B83D3-5EB4-4CC2-90DD-D7D0F7EE8964}" srcId="{1DBF08C4-5F39-4007-B7A9-834AF46DCF38}" destId="{B9311C6D-D582-49C7-8414-60786F7BE60F}" srcOrd="4" destOrd="0" parTransId="{57AD36ED-019A-40E0-B025-944DECFC3B32}" sibTransId="{93ED80D3-2D24-4EBF-8D11-D9581C142D73}"/>
    <dgm:cxn modelId="{76D0CD4A-7073-4A62-BB58-31E5B5BA047C}" srcId="{1DBF08C4-5F39-4007-B7A9-834AF46DCF38}" destId="{6D2A9A7F-0B12-40CF-9CAD-6735C5619AEF}" srcOrd="2" destOrd="0" parTransId="{1D551526-F5E8-40EF-9D71-A3082A108AB8}" sibTransId="{BCE507A2-415F-4AC1-89BC-835E2A5053E8}"/>
    <dgm:cxn modelId="{971FC8B1-326D-4EA0-992B-9659CB754C52}" type="presOf" srcId="{3AF14554-BE2D-4D6B-9E3A-98BFF31548A7}" destId="{EBBF2DE2-8204-4F7B-9262-8DFDE515E2B9}" srcOrd="0" destOrd="0" presId="urn:microsoft.com/office/officeart/2005/8/layout/hierarchy3"/>
    <dgm:cxn modelId="{9B1EC7A8-F47A-49E0-B54B-AD950D08FF9D}" type="presOf" srcId="{7695F98A-5923-45B0-B1E5-63B6FB79EB35}" destId="{F4939DD7-F51E-4DA5-BAF7-CC38DB62E92C}" srcOrd="0" destOrd="0" presId="urn:microsoft.com/office/officeart/2005/8/layout/hierarchy3"/>
    <dgm:cxn modelId="{D771E119-DA66-4A21-97F6-6D8D4C87D541}" type="presOf" srcId="{1DBF08C4-5F39-4007-B7A9-834AF46DCF38}" destId="{944184D3-53DB-4978-ABA0-F20247093944}" srcOrd="1" destOrd="0" presId="urn:microsoft.com/office/officeart/2005/8/layout/hierarchy3"/>
    <dgm:cxn modelId="{D51CC7D4-DE5D-42C1-9593-9B703ACB5953}" type="presOf" srcId="{57AD36ED-019A-40E0-B025-944DECFC3B32}" destId="{95F2A124-6F6B-45FE-9EF5-40F43BF007B6}" srcOrd="0" destOrd="0" presId="urn:microsoft.com/office/officeart/2005/8/layout/hierarchy3"/>
    <dgm:cxn modelId="{A24E1292-0478-437C-A286-41DBD327B332}" type="presOf" srcId="{86E454FF-C7B8-42FB-AA35-D5BF9E6AFFBE}" destId="{E811F24B-BBC3-416E-8E00-C7D10C8D754A}" srcOrd="0" destOrd="0" presId="urn:microsoft.com/office/officeart/2005/8/layout/hierarchy3"/>
    <dgm:cxn modelId="{84B8E2D0-B6D7-454B-A0BA-74862AD4F1E2}" type="presOf" srcId="{32BA60A3-D6BB-47D7-9578-D6695B42AE05}" destId="{6BAB3C95-9C46-4E7A-93F5-94F6FE50C105}" srcOrd="0" destOrd="0" presId="urn:microsoft.com/office/officeart/2005/8/layout/hierarchy3"/>
    <dgm:cxn modelId="{93DFB756-E17B-403F-9318-82E7DDC7F16E}" type="presOf" srcId="{A79452FB-1CB1-4E6D-A149-34039B8305B7}" destId="{9156352D-6D24-43EC-8CFA-DD4D869B9994}" srcOrd="0" destOrd="0" presId="urn:microsoft.com/office/officeart/2005/8/layout/hierarchy3"/>
    <dgm:cxn modelId="{E706A078-84CB-4B62-BDF0-15EFCC0942CE}" srcId="{5BD85716-C4A9-44EE-A5B4-05BCB8608700}" destId="{1DBF08C4-5F39-4007-B7A9-834AF46DCF38}" srcOrd="0" destOrd="0" parTransId="{1394FCAC-0BA0-443E-AB54-CAB3F5CE139F}" sibTransId="{F765F63F-3C50-4E1B-BBB6-69ED746B2FA6}"/>
    <dgm:cxn modelId="{756C788C-1507-4C4F-A59E-F7DEA6A695DC}" srcId="{1DBF08C4-5F39-4007-B7A9-834AF46DCF38}" destId="{A79452FB-1CB1-4E6D-A149-34039B8305B7}" srcOrd="1" destOrd="0" parTransId="{32BA60A3-D6BB-47D7-9578-D6695B42AE05}" sibTransId="{23AE9A07-9AFD-41C2-B529-9970600D2E73}"/>
    <dgm:cxn modelId="{6E1C2E99-4E37-44B6-9C60-092320CE802C}" type="presParOf" srcId="{FC5660B4-B8B2-421B-9CE4-D5B62ADC21B7}" destId="{101ECD31-81A7-49A1-8E61-DBAB43A1D897}" srcOrd="0" destOrd="0" presId="urn:microsoft.com/office/officeart/2005/8/layout/hierarchy3"/>
    <dgm:cxn modelId="{4503D3D1-B4F3-4C13-9BA1-14C788D18529}" type="presParOf" srcId="{101ECD31-81A7-49A1-8E61-DBAB43A1D897}" destId="{7821D30F-AF2D-4BAD-827C-35451FF0418B}" srcOrd="0" destOrd="0" presId="urn:microsoft.com/office/officeart/2005/8/layout/hierarchy3"/>
    <dgm:cxn modelId="{91116360-30BA-4AD9-9FA3-B843038C1FD9}" type="presParOf" srcId="{7821D30F-AF2D-4BAD-827C-35451FF0418B}" destId="{D6F8E3CA-5847-4835-AC41-DBCB14E4D140}" srcOrd="0" destOrd="0" presId="urn:microsoft.com/office/officeart/2005/8/layout/hierarchy3"/>
    <dgm:cxn modelId="{79E95C3F-63F0-42C6-BE14-71B98F726AB7}" type="presParOf" srcId="{7821D30F-AF2D-4BAD-827C-35451FF0418B}" destId="{944184D3-53DB-4978-ABA0-F20247093944}" srcOrd="1" destOrd="0" presId="urn:microsoft.com/office/officeart/2005/8/layout/hierarchy3"/>
    <dgm:cxn modelId="{B5D9A578-A638-4A23-8769-DE7FC43E1D22}" type="presParOf" srcId="{101ECD31-81A7-49A1-8E61-DBAB43A1D897}" destId="{DE478972-A52B-4CC5-B7A6-2BCCF9C52F2D}" srcOrd="1" destOrd="0" presId="urn:microsoft.com/office/officeart/2005/8/layout/hierarchy3"/>
    <dgm:cxn modelId="{F12C1F0C-F1EF-45F8-BCAD-71F435D329F3}" type="presParOf" srcId="{DE478972-A52B-4CC5-B7A6-2BCCF9C52F2D}" destId="{E811F24B-BBC3-416E-8E00-C7D10C8D754A}" srcOrd="0" destOrd="0" presId="urn:microsoft.com/office/officeart/2005/8/layout/hierarchy3"/>
    <dgm:cxn modelId="{01537986-4531-4232-BD1E-C31516B5F469}" type="presParOf" srcId="{DE478972-A52B-4CC5-B7A6-2BCCF9C52F2D}" destId="{EBBF2DE2-8204-4F7B-9262-8DFDE515E2B9}" srcOrd="1" destOrd="0" presId="urn:microsoft.com/office/officeart/2005/8/layout/hierarchy3"/>
    <dgm:cxn modelId="{385AF931-46D1-44D8-A8DF-99612C538E94}" type="presParOf" srcId="{DE478972-A52B-4CC5-B7A6-2BCCF9C52F2D}" destId="{6BAB3C95-9C46-4E7A-93F5-94F6FE50C105}" srcOrd="2" destOrd="0" presId="urn:microsoft.com/office/officeart/2005/8/layout/hierarchy3"/>
    <dgm:cxn modelId="{85F84EA3-D5AA-4494-8E87-B0E48C90A7B3}" type="presParOf" srcId="{DE478972-A52B-4CC5-B7A6-2BCCF9C52F2D}" destId="{9156352D-6D24-43EC-8CFA-DD4D869B9994}" srcOrd="3" destOrd="0" presId="urn:microsoft.com/office/officeart/2005/8/layout/hierarchy3"/>
    <dgm:cxn modelId="{FE383854-9468-45BE-9D44-316E615FDAB5}" type="presParOf" srcId="{DE478972-A52B-4CC5-B7A6-2BCCF9C52F2D}" destId="{6FFD2F8F-4EEE-4C8E-B7D3-ABB5F34A2D4C}" srcOrd="4" destOrd="0" presId="urn:microsoft.com/office/officeart/2005/8/layout/hierarchy3"/>
    <dgm:cxn modelId="{DA6F580D-3666-4423-B071-EE36EFC61F7F}" type="presParOf" srcId="{DE478972-A52B-4CC5-B7A6-2BCCF9C52F2D}" destId="{818D9C18-65CE-4A3F-9330-A92579ECA450}" srcOrd="5" destOrd="0" presId="urn:microsoft.com/office/officeart/2005/8/layout/hierarchy3"/>
    <dgm:cxn modelId="{03F12E64-98D6-4D44-A756-62C98C5BB8C8}" type="presParOf" srcId="{DE478972-A52B-4CC5-B7A6-2BCCF9C52F2D}" destId="{E672734B-1002-4AF0-8818-A010335C20C5}" srcOrd="6" destOrd="0" presId="urn:microsoft.com/office/officeart/2005/8/layout/hierarchy3"/>
    <dgm:cxn modelId="{B461AD3D-182E-4CCF-BEC8-7E4F85F3761D}" type="presParOf" srcId="{DE478972-A52B-4CC5-B7A6-2BCCF9C52F2D}" destId="{73A54E53-5D5A-4FCB-AC27-3C862FCDF39A}" srcOrd="7" destOrd="0" presId="urn:microsoft.com/office/officeart/2005/8/layout/hierarchy3"/>
    <dgm:cxn modelId="{34A50B44-39CA-4E3C-8C36-B889B4CB6D1A}" type="presParOf" srcId="{DE478972-A52B-4CC5-B7A6-2BCCF9C52F2D}" destId="{95F2A124-6F6B-45FE-9EF5-40F43BF007B6}" srcOrd="8" destOrd="0" presId="urn:microsoft.com/office/officeart/2005/8/layout/hierarchy3"/>
    <dgm:cxn modelId="{EA46A44C-531C-4209-9E81-B694BB92CC67}" type="presParOf" srcId="{DE478972-A52B-4CC5-B7A6-2BCCF9C52F2D}" destId="{50523A70-D43E-4AB8-BD08-9CCD9B809B51}" srcOrd="9" destOrd="0" presId="urn:microsoft.com/office/officeart/2005/8/layout/hierarchy3"/>
    <dgm:cxn modelId="{BB7DB8E2-9FF1-4664-8DA7-55B75DBC9F28}" type="presParOf" srcId="{DE478972-A52B-4CC5-B7A6-2BCCF9C52F2D}" destId="{CCC0A630-ED07-4489-ADBE-F4188A95E3CD}" srcOrd="10" destOrd="0" presId="urn:microsoft.com/office/officeart/2005/8/layout/hierarchy3"/>
    <dgm:cxn modelId="{CF24FB45-60AA-47FA-AB52-34C38CFDC7DC}" type="presParOf" srcId="{DE478972-A52B-4CC5-B7A6-2BCCF9C52F2D}" destId="{F4939DD7-F51E-4DA5-BAF7-CC38DB62E92C}" srcOrd="11" destOrd="0" presId="urn:microsoft.com/office/officeart/2005/8/layout/hierarchy3"/>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BD85716-C4A9-44EE-A5B4-05BCB8608700}" type="doc">
      <dgm:prSet loTypeId="urn:microsoft.com/office/officeart/2005/8/layout/hierarchy3" loCatId="hierarchy" qsTypeId="urn:microsoft.com/office/officeart/2005/8/quickstyle/simple1" qsCatId="simple" csTypeId="urn:microsoft.com/office/officeart/2005/8/colors/accent2_2" csCatId="accent2" phldr="1"/>
      <dgm:spPr/>
      <dgm:t>
        <a:bodyPr/>
        <a:lstStyle/>
        <a:p>
          <a:endParaRPr lang="pl-PL"/>
        </a:p>
      </dgm:t>
    </dgm:pt>
    <dgm:pt modelId="{1DBF08C4-5F39-4007-B7A9-834AF46DCF38}">
      <dgm:prSet phldrT="[Tekst]" custT="1"/>
      <dgm:spPr/>
      <dgm:t>
        <a:bodyPr/>
        <a:lstStyle/>
        <a:p>
          <a:pPr algn="ctr"/>
          <a:r>
            <a:rPr lang="pl-PL" sz="1100"/>
            <a:t>3. ROZWIJAJĄCA SIĘ GOSPODARKA I LOKALNY RYNEK PRACY</a:t>
          </a:r>
        </a:p>
      </dgm:t>
    </dgm:pt>
    <dgm:pt modelId="{1394FCAC-0BA0-443E-AB54-CAB3F5CE139F}" type="parTrans" cxnId="{E706A078-84CB-4B62-BDF0-15EFCC0942CE}">
      <dgm:prSet/>
      <dgm:spPr/>
      <dgm:t>
        <a:bodyPr/>
        <a:lstStyle/>
        <a:p>
          <a:pPr algn="l"/>
          <a:endParaRPr lang="pl-PL"/>
        </a:p>
      </dgm:t>
    </dgm:pt>
    <dgm:pt modelId="{F765F63F-3C50-4E1B-BBB6-69ED746B2FA6}" type="sibTrans" cxnId="{E706A078-84CB-4B62-BDF0-15EFCC0942CE}">
      <dgm:prSet/>
      <dgm:spPr/>
      <dgm:t>
        <a:bodyPr/>
        <a:lstStyle/>
        <a:p>
          <a:pPr algn="l"/>
          <a:endParaRPr lang="pl-PL"/>
        </a:p>
      </dgm:t>
    </dgm:pt>
    <dgm:pt modelId="{3AF14554-BE2D-4D6B-9E3A-98BFF31548A7}">
      <dgm:prSet phldrT="[Tekst]" custT="1"/>
      <dgm:spPr/>
      <dgm:t>
        <a:bodyPr/>
        <a:lstStyle/>
        <a:p>
          <a:pPr algn="l"/>
          <a:r>
            <a:rPr lang="pl-PL" sz="1100"/>
            <a:t>3.1 Rozwój i wzmocnienie konkurencyjności istniejących przedsiębiorstw</a:t>
          </a:r>
        </a:p>
      </dgm:t>
    </dgm:pt>
    <dgm:pt modelId="{86E454FF-C7B8-42FB-AA35-D5BF9E6AFFBE}" type="parTrans" cxnId="{E6CA3014-4F72-435A-812C-9F54D6C656A1}">
      <dgm:prSet/>
      <dgm:spPr/>
      <dgm:t>
        <a:bodyPr/>
        <a:lstStyle/>
        <a:p>
          <a:pPr algn="l"/>
          <a:endParaRPr lang="pl-PL"/>
        </a:p>
      </dgm:t>
    </dgm:pt>
    <dgm:pt modelId="{AF60DCE0-D981-4CBD-BEEB-B97709B57E60}" type="sibTrans" cxnId="{E6CA3014-4F72-435A-812C-9F54D6C656A1}">
      <dgm:prSet/>
      <dgm:spPr/>
      <dgm:t>
        <a:bodyPr/>
        <a:lstStyle/>
        <a:p>
          <a:pPr algn="l"/>
          <a:endParaRPr lang="pl-PL"/>
        </a:p>
      </dgm:t>
    </dgm:pt>
    <dgm:pt modelId="{A79452FB-1CB1-4E6D-A149-34039B8305B7}">
      <dgm:prSet phldrT="[Tekst]" custT="1"/>
      <dgm:spPr/>
      <dgm:t>
        <a:bodyPr/>
        <a:lstStyle/>
        <a:p>
          <a:pPr algn="l"/>
          <a:r>
            <a:rPr lang="pl-PL" sz="1100"/>
            <a:t>3.2 Kreowanie przyjaznych warunków do przyciągania inwestycji i rozwoju nowych firm</a:t>
          </a:r>
        </a:p>
      </dgm:t>
    </dgm:pt>
    <dgm:pt modelId="{32BA60A3-D6BB-47D7-9578-D6695B42AE05}" type="parTrans" cxnId="{756C788C-1507-4C4F-A59E-F7DEA6A695DC}">
      <dgm:prSet/>
      <dgm:spPr/>
      <dgm:t>
        <a:bodyPr/>
        <a:lstStyle/>
        <a:p>
          <a:pPr algn="l"/>
          <a:endParaRPr lang="pl-PL"/>
        </a:p>
      </dgm:t>
    </dgm:pt>
    <dgm:pt modelId="{23AE9A07-9AFD-41C2-B529-9970600D2E73}" type="sibTrans" cxnId="{756C788C-1507-4C4F-A59E-F7DEA6A695DC}">
      <dgm:prSet/>
      <dgm:spPr/>
      <dgm:t>
        <a:bodyPr/>
        <a:lstStyle/>
        <a:p>
          <a:pPr algn="l"/>
          <a:endParaRPr lang="pl-PL"/>
        </a:p>
      </dgm:t>
    </dgm:pt>
    <dgm:pt modelId="{6D2A9A7F-0B12-40CF-9CAD-6735C5619AEF}">
      <dgm:prSet custT="1"/>
      <dgm:spPr/>
      <dgm:t>
        <a:bodyPr/>
        <a:lstStyle/>
        <a:p>
          <a:pPr algn="l"/>
          <a:r>
            <a:rPr lang="pl-PL" sz="1100"/>
            <a:t>3.3 Rozwój sektora rolno-spożywczego z większą wartością dodaną</a:t>
          </a:r>
        </a:p>
      </dgm:t>
    </dgm:pt>
    <dgm:pt modelId="{1D551526-F5E8-40EF-9D71-A3082A108AB8}" type="parTrans" cxnId="{76D0CD4A-7073-4A62-BB58-31E5B5BA047C}">
      <dgm:prSet/>
      <dgm:spPr/>
      <dgm:t>
        <a:bodyPr/>
        <a:lstStyle/>
        <a:p>
          <a:pPr algn="l"/>
          <a:endParaRPr lang="pl-PL"/>
        </a:p>
      </dgm:t>
    </dgm:pt>
    <dgm:pt modelId="{BCE507A2-415F-4AC1-89BC-835E2A5053E8}" type="sibTrans" cxnId="{76D0CD4A-7073-4A62-BB58-31E5B5BA047C}">
      <dgm:prSet/>
      <dgm:spPr/>
      <dgm:t>
        <a:bodyPr/>
        <a:lstStyle/>
        <a:p>
          <a:pPr algn="l"/>
          <a:endParaRPr lang="pl-PL"/>
        </a:p>
      </dgm:t>
    </dgm:pt>
    <dgm:pt modelId="{5FE140C2-D9AB-4DFA-B320-8D9C89DBA96D}">
      <dgm:prSet custT="1"/>
      <dgm:spPr/>
      <dgm:t>
        <a:bodyPr/>
        <a:lstStyle/>
        <a:p>
          <a:pPr algn="l"/>
          <a:r>
            <a:rPr lang="pl-PL" sz="1100"/>
            <a:t>3.4 Rozwój i promocja zintegrowanego produktu turystycznego Ziemi Hrubieszowskiej</a:t>
          </a:r>
        </a:p>
      </dgm:t>
    </dgm:pt>
    <dgm:pt modelId="{19BF6537-D617-4882-8DC1-89A701D05E88}" type="parTrans" cxnId="{1FCCDB8B-2C2E-49DF-8EB4-7C3134D913AD}">
      <dgm:prSet/>
      <dgm:spPr/>
      <dgm:t>
        <a:bodyPr/>
        <a:lstStyle/>
        <a:p>
          <a:pPr algn="l"/>
          <a:endParaRPr lang="pl-PL"/>
        </a:p>
      </dgm:t>
    </dgm:pt>
    <dgm:pt modelId="{AB0CE29F-A6E7-47A2-AC99-4390062FEA87}" type="sibTrans" cxnId="{1FCCDB8B-2C2E-49DF-8EB4-7C3134D913AD}">
      <dgm:prSet/>
      <dgm:spPr/>
      <dgm:t>
        <a:bodyPr/>
        <a:lstStyle/>
        <a:p>
          <a:pPr algn="l"/>
          <a:endParaRPr lang="pl-PL"/>
        </a:p>
      </dgm:t>
    </dgm:pt>
    <dgm:pt modelId="{81FB9375-B46E-40A9-A1A7-DF186CDF5E53}">
      <dgm:prSet custT="1"/>
      <dgm:spPr/>
      <dgm:t>
        <a:bodyPr/>
        <a:lstStyle/>
        <a:p>
          <a:pPr algn="l"/>
          <a:r>
            <a:rPr lang="pl-PL" sz="1100"/>
            <a:t>3.5 Wzmocnienie zintegrowanego potencjału gospodarczego HOF</a:t>
          </a:r>
        </a:p>
      </dgm:t>
    </dgm:pt>
    <dgm:pt modelId="{D7E01886-4018-4C39-B8EB-5D0CBA9DF94E}" type="parTrans" cxnId="{61295CDE-767F-41D9-A76D-A845E5B42B2B}">
      <dgm:prSet/>
      <dgm:spPr/>
      <dgm:t>
        <a:bodyPr/>
        <a:lstStyle/>
        <a:p>
          <a:endParaRPr lang="pl-PL"/>
        </a:p>
      </dgm:t>
    </dgm:pt>
    <dgm:pt modelId="{506CE084-C5FA-487E-90FB-69DCFBC4659E}" type="sibTrans" cxnId="{61295CDE-767F-41D9-A76D-A845E5B42B2B}">
      <dgm:prSet/>
      <dgm:spPr/>
      <dgm:t>
        <a:bodyPr/>
        <a:lstStyle/>
        <a:p>
          <a:endParaRPr lang="pl-PL"/>
        </a:p>
      </dgm:t>
    </dgm:pt>
    <dgm:pt modelId="{FC5660B4-B8B2-421B-9CE4-D5B62ADC21B7}" type="pres">
      <dgm:prSet presAssocID="{5BD85716-C4A9-44EE-A5B4-05BCB8608700}" presName="diagram" presStyleCnt="0">
        <dgm:presLayoutVars>
          <dgm:chPref val="1"/>
          <dgm:dir/>
          <dgm:animOne val="branch"/>
          <dgm:animLvl val="lvl"/>
          <dgm:resizeHandles/>
        </dgm:presLayoutVars>
      </dgm:prSet>
      <dgm:spPr/>
      <dgm:t>
        <a:bodyPr/>
        <a:lstStyle/>
        <a:p>
          <a:endParaRPr lang="pl-PL"/>
        </a:p>
      </dgm:t>
    </dgm:pt>
    <dgm:pt modelId="{101ECD31-81A7-49A1-8E61-DBAB43A1D897}" type="pres">
      <dgm:prSet presAssocID="{1DBF08C4-5F39-4007-B7A9-834AF46DCF38}" presName="root" presStyleCnt="0"/>
      <dgm:spPr/>
      <dgm:t>
        <a:bodyPr/>
        <a:lstStyle/>
        <a:p>
          <a:endParaRPr lang="pl-PL"/>
        </a:p>
      </dgm:t>
    </dgm:pt>
    <dgm:pt modelId="{7821D30F-AF2D-4BAD-827C-35451FF0418B}" type="pres">
      <dgm:prSet presAssocID="{1DBF08C4-5F39-4007-B7A9-834AF46DCF38}" presName="rootComposite" presStyleCnt="0"/>
      <dgm:spPr/>
      <dgm:t>
        <a:bodyPr/>
        <a:lstStyle/>
        <a:p>
          <a:endParaRPr lang="pl-PL"/>
        </a:p>
      </dgm:t>
    </dgm:pt>
    <dgm:pt modelId="{D6F8E3CA-5847-4835-AC41-DBCB14E4D140}" type="pres">
      <dgm:prSet presAssocID="{1DBF08C4-5F39-4007-B7A9-834AF46DCF38}" presName="rootText" presStyleLbl="node1" presStyleIdx="0" presStyleCnt="1" custScaleX="521554" custScaleY="167729" custLinFactNeighborX="-887" custLinFactNeighborY="1532"/>
      <dgm:spPr/>
      <dgm:t>
        <a:bodyPr/>
        <a:lstStyle/>
        <a:p>
          <a:endParaRPr lang="pl-PL"/>
        </a:p>
      </dgm:t>
    </dgm:pt>
    <dgm:pt modelId="{944184D3-53DB-4978-ABA0-F20247093944}" type="pres">
      <dgm:prSet presAssocID="{1DBF08C4-5F39-4007-B7A9-834AF46DCF38}" presName="rootConnector" presStyleLbl="node1" presStyleIdx="0" presStyleCnt="1"/>
      <dgm:spPr/>
      <dgm:t>
        <a:bodyPr/>
        <a:lstStyle/>
        <a:p>
          <a:endParaRPr lang="pl-PL"/>
        </a:p>
      </dgm:t>
    </dgm:pt>
    <dgm:pt modelId="{DE478972-A52B-4CC5-B7A6-2BCCF9C52F2D}" type="pres">
      <dgm:prSet presAssocID="{1DBF08C4-5F39-4007-B7A9-834AF46DCF38}" presName="childShape" presStyleCnt="0"/>
      <dgm:spPr/>
      <dgm:t>
        <a:bodyPr/>
        <a:lstStyle/>
        <a:p>
          <a:endParaRPr lang="pl-PL"/>
        </a:p>
      </dgm:t>
    </dgm:pt>
    <dgm:pt modelId="{E811F24B-BBC3-416E-8E00-C7D10C8D754A}" type="pres">
      <dgm:prSet presAssocID="{86E454FF-C7B8-42FB-AA35-D5BF9E6AFFBE}" presName="Name13" presStyleLbl="parChTrans1D2" presStyleIdx="0" presStyleCnt="5"/>
      <dgm:spPr/>
      <dgm:t>
        <a:bodyPr/>
        <a:lstStyle/>
        <a:p>
          <a:endParaRPr lang="pl-PL"/>
        </a:p>
      </dgm:t>
    </dgm:pt>
    <dgm:pt modelId="{EBBF2DE2-8204-4F7B-9262-8DFDE515E2B9}" type="pres">
      <dgm:prSet presAssocID="{3AF14554-BE2D-4D6B-9E3A-98BFF31548A7}" presName="childText" presStyleLbl="bgAcc1" presStyleIdx="0" presStyleCnt="5" custScaleX="504254">
        <dgm:presLayoutVars>
          <dgm:bulletEnabled val="1"/>
        </dgm:presLayoutVars>
      </dgm:prSet>
      <dgm:spPr/>
      <dgm:t>
        <a:bodyPr/>
        <a:lstStyle/>
        <a:p>
          <a:endParaRPr lang="pl-PL"/>
        </a:p>
      </dgm:t>
    </dgm:pt>
    <dgm:pt modelId="{6BAB3C95-9C46-4E7A-93F5-94F6FE50C105}" type="pres">
      <dgm:prSet presAssocID="{32BA60A3-D6BB-47D7-9578-D6695B42AE05}" presName="Name13" presStyleLbl="parChTrans1D2" presStyleIdx="1" presStyleCnt="5"/>
      <dgm:spPr/>
      <dgm:t>
        <a:bodyPr/>
        <a:lstStyle/>
        <a:p>
          <a:endParaRPr lang="pl-PL"/>
        </a:p>
      </dgm:t>
    </dgm:pt>
    <dgm:pt modelId="{9156352D-6D24-43EC-8CFA-DD4D869B9994}" type="pres">
      <dgm:prSet presAssocID="{A79452FB-1CB1-4E6D-A149-34039B8305B7}" presName="childText" presStyleLbl="bgAcc1" presStyleIdx="1" presStyleCnt="5" custScaleX="505015">
        <dgm:presLayoutVars>
          <dgm:bulletEnabled val="1"/>
        </dgm:presLayoutVars>
      </dgm:prSet>
      <dgm:spPr/>
      <dgm:t>
        <a:bodyPr/>
        <a:lstStyle/>
        <a:p>
          <a:endParaRPr lang="pl-PL"/>
        </a:p>
      </dgm:t>
    </dgm:pt>
    <dgm:pt modelId="{6FFD2F8F-4EEE-4C8E-B7D3-ABB5F34A2D4C}" type="pres">
      <dgm:prSet presAssocID="{1D551526-F5E8-40EF-9D71-A3082A108AB8}" presName="Name13" presStyleLbl="parChTrans1D2" presStyleIdx="2" presStyleCnt="5"/>
      <dgm:spPr/>
      <dgm:t>
        <a:bodyPr/>
        <a:lstStyle/>
        <a:p>
          <a:endParaRPr lang="pl-PL"/>
        </a:p>
      </dgm:t>
    </dgm:pt>
    <dgm:pt modelId="{818D9C18-65CE-4A3F-9330-A92579ECA450}" type="pres">
      <dgm:prSet presAssocID="{6D2A9A7F-0B12-40CF-9CAD-6735C5619AEF}" presName="childText" presStyleLbl="bgAcc1" presStyleIdx="2" presStyleCnt="5" custScaleX="508812">
        <dgm:presLayoutVars>
          <dgm:bulletEnabled val="1"/>
        </dgm:presLayoutVars>
      </dgm:prSet>
      <dgm:spPr/>
      <dgm:t>
        <a:bodyPr/>
        <a:lstStyle/>
        <a:p>
          <a:endParaRPr lang="pl-PL"/>
        </a:p>
      </dgm:t>
    </dgm:pt>
    <dgm:pt modelId="{E672734B-1002-4AF0-8818-A010335C20C5}" type="pres">
      <dgm:prSet presAssocID="{19BF6537-D617-4882-8DC1-89A701D05E88}" presName="Name13" presStyleLbl="parChTrans1D2" presStyleIdx="3" presStyleCnt="5"/>
      <dgm:spPr/>
      <dgm:t>
        <a:bodyPr/>
        <a:lstStyle/>
        <a:p>
          <a:endParaRPr lang="pl-PL"/>
        </a:p>
      </dgm:t>
    </dgm:pt>
    <dgm:pt modelId="{73A54E53-5D5A-4FCB-AC27-3C862FCDF39A}" type="pres">
      <dgm:prSet presAssocID="{5FE140C2-D9AB-4DFA-B320-8D9C89DBA96D}" presName="childText" presStyleLbl="bgAcc1" presStyleIdx="3" presStyleCnt="5" custScaleX="658237">
        <dgm:presLayoutVars>
          <dgm:bulletEnabled val="1"/>
        </dgm:presLayoutVars>
      </dgm:prSet>
      <dgm:spPr/>
      <dgm:t>
        <a:bodyPr/>
        <a:lstStyle/>
        <a:p>
          <a:endParaRPr lang="pl-PL"/>
        </a:p>
      </dgm:t>
    </dgm:pt>
    <dgm:pt modelId="{8A1D7790-9A97-4A26-963B-DDE43FC6AEAE}" type="pres">
      <dgm:prSet presAssocID="{D7E01886-4018-4C39-B8EB-5D0CBA9DF94E}" presName="Name13" presStyleLbl="parChTrans1D2" presStyleIdx="4" presStyleCnt="5"/>
      <dgm:spPr/>
      <dgm:t>
        <a:bodyPr/>
        <a:lstStyle/>
        <a:p>
          <a:endParaRPr lang="pl-PL"/>
        </a:p>
      </dgm:t>
    </dgm:pt>
    <dgm:pt modelId="{665FC89D-70AB-4179-8D79-5DA63281AABD}" type="pres">
      <dgm:prSet presAssocID="{81FB9375-B46E-40A9-A1A7-DF186CDF5E53}" presName="childText" presStyleLbl="bgAcc1" presStyleIdx="4" presStyleCnt="5" custScaleX="503239">
        <dgm:presLayoutVars>
          <dgm:bulletEnabled val="1"/>
        </dgm:presLayoutVars>
      </dgm:prSet>
      <dgm:spPr/>
      <dgm:t>
        <a:bodyPr/>
        <a:lstStyle/>
        <a:p>
          <a:endParaRPr lang="pl-PL"/>
        </a:p>
      </dgm:t>
    </dgm:pt>
  </dgm:ptLst>
  <dgm:cxnLst>
    <dgm:cxn modelId="{CBD2A894-9A5E-441E-A01D-7FC49A69B2EE}" type="presOf" srcId="{19BF6537-D617-4882-8DC1-89A701D05E88}" destId="{E672734B-1002-4AF0-8818-A010335C20C5}" srcOrd="0" destOrd="0" presId="urn:microsoft.com/office/officeart/2005/8/layout/hierarchy3"/>
    <dgm:cxn modelId="{ACC0D6FA-F669-4742-8C74-9B0257C11AF8}" type="presOf" srcId="{81FB9375-B46E-40A9-A1A7-DF186CDF5E53}" destId="{665FC89D-70AB-4179-8D79-5DA63281AABD}" srcOrd="0" destOrd="0" presId="urn:microsoft.com/office/officeart/2005/8/layout/hierarchy3"/>
    <dgm:cxn modelId="{61295CDE-767F-41D9-A76D-A845E5B42B2B}" srcId="{1DBF08C4-5F39-4007-B7A9-834AF46DCF38}" destId="{81FB9375-B46E-40A9-A1A7-DF186CDF5E53}" srcOrd="4" destOrd="0" parTransId="{D7E01886-4018-4C39-B8EB-5D0CBA9DF94E}" sibTransId="{506CE084-C5FA-487E-90FB-69DCFBC4659E}"/>
    <dgm:cxn modelId="{756C788C-1507-4C4F-A59E-F7DEA6A695DC}" srcId="{1DBF08C4-5F39-4007-B7A9-834AF46DCF38}" destId="{A79452FB-1CB1-4E6D-A149-34039B8305B7}" srcOrd="1" destOrd="0" parTransId="{32BA60A3-D6BB-47D7-9578-D6695B42AE05}" sibTransId="{23AE9A07-9AFD-41C2-B529-9970600D2E73}"/>
    <dgm:cxn modelId="{7256CA6C-7909-4C8D-B7CD-504CC246157D}" type="presOf" srcId="{1DBF08C4-5F39-4007-B7A9-834AF46DCF38}" destId="{944184D3-53DB-4978-ABA0-F20247093944}" srcOrd="1" destOrd="0" presId="urn:microsoft.com/office/officeart/2005/8/layout/hierarchy3"/>
    <dgm:cxn modelId="{A1424762-7365-4579-AD14-EE4E966A1CDF}" type="presOf" srcId="{6D2A9A7F-0B12-40CF-9CAD-6735C5619AEF}" destId="{818D9C18-65CE-4A3F-9330-A92579ECA450}" srcOrd="0" destOrd="0" presId="urn:microsoft.com/office/officeart/2005/8/layout/hierarchy3"/>
    <dgm:cxn modelId="{A6BE74FD-8DD1-4B80-9A21-5C3E1D38E1C7}" type="presOf" srcId="{D7E01886-4018-4C39-B8EB-5D0CBA9DF94E}" destId="{8A1D7790-9A97-4A26-963B-DDE43FC6AEAE}" srcOrd="0" destOrd="0" presId="urn:microsoft.com/office/officeart/2005/8/layout/hierarchy3"/>
    <dgm:cxn modelId="{763981D6-479C-4ECC-9E7C-6B81CEC8E411}" type="presOf" srcId="{1DBF08C4-5F39-4007-B7A9-834AF46DCF38}" destId="{D6F8E3CA-5847-4835-AC41-DBCB14E4D140}" srcOrd="0" destOrd="0" presId="urn:microsoft.com/office/officeart/2005/8/layout/hierarchy3"/>
    <dgm:cxn modelId="{77B220B6-1A00-45FF-8D74-B7283F09BCCA}" type="presOf" srcId="{3AF14554-BE2D-4D6B-9E3A-98BFF31548A7}" destId="{EBBF2DE2-8204-4F7B-9262-8DFDE515E2B9}" srcOrd="0" destOrd="0" presId="urn:microsoft.com/office/officeart/2005/8/layout/hierarchy3"/>
    <dgm:cxn modelId="{0857AE64-8F8D-446A-9D7F-5A153DDD7DE7}" type="presOf" srcId="{A79452FB-1CB1-4E6D-A149-34039B8305B7}" destId="{9156352D-6D24-43EC-8CFA-DD4D869B9994}" srcOrd="0" destOrd="0" presId="urn:microsoft.com/office/officeart/2005/8/layout/hierarchy3"/>
    <dgm:cxn modelId="{9C00D9CC-EB50-437A-BB01-329265C3FE2F}" type="presOf" srcId="{5BD85716-C4A9-44EE-A5B4-05BCB8608700}" destId="{FC5660B4-B8B2-421B-9CE4-D5B62ADC21B7}" srcOrd="0" destOrd="0" presId="urn:microsoft.com/office/officeart/2005/8/layout/hierarchy3"/>
    <dgm:cxn modelId="{401688DA-38CB-4679-AEFF-83F196723B29}" type="presOf" srcId="{32BA60A3-D6BB-47D7-9578-D6695B42AE05}" destId="{6BAB3C95-9C46-4E7A-93F5-94F6FE50C105}" srcOrd="0" destOrd="0" presId="urn:microsoft.com/office/officeart/2005/8/layout/hierarchy3"/>
    <dgm:cxn modelId="{E6CA3014-4F72-435A-812C-9F54D6C656A1}" srcId="{1DBF08C4-5F39-4007-B7A9-834AF46DCF38}" destId="{3AF14554-BE2D-4D6B-9E3A-98BFF31548A7}" srcOrd="0" destOrd="0" parTransId="{86E454FF-C7B8-42FB-AA35-D5BF9E6AFFBE}" sibTransId="{AF60DCE0-D981-4CBD-BEEB-B97709B57E60}"/>
    <dgm:cxn modelId="{76D0CD4A-7073-4A62-BB58-31E5B5BA047C}" srcId="{1DBF08C4-5F39-4007-B7A9-834AF46DCF38}" destId="{6D2A9A7F-0B12-40CF-9CAD-6735C5619AEF}" srcOrd="2" destOrd="0" parTransId="{1D551526-F5E8-40EF-9D71-A3082A108AB8}" sibTransId="{BCE507A2-415F-4AC1-89BC-835E2A5053E8}"/>
    <dgm:cxn modelId="{78EF3A25-403E-478A-9B16-CA2E1E5D7C34}" type="presOf" srcId="{1D551526-F5E8-40EF-9D71-A3082A108AB8}" destId="{6FFD2F8F-4EEE-4C8E-B7D3-ABB5F34A2D4C}" srcOrd="0" destOrd="0" presId="urn:microsoft.com/office/officeart/2005/8/layout/hierarchy3"/>
    <dgm:cxn modelId="{34D2FB1C-B4A9-4E36-85F6-72FC6851BC68}" type="presOf" srcId="{5FE140C2-D9AB-4DFA-B320-8D9C89DBA96D}" destId="{73A54E53-5D5A-4FCB-AC27-3C862FCDF39A}" srcOrd="0" destOrd="0" presId="urn:microsoft.com/office/officeart/2005/8/layout/hierarchy3"/>
    <dgm:cxn modelId="{D7E381D0-69A1-453F-AE92-09B4037228E3}" type="presOf" srcId="{86E454FF-C7B8-42FB-AA35-D5BF9E6AFFBE}" destId="{E811F24B-BBC3-416E-8E00-C7D10C8D754A}" srcOrd="0" destOrd="0" presId="urn:microsoft.com/office/officeart/2005/8/layout/hierarchy3"/>
    <dgm:cxn modelId="{1FCCDB8B-2C2E-49DF-8EB4-7C3134D913AD}" srcId="{1DBF08C4-5F39-4007-B7A9-834AF46DCF38}" destId="{5FE140C2-D9AB-4DFA-B320-8D9C89DBA96D}" srcOrd="3" destOrd="0" parTransId="{19BF6537-D617-4882-8DC1-89A701D05E88}" sibTransId="{AB0CE29F-A6E7-47A2-AC99-4390062FEA87}"/>
    <dgm:cxn modelId="{E706A078-84CB-4B62-BDF0-15EFCC0942CE}" srcId="{5BD85716-C4A9-44EE-A5B4-05BCB8608700}" destId="{1DBF08C4-5F39-4007-B7A9-834AF46DCF38}" srcOrd="0" destOrd="0" parTransId="{1394FCAC-0BA0-443E-AB54-CAB3F5CE139F}" sibTransId="{F765F63F-3C50-4E1B-BBB6-69ED746B2FA6}"/>
    <dgm:cxn modelId="{59E0AED9-DBFA-4A0F-8C78-32F4A6CE7374}" type="presParOf" srcId="{FC5660B4-B8B2-421B-9CE4-D5B62ADC21B7}" destId="{101ECD31-81A7-49A1-8E61-DBAB43A1D897}" srcOrd="0" destOrd="0" presId="urn:microsoft.com/office/officeart/2005/8/layout/hierarchy3"/>
    <dgm:cxn modelId="{4EE4DF11-4663-49ED-A70F-6D393DB6F488}" type="presParOf" srcId="{101ECD31-81A7-49A1-8E61-DBAB43A1D897}" destId="{7821D30F-AF2D-4BAD-827C-35451FF0418B}" srcOrd="0" destOrd="0" presId="urn:microsoft.com/office/officeart/2005/8/layout/hierarchy3"/>
    <dgm:cxn modelId="{1F011920-3454-44A1-B389-E55B11DEAEF1}" type="presParOf" srcId="{7821D30F-AF2D-4BAD-827C-35451FF0418B}" destId="{D6F8E3CA-5847-4835-AC41-DBCB14E4D140}" srcOrd="0" destOrd="0" presId="urn:microsoft.com/office/officeart/2005/8/layout/hierarchy3"/>
    <dgm:cxn modelId="{F1913DC3-6E5E-441D-AD45-7FA7DD8A90AB}" type="presParOf" srcId="{7821D30F-AF2D-4BAD-827C-35451FF0418B}" destId="{944184D3-53DB-4978-ABA0-F20247093944}" srcOrd="1" destOrd="0" presId="urn:microsoft.com/office/officeart/2005/8/layout/hierarchy3"/>
    <dgm:cxn modelId="{70F0A893-D13D-4477-AF8B-AB5965794D82}" type="presParOf" srcId="{101ECD31-81A7-49A1-8E61-DBAB43A1D897}" destId="{DE478972-A52B-4CC5-B7A6-2BCCF9C52F2D}" srcOrd="1" destOrd="0" presId="urn:microsoft.com/office/officeart/2005/8/layout/hierarchy3"/>
    <dgm:cxn modelId="{776064CA-3E90-46D3-8441-294B6CE97FFE}" type="presParOf" srcId="{DE478972-A52B-4CC5-B7A6-2BCCF9C52F2D}" destId="{E811F24B-BBC3-416E-8E00-C7D10C8D754A}" srcOrd="0" destOrd="0" presId="urn:microsoft.com/office/officeart/2005/8/layout/hierarchy3"/>
    <dgm:cxn modelId="{8A132BCE-7CC2-4A2E-8076-7B83A8C92FF9}" type="presParOf" srcId="{DE478972-A52B-4CC5-B7A6-2BCCF9C52F2D}" destId="{EBBF2DE2-8204-4F7B-9262-8DFDE515E2B9}" srcOrd="1" destOrd="0" presId="urn:microsoft.com/office/officeart/2005/8/layout/hierarchy3"/>
    <dgm:cxn modelId="{FB133E65-00ED-4C0C-B978-911433ABF3BD}" type="presParOf" srcId="{DE478972-A52B-4CC5-B7A6-2BCCF9C52F2D}" destId="{6BAB3C95-9C46-4E7A-93F5-94F6FE50C105}" srcOrd="2" destOrd="0" presId="urn:microsoft.com/office/officeart/2005/8/layout/hierarchy3"/>
    <dgm:cxn modelId="{B6520EAF-8E81-47A8-8B56-8D25C4C7CF10}" type="presParOf" srcId="{DE478972-A52B-4CC5-B7A6-2BCCF9C52F2D}" destId="{9156352D-6D24-43EC-8CFA-DD4D869B9994}" srcOrd="3" destOrd="0" presId="urn:microsoft.com/office/officeart/2005/8/layout/hierarchy3"/>
    <dgm:cxn modelId="{9518F41B-7CF5-44D5-9344-B4474E160C3E}" type="presParOf" srcId="{DE478972-A52B-4CC5-B7A6-2BCCF9C52F2D}" destId="{6FFD2F8F-4EEE-4C8E-B7D3-ABB5F34A2D4C}" srcOrd="4" destOrd="0" presId="urn:microsoft.com/office/officeart/2005/8/layout/hierarchy3"/>
    <dgm:cxn modelId="{C727E2C4-62B5-4E2D-A84B-B48928AE011A}" type="presParOf" srcId="{DE478972-A52B-4CC5-B7A6-2BCCF9C52F2D}" destId="{818D9C18-65CE-4A3F-9330-A92579ECA450}" srcOrd="5" destOrd="0" presId="urn:microsoft.com/office/officeart/2005/8/layout/hierarchy3"/>
    <dgm:cxn modelId="{6B2D7A3A-17F8-467E-A680-C26D969B7E3F}" type="presParOf" srcId="{DE478972-A52B-4CC5-B7A6-2BCCF9C52F2D}" destId="{E672734B-1002-4AF0-8818-A010335C20C5}" srcOrd="6" destOrd="0" presId="urn:microsoft.com/office/officeart/2005/8/layout/hierarchy3"/>
    <dgm:cxn modelId="{A700F491-D5EF-45F5-9DA1-2D83DA617EB1}" type="presParOf" srcId="{DE478972-A52B-4CC5-B7A6-2BCCF9C52F2D}" destId="{73A54E53-5D5A-4FCB-AC27-3C862FCDF39A}" srcOrd="7" destOrd="0" presId="urn:microsoft.com/office/officeart/2005/8/layout/hierarchy3"/>
    <dgm:cxn modelId="{A265E48B-C404-49D3-8A47-B0C461AB55F8}" type="presParOf" srcId="{DE478972-A52B-4CC5-B7A6-2BCCF9C52F2D}" destId="{8A1D7790-9A97-4A26-963B-DDE43FC6AEAE}" srcOrd="8" destOrd="0" presId="urn:microsoft.com/office/officeart/2005/8/layout/hierarchy3"/>
    <dgm:cxn modelId="{8B305828-5B7C-43D9-8F2C-7945141EFC96}" type="presParOf" srcId="{DE478972-A52B-4CC5-B7A6-2BCCF9C52F2D}" destId="{665FC89D-70AB-4179-8D79-5DA63281AABD}" srcOrd="9" destOrd="0" presId="urn:microsoft.com/office/officeart/2005/8/layout/hierarchy3"/>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5BD85716-C4A9-44EE-A5B4-05BCB8608700}" type="doc">
      <dgm:prSet loTypeId="urn:microsoft.com/office/officeart/2005/8/layout/hierarchy3" loCatId="hierarchy" qsTypeId="urn:microsoft.com/office/officeart/2005/8/quickstyle/simple1" qsCatId="simple" csTypeId="urn:microsoft.com/office/officeart/2005/8/colors/accent2_2" csCatId="accent2" phldr="1"/>
      <dgm:spPr/>
      <dgm:t>
        <a:bodyPr/>
        <a:lstStyle/>
        <a:p>
          <a:endParaRPr lang="pl-PL"/>
        </a:p>
      </dgm:t>
    </dgm:pt>
    <dgm:pt modelId="{1DBF08C4-5F39-4007-B7A9-834AF46DCF38}">
      <dgm:prSet phldrT="[Tekst]" custT="1"/>
      <dgm:spPr/>
      <dgm:t>
        <a:bodyPr/>
        <a:lstStyle/>
        <a:p>
          <a:r>
            <a:rPr lang="pl-PL" sz="1100"/>
            <a:t>4. SPRAWNA ADMINISTRACJA I AKTYWNE SPOŁECZEŃSTWO OBYWATELSKIE </a:t>
          </a:r>
        </a:p>
      </dgm:t>
    </dgm:pt>
    <dgm:pt modelId="{1394FCAC-0BA0-443E-AB54-CAB3F5CE139F}" type="parTrans" cxnId="{E706A078-84CB-4B62-BDF0-15EFCC0942CE}">
      <dgm:prSet/>
      <dgm:spPr/>
      <dgm:t>
        <a:bodyPr/>
        <a:lstStyle/>
        <a:p>
          <a:endParaRPr lang="pl-PL"/>
        </a:p>
      </dgm:t>
    </dgm:pt>
    <dgm:pt modelId="{F765F63F-3C50-4E1B-BBB6-69ED746B2FA6}" type="sibTrans" cxnId="{E706A078-84CB-4B62-BDF0-15EFCC0942CE}">
      <dgm:prSet/>
      <dgm:spPr/>
      <dgm:t>
        <a:bodyPr/>
        <a:lstStyle/>
        <a:p>
          <a:endParaRPr lang="pl-PL"/>
        </a:p>
      </dgm:t>
    </dgm:pt>
    <dgm:pt modelId="{3AF14554-BE2D-4D6B-9E3A-98BFF31548A7}">
      <dgm:prSet phldrT="[Tekst]" custT="1"/>
      <dgm:spPr/>
      <dgm:t>
        <a:bodyPr/>
        <a:lstStyle/>
        <a:p>
          <a:pPr algn="l"/>
          <a:r>
            <a:rPr lang="pl-PL" sz="1100"/>
            <a:t>4.1 Wzmacnianie zdolności instytucjonalnej administracji samorządowej w zakresie zintegrowanego zarządzania rozwojem HOF</a:t>
          </a:r>
        </a:p>
      </dgm:t>
    </dgm:pt>
    <dgm:pt modelId="{86E454FF-C7B8-42FB-AA35-D5BF9E6AFFBE}" type="parTrans" cxnId="{E6CA3014-4F72-435A-812C-9F54D6C656A1}">
      <dgm:prSet/>
      <dgm:spPr/>
      <dgm:t>
        <a:bodyPr/>
        <a:lstStyle/>
        <a:p>
          <a:endParaRPr lang="pl-PL"/>
        </a:p>
      </dgm:t>
    </dgm:pt>
    <dgm:pt modelId="{AF60DCE0-D981-4CBD-BEEB-B97709B57E60}" type="sibTrans" cxnId="{E6CA3014-4F72-435A-812C-9F54D6C656A1}">
      <dgm:prSet/>
      <dgm:spPr/>
      <dgm:t>
        <a:bodyPr/>
        <a:lstStyle/>
        <a:p>
          <a:endParaRPr lang="pl-PL"/>
        </a:p>
      </dgm:t>
    </dgm:pt>
    <dgm:pt modelId="{A79452FB-1CB1-4E6D-A149-34039B8305B7}">
      <dgm:prSet phldrT="[Tekst]" custT="1"/>
      <dgm:spPr/>
      <dgm:t>
        <a:bodyPr/>
        <a:lstStyle/>
        <a:p>
          <a:pPr algn="l"/>
          <a:r>
            <a:rPr lang="pl-PL" sz="1100"/>
            <a:t>4.2 Cyfryzacja usług i zasobów administracji samorządowej</a:t>
          </a:r>
        </a:p>
      </dgm:t>
    </dgm:pt>
    <dgm:pt modelId="{32BA60A3-D6BB-47D7-9578-D6695B42AE05}" type="parTrans" cxnId="{756C788C-1507-4C4F-A59E-F7DEA6A695DC}">
      <dgm:prSet/>
      <dgm:spPr/>
      <dgm:t>
        <a:bodyPr/>
        <a:lstStyle/>
        <a:p>
          <a:endParaRPr lang="pl-PL"/>
        </a:p>
      </dgm:t>
    </dgm:pt>
    <dgm:pt modelId="{23AE9A07-9AFD-41C2-B529-9970600D2E73}" type="sibTrans" cxnId="{756C788C-1507-4C4F-A59E-F7DEA6A695DC}">
      <dgm:prSet/>
      <dgm:spPr/>
      <dgm:t>
        <a:bodyPr/>
        <a:lstStyle/>
        <a:p>
          <a:endParaRPr lang="pl-PL"/>
        </a:p>
      </dgm:t>
    </dgm:pt>
    <dgm:pt modelId="{6D2A9A7F-0B12-40CF-9CAD-6735C5619AEF}">
      <dgm:prSet custT="1"/>
      <dgm:spPr/>
      <dgm:t>
        <a:bodyPr/>
        <a:lstStyle/>
        <a:p>
          <a:pPr algn="l"/>
          <a:r>
            <a:rPr lang="pl-PL" sz="1100"/>
            <a:t>4.3 Aktywizacja obywatelska mieszkańców oraz budowanie kapitału społecznego</a:t>
          </a:r>
        </a:p>
      </dgm:t>
    </dgm:pt>
    <dgm:pt modelId="{1D551526-F5E8-40EF-9D71-A3082A108AB8}" type="parTrans" cxnId="{76D0CD4A-7073-4A62-BB58-31E5B5BA047C}">
      <dgm:prSet/>
      <dgm:spPr/>
      <dgm:t>
        <a:bodyPr/>
        <a:lstStyle/>
        <a:p>
          <a:endParaRPr lang="pl-PL"/>
        </a:p>
      </dgm:t>
    </dgm:pt>
    <dgm:pt modelId="{BCE507A2-415F-4AC1-89BC-835E2A5053E8}" type="sibTrans" cxnId="{76D0CD4A-7073-4A62-BB58-31E5B5BA047C}">
      <dgm:prSet/>
      <dgm:spPr/>
      <dgm:t>
        <a:bodyPr/>
        <a:lstStyle/>
        <a:p>
          <a:endParaRPr lang="pl-PL"/>
        </a:p>
      </dgm:t>
    </dgm:pt>
    <dgm:pt modelId="{5FE140C2-D9AB-4DFA-B320-8D9C89DBA96D}">
      <dgm:prSet custT="1"/>
      <dgm:spPr/>
      <dgm:t>
        <a:bodyPr/>
        <a:lstStyle/>
        <a:p>
          <a:pPr algn="l"/>
          <a:r>
            <a:rPr lang="pl-PL" sz="1100"/>
            <a:t>4.4 Skuteczny marketing oraz promocja obszaru HOF i jego potencjałów rozwoju</a:t>
          </a:r>
        </a:p>
      </dgm:t>
    </dgm:pt>
    <dgm:pt modelId="{19BF6537-D617-4882-8DC1-89A701D05E88}" type="parTrans" cxnId="{1FCCDB8B-2C2E-49DF-8EB4-7C3134D913AD}">
      <dgm:prSet/>
      <dgm:spPr/>
      <dgm:t>
        <a:bodyPr/>
        <a:lstStyle/>
        <a:p>
          <a:endParaRPr lang="pl-PL"/>
        </a:p>
      </dgm:t>
    </dgm:pt>
    <dgm:pt modelId="{AB0CE29F-A6E7-47A2-AC99-4390062FEA87}" type="sibTrans" cxnId="{1FCCDB8B-2C2E-49DF-8EB4-7C3134D913AD}">
      <dgm:prSet/>
      <dgm:spPr/>
      <dgm:t>
        <a:bodyPr/>
        <a:lstStyle/>
        <a:p>
          <a:endParaRPr lang="pl-PL"/>
        </a:p>
      </dgm:t>
    </dgm:pt>
    <dgm:pt modelId="{FA30FD1C-A709-4E2C-8078-37295ACAD812}">
      <dgm:prSet custT="1"/>
      <dgm:spPr/>
      <dgm:t>
        <a:bodyPr/>
        <a:lstStyle/>
        <a:p>
          <a:pPr algn="l"/>
          <a:r>
            <a:rPr lang="pl-PL" sz="1100"/>
            <a:t>4.5 Zintegrowana cyfryzacja usług publicznych kierowana do mieszkańców HOF</a:t>
          </a:r>
        </a:p>
      </dgm:t>
    </dgm:pt>
    <dgm:pt modelId="{480136BE-4965-45F5-8D29-AE66EE4CF07E}" type="parTrans" cxnId="{2F69A5BE-B639-499A-B919-26589DBFA63A}">
      <dgm:prSet/>
      <dgm:spPr/>
      <dgm:t>
        <a:bodyPr/>
        <a:lstStyle/>
        <a:p>
          <a:endParaRPr lang="pl-PL"/>
        </a:p>
      </dgm:t>
    </dgm:pt>
    <dgm:pt modelId="{56106BF2-4264-4A42-863F-2D0CB74E7D14}" type="sibTrans" cxnId="{2F69A5BE-B639-499A-B919-26589DBFA63A}">
      <dgm:prSet/>
      <dgm:spPr/>
      <dgm:t>
        <a:bodyPr/>
        <a:lstStyle/>
        <a:p>
          <a:endParaRPr lang="pl-PL"/>
        </a:p>
      </dgm:t>
    </dgm:pt>
    <dgm:pt modelId="{FC5660B4-B8B2-421B-9CE4-D5B62ADC21B7}" type="pres">
      <dgm:prSet presAssocID="{5BD85716-C4A9-44EE-A5B4-05BCB8608700}" presName="diagram" presStyleCnt="0">
        <dgm:presLayoutVars>
          <dgm:chPref val="1"/>
          <dgm:dir/>
          <dgm:animOne val="branch"/>
          <dgm:animLvl val="lvl"/>
          <dgm:resizeHandles/>
        </dgm:presLayoutVars>
      </dgm:prSet>
      <dgm:spPr/>
      <dgm:t>
        <a:bodyPr/>
        <a:lstStyle/>
        <a:p>
          <a:endParaRPr lang="pl-PL"/>
        </a:p>
      </dgm:t>
    </dgm:pt>
    <dgm:pt modelId="{101ECD31-81A7-49A1-8E61-DBAB43A1D897}" type="pres">
      <dgm:prSet presAssocID="{1DBF08C4-5F39-4007-B7A9-834AF46DCF38}" presName="root" presStyleCnt="0"/>
      <dgm:spPr/>
      <dgm:t>
        <a:bodyPr/>
        <a:lstStyle/>
        <a:p>
          <a:endParaRPr lang="pl-PL"/>
        </a:p>
      </dgm:t>
    </dgm:pt>
    <dgm:pt modelId="{7821D30F-AF2D-4BAD-827C-35451FF0418B}" type="pres">
      <dgm:prSet presAssocID="{1DBF08C4-5F39-4007-B7A9-834AF46DCF38}" presName="rootComposite" presStyleCnt="0"/>
      <dgm:spPr/>
      <dgm:t>
        <a:bodyPr/>
        <a:lstStyle/>
        <a:p>
          <a:endParaRPr lang="pl-PL"/>
        </a:p>
      </dgm:t>
    </dgm:pt>
    <dgm:pt modelId="{D6F8E3CA-5847-4835-AC41-DBCB14E4D140}" type="pres">
      <dgm:prSet presAssocID="{1DBF08C4-5F39-4007-B7A9-834AF46DCF38}" presName="rootText" presStyleLbl="node1" presStyleIdx="0" presStyleCnt="1" custScaleX="521554" custScaleY="167729" custLinFactNeighborX="-415" custLinFactNeighborY="121"/>
      <dgm:spPr/>
      <dgm:t>
        <a:bodyPr/>
        <a:lstStyle/>
        <a:p>
          <a:endParaRPr lang="pl-PL"/>
        </a:p>
      </dgm:t>
    </dgm:pt>
    <dgm:pt modelId="{944184D3-53DB-4978-ABA0-F20247093944}" type="pres">
      <dgm:prSet presAssocID="{1DBF08C4-5F39-4007-B7A9-834AF46DCF38}" presName="rootConnector" presStyleLbl="node1" presStyleIdx="0" presStyleCnt="1"/>
      <dgm:spPr/>
      <dgm:t>
        <a:bodyPr/>
        <a:lstStyle/>
        <a:p>
          <a:endParaRPr lang="pl-PL"/>
        </a:p>
      </dgm:t>
    </dgm:pt>
    <dgm:pt modelId="{DE478972-A52B-4CC5-B7A6-2BCCF9C52F2D}" type="pres">
      <dgm:prSet presAssocID="{1DBF08C4-5F39-4007-B7A9-834AF46DCF38}" presName="childShape" presStyleCnt="0"/>
      <dgm:spPr/>
      <dgm:t>
        <a:bodyPr/>
        <a:lstStyle/>
        <a:p>
          <a:endParaRPr lang="pl-PL"/>
        </a:p>
      </dgm:t>
    </dgm:pt>
    <dgm:pt modelId="{E811F24B-BBC3-416E-8E00-C7D10C8D754A}" type="pres">
      <dgm:prSet presAssocID="{86E454FF-C7B8-42FB-AA35-D5BF9E6AFFBE}" presName="Name13" presStyleLbl="parChTrans1D2" presStyleIdx="0" presStyleCnt="5"/>
      <dgm:spPr/>
      <dgm:t>
        <a:bodyPr/>
        <a:lstStyle/>
        <a:p>
          <a:endParaRPr lang="pl-PL"/>
        </a:p>
      </dgm:t>
    </dgm:pt>
    <dgm:pt modelId="{EBBF2DE2-8204-4F7B-9262-8DFDE515E2B9}" type="pres">
      <dgm:prSet presAssocID="{3AF14554-BE2D-4D6B-9E3A-98BFF31548A7}" presName="childText" presStyleLbl="bgAcc1" presStyleIdx="0" presStyleCnt="5" custScaleX="625277">
        <dgm:presLayoutVars>
          <dgm:bulletEnabled val="1"/>
        </dgm:presLayoutVars>
      </dgm:prSet>
      <dgm:spPr/>
      <dgm:t>
        <a:bodyPr/>
        <a:lstStyle/>
        <a:p>
          <a:endParaRPr lang="pl-PL"/>
        </a:p>
      </dgm:t>
    </dgm:pt>
    <dgm:pt modelId="{6BAB3C95-9C46-4E7A-93F5-94F6FE50C105}" type="pres">
      <dgm:prSet presAssocID="{32BA60A3-D6BB-47D7-9578-D6695B42AE05}" presName="Name13" presStyleLbl="parChTrans1D2" presStyleIdx="1" presStyleCnt="5"/>
      <dgm:spPr/>
      <dgm:t>
        <a:bodyPr/>
        <a:lstStyle/>
        <a:p>
          <a:endParaRPr lang="pl-PL"/>
        </a:p>
      </dgm:t>
    </dgm:pt>
    <dgm:pt modelId="{9156352D-6D24-43EC-8CFA-DD4D869B9994}" type="pres">
      <dgm:prSet presAssocID="{A79452FB-1CB1-4E6D-A149-34039B8305B7}" presName="childText" presStyleLbl="bgAcc1" presStyleIdx="1" presStyleCnt="5" custScaleX="505015">
        <dgm:presLayoutVars>
          <dgm:bulletEnabled val="1"/>
        </dgm:presLayoutVars>
      </dgm:prSet>
      <dgm:spPr/>
      <dgm:t>
        <a:bodyPr/>
        <a:lstStyle/>
        <a:p>
          <a:endParaRPr lang="pl-PL"/>
        </a:p>
      </dgm:t>
    </dgm:pt>
    <dgm:pt modelId="{6FFD2F8F-4EEE-4C8E-B7D3-ABB5F34A2D4C}" type="pres">
      <dgm:prSet presAssocID="{1D551526-F5E8-40EF-9D71-A3082A108AB8}" presName="Name13" presStyleLbl="parChTrans1D2" presStyleIdx="2" presStyleCnt="5"/>
      <dgm:spPr/>
      <dgm:t>
        <a:bodyPr/>
        <a:lstStyle/>
        <a:p>
          <a:endParaRPr lang="pl-PL"/>
        </a:p>
      </dgm:t>
    </dgm:pt>
    <dgm:pt modelId="{818D9C18-65CE-4A3F-9330-A92579ECA450}" type="pres">
      <dgm:prSet presAssocID="{6D2A9A7F-0B12-40CF-9CAD-6735C5619AEF}" presName="childText" presStyleLbl="bgAcc1" presStyleIdx="2" presStyleCnt="5" custScaleX="630480">
        <dgm:presLayoutVars>
          <dgm:bulletEnabled val="1"/>
        </dgm:presLayoutVars>
      </dgm:prSet>
      <dgm:spPr/>
      <dgm:t>
        <a:bodyPr/>
        <a:lstStyle/>
        <a:p>
          <a:endParaRPr lang="pl-PL"/>
        </a:p>
      </dgm:t>
    </dgm:pt>
    <dgm:pt modelId="{E672734B-1002-4AF0-8818-A010335C20C5}" type="pres">
      <dgm:prSet presAssocID="{19BF6537-D617-4882-8DC1-89A701D05E88}" presName="Name13" presStyleLbl="parChTrans1D2" presStyleIdx="3" presStyleCnt="5"/>
      <dgm:spPr/>
      <dgm:t>
        <a:bodyPr/>
        <a:lstStyle/>
        <a:p>
          <a:endParaRPr lang="pl-PL"/>
        </a:p>
      </dgm:t>
    </dgm:pt>
    <dgm:pt modelId="{73A54E53-5D5A-4FCB-AC27-3C862FCDF39A}" type="pres">
      <dgm:prSet presAssocID="{5FE140C2-D9AB-4DFA-B320-8D9C89DBA96D}" presName="childText" presStyleLbl="bgAcc1" presStyleIdx="3" presStyleCnt="5" custScaleX="626605">
        <dgm:presLayoutVars>
          <dgm:bulletEnabled val="1"/>
        </dgm:presLayoutVars>
      </dgm:prSet>
      <dgm:spPr/>
      <dgm:t>
        <a:bodyPr/>
        <a:lstStyle/>
        <a:p>
          <a:endParaRPr lang="pl-PL"/>
        </a:p>
      </dgm:t>
    </dgm:pt>
    <dgm:pt modelId="{092213B6-F6C3-4702-9DF7-D81A35B3E63D}" type="pres">
      <dgm:prSet presAssocID="{480136BE-4965-45F5-8D29-AE66EE4CF07E}" presName="Name13" presStyleLbl="parChTrans1D2" presStyleIdx="4" presStyleCnt="5"/>
      <dgm:spPr/>
      <dgm:t>
        <a:bodyPr/>
        <a:lstStyle/>
        <a:p>
          <a:endParaRPr lang="pl-PL"/>
        </a:p>
      </dgm:t>
    </dgm:pt>
    <dgm:pt modelId="{0ADBDB08-FF15-45AD-A453-70B1BD3800DB}" type="pres">
      <dgm:prSet presAssocID="{FA30FD1C-A709-4E2C-8078-37295ACAD812}" presName="childText" presStyleLbl="bgAcc1" presStyleIdx="4" presStyleCnt="5" custScaleX="653505">
        <dgm:presLayoutVars>
          <dgm:bulletEnabled val="1"/>
        </dgm:presLayoutVars>
      </dgm:prSet>
      <dgm:spPr/>
      <dgm:t>
        <a:bodyPr/>
        <a:lstStyle/>
        <a:p>
          <a:endParaRPr lang="pl-PL"/>
        </a:p>
      </dgm:t>
    </dgm:pt>
  </dgm:ptLst>
  <dgm:cxnLst>
    <dgm:cxn modelId="{E6CA3014-4F72-435A-812C-9F54D6C656A1}" srcId="{1DBF08C4-5F39-4007-B7A9-834AF46DCF38}" destId="{3AF14554-BE2D-4D6B-9E3A-98BFF31548A7}" srcOrd="0" destOrd="0" parTransId="{86E454FF-C7B8-42FB-AA35-D5BF9E6AFFBE}" sibTransId="{AF60DCE0-D981-4CBD-BEEB-B97709B57E60}"/>
    <dgm:cxn modelId="{4CC8F588-D780-4D8D-A80B-64E0D7335ACC}" type="presOf" srcId="{FA30FD1C-A709-4E2C-8078-37295ACAD812}" destId="{0ADBDB08-FF15-45AD-A453-70B1BD3800DB}" srcOrd="0" destOrd="0" presId="urn:microsoft.com/office/officeart/2005/8/layout/hierarchy3"/>
    <dgm:cxn modelId="{1FCCDB8B-2C2E-49DF-8EB4-7C3134D913AD}" srcId="{1DBF08C4-5F39-4007-B7A9-834AF46DCF38}" destId="{5FE140C2-D9AB-4DFA-B320-8D9C89DBA96D}" srcOrd="3" destOrd="0" parTransId="{19BF6537-D617-4882-8DC1-89A701D05E88}" sibTransId="{AB0CE29F-A6E7-47A2-AC99-4390062FEA87}"/>
    <dgm:cxn modelId="{B1BE7DE6-0A56-4C16-A849-49DCD23FD130}" type="presOf" srcId="{1D551526-F5E8-40EF-9D71-A3082A108AB8}" destId="{6FFD2F8F-4EEE-4C8E-B7D3-ABB5F34A2D4C}" srcOrd="0" destOrd="0" presId="urn:microsoft.com/office/officeart/2005/8/layout/hierarchy3"/>
    <dgm:cxn modelId="{D167CB57-D411-4CE9-9E46-8A22428C4FCD}" type="presOf" srcId="{A79452FB-1CB1-4E6D-A149-34039B8305B7}" destId="{9156352D-6D24-43EC-8CFA-DD4D869B9994}" srcOrd="0" destOrd="0" presId="urn:microsoft.com/office/officeart/2005/8/layout/hierarchy3"/>
    <dgm:cxn modelId="{856F2D4E-F9EB-453E-BF96-DEC3F639E8C8}" type="presOf" srcId="{5BD85716-C4A9-44EE-A5B4-05BCB8608700}" destId="{FC5660B4-B8B2-421B-9CE4-D5B62ADC21B7}" srcOrd="0" destOrd="0" presId="urn:microsoft.com/office/officeart/2005/8/layout/hierarchy3"/>
    <dgm:cxn modelId="{AD268D6E-DC6D-4DDA-96B1-F063F8ECBFE4}" type="presOf" srcId="{6D2A9A7F-0B12-40CF-9CAD-6735C5619AEF}" destId="{818D9C18-65CE-4A3F-9330-A92579ECA450}" srcOrd="0" destOrd="0" presId="urn:microsoft.com/office/officeart/2005/8/layout/hierarchy3"/>
    <dgm:cxn modelId="{163FCBAE-C815-498F-B52C-71B3B77FDD58}" type="presOf" srcId="{86E454FF-C7B8-42FB-AA35-D5BF9E6AFFBE}" destId="{E811F24B-BBC3-416E-8E00-C7D10C8D754A}" srcOrd="0" destOrd="0" presId="urn:microsoft.com/office/officeart/2005/8/layout/hierarchy3"/>
    <dgm:cxn modelId="{40B80FD3-AD2F-4817-BEFB-6CC4C7EB52C0}" type="presOf" srcId="{32BA60A3-D6BB-47D7-9578-D6695B42AE05}" destId="{6BAB3C95-9C46-4E7A-93F5-94F6FE50C105}" srcOrd="0" destOrd="0" presId="urn:microsoft.com/office/officeart/2005/8/layout/hierarchy3"/>
    <dgm:cxn modelId="{86C101EF-959E-4C12-B5F8-BDA357E96A8E}" type="presOf" srcId="{480136BE-4965-45F5-8D29-AE66EE4CF07E}" destId="{092213B6-F6C3-4702-9DF7-D81A35B3E63D}" srcOrd="0" destOrd="0" presId="urn:microsoft.com/office/officeart/2005/8/layout/hierarchy3"/>
    <dgm:cxn modelId="{76D0CD4A-7073-4A62-BB58-31E5B5BA047C}" srcId="{1DBF08C4-5F39-4007-B7A9-834AF46DCF38}" destId="{6D2A9A7F-0B12-40CF-9CAD-6735C5619AEF}" srcOrd="2" destOrd="0" parTransId="{1D551526-F5E8-40EF-9D71-A3082A108AB8}" sibTransId="{BCE507A2-415F-4AC1-89BC-835E2A5053E8}"/>
    <dgm:cxn modelId="{572AED7D-E784-4304-B346-896EC83C3117}" type="presOf" srcId="{1DBF08C4-5F39-4007-B7A9-834AF46DCF38}" destId="{D6F8E3CA-5847-4835-AC41-DBCB14E4D140}" srcOrd="0" destOrd="0" presId="urn:microsoft.com/office/officeart/2005/8/layout/hierarchy3"/>
    <dgm:cxn modelId="{5FFB4E18-D5E3-4C48-AD03-E2C399BCE3BE}" type="presOf" srcId="{19BF6537-D617-4882-8DC1-89A701D05E88}" destId="{E672734B-1002-4AF0-8818-A010335C20C5}" srcOrd="0" destOrd="0" presId="urn:microsoft.com/office/officeart/2005/8/layout/hierarchy3"/>
    <dgm:cxn modelId="{2F69A5BE-B639-499A-B919-26589DBFA63A}" srcId="{1DBF08C4-5F39-4007-B7A9-834AF46DCF38}" destId="{FA30FD1C-A709-4E2C-8078-37295ACAD812}" srcOrd="4" destOrd="0" parTransId="{480136BE-4965-45F5-8D29-AE66EE4CF07E}" sibTransId="{56106BF2-4264-4A42-863F-2D0CB74E7D14}"/>
    <dgm:cxn modelId="{7A950C0A-BBF7-4414-960B-92F18374F86D}" type="presOf" srcId="{3AF14554-BE2D-4D6B-9E3A-98BFF31548A7}" destId="{EBBF2DE2-8204-4F7B-9262-8DFDE515E2B9}" srcOrd="0" destOrd="0" presId="urn:microsoft.com/office/officeart/2005/8/layout/hierarchy3"/>
    <dgm:cxn modelId="{3BC4C29C-2956-4D57-A998-CC769422BC79}" type="presOf" srcId="{1DBF08C4-5F39-4007-B7A9-834AF46DCF38}" destId="{944184D3-53DB-4978-ABA0-F20247093944}" srcOrd="1" destOrd="0" presId="urn:microsoft.com/office/officeart/2005/8/layout/hierarchy3"/>
    <dgm:cxn modelId="{E706A078-84CB-4B62-BDF0-15EFCC0942CE}" srcId="{5BD85716-C4A9-44EE-A5B4-05BCB8608700}" destId="{1DBF08C4-5F39-4007-B7A9-834AF46DCF38}" srcOrd="0" destOrd="0" parTransId="{1394FCAC-0BA0-443E-AB54-CAB3F5CE139F}" sibTransId="{F765F63F-3C50-4E1B-BBB6-69ED746B2FA6}"/>
    <dgm:cxn modelId="{756C788C-1507-4C4F-A59E-F7DEA6A695DC}" srcId="{1DBF08C4-5F39-4007-B7A9-834AF46DCF38}" destId="{A79452FB-1CB1-4E6D-A149-34039B8305B7}" srcOrd="1" destOrd="0" parTransId="{32BA60A3-D6BB-47D7-9578-D6695B42AE05}" sibTransId="{23AE9A07-9AFD-41C2-B529-9970600D2E73}"/>
    <dgm:cxn modelId="{37975709-2643-4A48-825D-EF2D7524DB4F}" type="presOf" srcId="{5FE140C2-D9AB-4DFA-B320-8D9C89DBA96D}" destId="{73A54E53-5D5A-4FCB-AC27-3C862FCDF39A}" srcOrd="0" destOrd="0" presId="urn:microsoft.com/office/officeart/2005/8/layout/hierarchy3"/>
    <dgm:cxn modelId="{D7CA6D2A-0BD6-4CF5-9CBA-6B91BDD0030F}" type="presParOf" srcId="{FC5660B4-B8B2-421B-9CE4-D5B62ADC21B7}" destId="{101ECD31-81A7-49A1-8E61-DBAB43A1D897}" srcOrd="0" destOrd="0" presId="urn:microsoft.com/office/officeart/2005/8/layout/hierarchy3"/>
    <dgm:cxn modelId="{6319E0B7-56F9-4DA4-80AF-B6103866615C}" type="presParOf" srcId="{101ECD31-81A7-49A1-8E61-DBAB43A1D897}" destId="{7821D30F-AF2D-4BAD-827C-35451FF0418B}" srcOrd="0" destOrd="0" presId="urn:microsoft.com/office/officeart/2005/8/layout/hierarchy3"/>
    <dgm:cxn modelId="{285EA79C-C9BA-4A07-BDDE-C3842ED0DE2B}" type="presParOf" srcId="{7821D30F-AF2D-4BAD-827C-35451FF0418B}" destId="{D6F8E3CA-5847-4835-AC41-DBCB14E4D140}" srcOrd="0" destOrd="0" presId="urn:microsoft.com/office/officeart/2005/8/layout/hierarchy3"/>
    <dgm:cxn modelId="{FC123D8F-C3AE-4726-ADF5-44358033D699}" type="presParOf" srcId="{7821D30F-AF2D-4BAD-827C-35451FF0418B}" destId="{944184D3-53DB-4978-ABA0-F20247093944}" srcOrd="1" destOrd="0" presId="urn:microsoft.com/office/officeart/2005/8/layout/hierarchy3"/>
    <dgm:cxn modelId="{23A0ABF7-EECF-45F1-9270-77A49FE59B2C}" type="presParOf" srcId="{101ECD31-81A7-49A1-8E61-DBAB43A1D897}" destId="{DE478972-A52B-4CC5-B7A6-2BCCF9C52F2D}" srcOrd="1" destOrd="0" presId="urn:microsoft.com/office/officeart/2005/8/layout/hierarchy3"/>
    <dgm:cxn modelId="{6B52D9D0-A566-4E7D-8B45-FDF380687254}" type="presParOf" srcId="{DE478972-A52B-4CC5-B7A6-2BCCF9C52F2D}" destId="{E811F24B-BBC3-416E-8E00-C7D10C8D754A}" srcOrd="0" destOrd="0" presId="urn:microsoft.com/office/officeart/2005/8/layout/hierarchy3"/>
    <dgm:cxn modelId="{36449445-EB60-47D3-9FF0-D2E8798285BB}" type="presParOf" srcId="{DE478972-A52B-4CC5-B7A6-2BCCF9C52F2D}" destId="{EBBF2DE2-8204-4F7B-9262-8DFDE515E2B9}" srcOrd="1" destOrd="0" presId="urn:microsoft.com/office/officeart/2005/8/layout/hierarchy3"/>
    <dgm:cxn modelId="{1FB79E3A-902C-4079-8602-FF0DB67D779B}" type="presParOf" srcId="{DE478972-A52B-4CC5-B7A6-2BCCF9C52F2D}" destId="{6BAB3C95-9C46-4E7A-93F5-94F6FE50C105}" srcOrd="2" destOrd="0" presId="urn:microsoft.com/office/officeart/2005/8/layout/hierarchy3"/>
    <dgm:cxn modelId="{BD49C48B-0640-41F2-BD0B-D8AC8A2E88ED}" type="presParOf" srcId="{DE478972-A52B-4CC5-B7A6-2BCCF9C52F2D}" destId="{9156352D-6D24-43EC-8CFA-DD4D869B9994}" srcOrd="3" destOrd="0" presId="urn:microsoft.com/office/officeart/2005/8/layout/hierarchy3"/>
    <dgm:cxn modelId="{A375A8DA-485B-4F25-861F-939D39E08EF5}" type="presParOf" srcId="{DE478972-A52B-4CC5-B7A6-2BCCF9C52F2D}" destId="{6FFD2F8F-4EEE-4C8E-B7D3-ABB5F34A2D4C}" srcOrd="4" destOrd="0" presId="urn:microsoft.com/office/officeart/2005/8/layout/hierarchy3"/>
    <dgm:cxn modelId="{7853C898-23E8-4FD7-9580-156BC20CDE88}" type="presParOf" srcId="{DE478972-A52B-4CC5-B7A6-2BCCF9C52F2D}" destId="{818D9C18-65CE-4A3F-9330-A92579ECA450}" srcOrd="5" destOrd="0" presId="urn:microsoft.com/office/officeart/2005/8/layout/hierarchy3"/>
    <dgm:cxn modelId="{EE3EE5D0-9FA3-408F-84CC-CBFD04025074}" type="presParOf" srcId="{DE478972-A52B-4CC5-B7A6-2BCCF9C52F2D}" destId="{E672734B-1002-4AF0-8818-A010335C20C5}" srcOrd="6" destOrd="0" presId="urn:microsoft.com/office/officeart/2005/8/layout/hierarchy3"/>
    <dgm:cxn modelId="{206083C8-8BD5-4C82-B067-85AA49B753AA}" type="presParOf" srcId="{DE478972-A52B-4CC5-B7A6-2BCCF9C52F2D}" destId="{73A54E53-5D5A-4FCB-AC27-3C862FCDF39A}" srcOrd="7" destOrd="0" presId="urn:microsoft.com/office/officeart/2005/8/layout/hierarchy3"/>
    <dgm:cxn modelId="{E400C839-3CDF-46F5-9096-2D97A9F59332}" type="presParOf" srcId="{DE478972-A52B-4CC5-B7A6-2BCCF9C52F2D}" destId="{092213B6-F6C3-4702-9DF7-D81A35B3E63D}" srcOrd="8" destOrd="0" presId="urn:microsoft.com/office/officeart/2005/8/layout/hierarchy3"/>
    <dgm:cxn modelId="{E87A1CF6-7837-485E-8356-4B7427F0447A}" type="presParOf" srcId="{DE478972-A52B-4CC5-B7A6-2BCCF9C52F2D}" destId="{0ADBDB08-FF15-45AD-A453-70B1BD3800DB}" srcOrd="9" destOrd="0" presId="urn:microsoft.com/office/officeart/2005/8/layout/hierarchy3"/>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CBC66D62-28EB-4E03-A707-1CA562A479A4}" type="doc">
      <dgm:prSet loTypeId="urn:microsoft.com/office/officeart/2005/8/layout/radial6" loCatId="cycle" qsTypeId="urn:microsoft.com/office/officeart/2005/8/quickstyle/simple1" qsCatId="simple" csTypeId="urn:microsoft.com/office/officeart/2005/8/colors/accent5_2" csCatId="accent5" phldr="1"/>
      <dgm:spPr/>
      <dgm:t>
        <a:bodyPr/>
        <a:lstStyle/>
        <a:p>
          <a:endParaRPr lang="pl-PL"/>
        </a:p>
      </dgm:t>
    </dgm:pt>
    <dgm:pt modelId="{EB5C48CA-4C32-4C50-8A88-C4CA5431C5AF}">
      <dgm:prSet phldrT="[Tekst]"/>
      <dgm:spPr/>
      <dgm:t>
        <a:bodyPr/>
        <a:lstStyle/>
        <a:p>
          <a:pPr algn="ctr"/>
          <a:r>
            <a:rPr lang="pl-PL"/>
            <a:t>Model funkcjonalno-przestrzenny HOF</a:t>
          </a:r>
        </a:p>
      </dgm:t>
    </dgm:pt>
    <dgm:pt modelId="{13367FEE-C79F-4BAC-92C1-7FC68A4D4C99}" type="parTrans" cxnId="{08D46D5C-B5EB-4BFE-8C21-6F4176E515F8}">
      <dgm:prSet/>
      <dgm:spPr/>
      <dgm:t>
        <a:bodyPr/>
        <a:lstStyle/>
        <a:p>
          <a:pPr algn="ctr"/>
          <a:endParaRPr lang="pl-PL"/>
        </a:p>
      </dgm:t>
    </dgm:pt>
    <dgm:pt modelId="{CD6DF9B0-1AF9-464E-A2E1-8BB60E81096E}" type="sibTrans" cxnId="{08D46D5C-B5EB-4BFE-8C21-6F4176E515F8}">
      <dgm:prSet/>
      <dgm:spPr/>
      <dgm:t>
        <a:bodyPr/>
        <a:lstStyle/>
        <a:p>
          <a:pPr algn="ctr"/>
          <a:endParaRPr lang="pl-PL"/>
        </a:p>
      </dgm:t>
    </dgm:pt>
    <dgm:pt modelId="{350412C6-C25F-4054-8B26-7D3781B6B876}">
      <dgm:prSet phldrT="[Tekst]"/>
      <dgm:spPr/>
      <dgm:t>
        <a:bodyPr/>
        <a:lstStyle/>
        <a:p>
          <a:pPr algn="ctr"/>
          <a:r>
            <a:rPr lang="pl-PL"/>
            <a:t>SRWL</a:t>
          </a:r>
        </a:p>
      </dgm:t>
    </dgm:pt>
    <dgm:pt modelId="{BA3F565B-E289-457D-AC57-316222BED976}" type="parTrans" cxnId="{B4D663A3-A94F-4C89-9A70-96557F4438AB}">
      <dgm:prSet/>
      <dgm:spPr/>
      <dgm:t>
        <a:bodyPr/>
        <a:lstStyle/>
        <a:p>
          <a:pPr algn="ctr"/>
          <a:endParaRPr lang="pl-PL"/>
        </a:p>
      </dgm:t>
    </dgm:pt>
    <dgm:pt modelId="{DF2310EA-9FC8-4AAE-BB51-2D9AF3AC922A}" type="sibTrans" cxnId="{B4D663A3-A94F-4C89-9A70-96557F4438AB}">
      <dgm:prSet/>
      <dgm:spPr/>
      <dgm:t>
        <a:bodyPr/>
        <a:lstStyle/>
        <a:p>
          <a:pPr algn="ctr"/>
          <a:endParaRPr lang="pl-PL"/>
        </a:p>
      </dgm:t>
    </dgm:pt>
    <dgm:pt modelId="{DCDBC21C-8E80-453D-A2B9-A3CAB7316F41}">
      <dgm:prSet phldrT="[Tekst]"/>
      <dgm:spPr/>
      <dgm:t>
        <a:bodyPr/>
        <a:lstStyle/>
        <a:p>
          <a:pPr algn="ctr"/>
          <a:r>
            <a:rPr lang="pl-PL"/>
            <a:t>infrastruktura techniczna</a:t>
          </a:r>
        </a:p>
      </dgm:t>
    </dgm:pt>
    <dgm:pt modelId="{4CEBFC06-B2BE-4223-83E3-DF0DFE18FECF}" type="parTrans" cxnId="{D89B3D8E-C6D7-4D01-B7A3-A14B6789D542}">
      <dgm:prSet/>
      <dgm:spPr/>
      <dgm:t>
        <a:bodyPr/>
        <a:lstStyle/>
        <a:p>
          <a:pPr algn="ctr"/>
          <a:endParaRPr lang="pl-PL"/>
        </a:p>
      </dgm:t>
    </dgm:pt>
    <dgm:pt modelId="{E9727931-8E24-4173-8B66-88489156BD8C}" type="sibTrans" cxnId="{D89B3D8E-C6D7-4D01-B7A3-A14B6789D542}">
      <dgm:prSet/>
      <dgm:spPr/>
      <dgm:t>
        <a:bodyPr/>
        <a:lstStyle/>
        <a:p>
          <a:pPr algn="ctr"/>
          <a:endParaRPr lang="pl-PL"/>
        </a:p>
      </dgm:t>
    </dgm:pt>
    <dgm:pt modelId="{E521F5D7-AEB5-4792-A749-CF857E0CBF26}">
      <dgm:prSet phldrT="[Tekst]"/>
      <dgm:spPr/>
      <dgm:t>
        <a:bodyPr/>
        <a:lstStyle/>
        <a:p>
          <a:pPr algn="ctr"/>
          <a:r>
            <a:rPr lang="pl-PL"/>
            <a:t>Potrzeby </a:t>
          </a:r>
        </a:p>
      </dgm:t>
    </dgm:pt>
    <dgm:pt modelId="{0BC7624F-C998-4059-85CF-D2FE87FA612C}" type="parTrans" cxnId="{F753AF6E-15FB-4580-A96F-F70FC3DA7092}">
      <dgm:prSet/>
      <dgm:spPr/>
      <dgm:t>
        <a:bodyPr/>
        <a:lstStyle/>
        <a:p>
          <a:pPr algn="ctr"/>
          <a:endParaRPr lang="pl-PL"/>
        </a:p>
      </dgm:t>
    </dgm:pt>
    <dgm:pt modelId="{D914B3A3-38AC-49CA-8FD8-4A31A2FEAC9C}" type="sibTrans" cxnId="{F753AF6E-15FB-4580-A96F-F70FC3DA7092}">
      <dgm:prSet/>
      <dgm:spPr/>
      <dgm:t>
        <a:bodyPr/>
        <a:lstStyle/>
        <a:p>
          <a:pPr algn="ctr"/>
          <a:endParaRPr lang="pl-PL"/>
        </a:p>
      </dgm:t>
    </dgm:pt>
    <dgm:pt modelId="{FE2E3111-E1D1-413F-99B8-9BC90E1EF522}">
      <dgm:prSet phldrT="[Tekst]"/>
      <dgm:spPr/>
      <dgm:t>
        <a:bodyPr/>
        <a:lstStyle/>
        <a:p>
          <a:pPr algn="ctr"/>
          <a:r>
            <a:rPr lang="pl-PL"/>
            <a:t>Demografia, układ osadniczy</a:t>
          </a:r>
        </a:p>
      </dgm:t>
    </dgm:pt>
    <dgm:pt modelId="{4BE2C617-9624-4D95-B749-153F36455832}" type="parTrans" cxnId="{9D8AA004-EB7D-48A6-9F47-BD66D99F76CF}">
      <dgm:prSet/>
      <dgm:spPr/>
      <dgm:t>
        <a:bodyPr/>
        <a:lstStyle/>
        <a:p>
          <a:pPr algn="ctr"/>
          <a:endParaRPr lang="pl-PL"/>
        </a:p>
      </dgm:t>
    </dgm:pt>
    <dgm:pt modelId="{743250BD-2793-4ACD-AED7-331A179B860F}" type="sibTrans" cxnId="{9D8AA004-EB7D-48A6-9F47-BD66D99F76CF}">
      <dgm:prSet/>
      <dgm:spPr/>
      <dgm:t>
        <a:bodyPr/>
        <a:lstStyle/>
        <a:p>
          <a:pPr algn="ctr"/>
          <a:endParaRPr lang="pl-PL"/>
        </a:p>
      </dgm:t>
    </dgm:pt>
    <dgm:pt modelId="{BE1DE37E-6634-47AB-B865-1665C7C7BFB3}">
      <dgm:prSet/>
      <dgm:spPr/>
      <dgm:t>
        <a:bodyPr/>
        <a:lstStyle/>
        <a:p>
          <a:pPr algn="ctr"/>
          <a:r>
            <a:rPr lang="pl-PL"/>
            <a:t>Dokumenty planistyczne</a:t>
          </a:r>
        </a:p>
      </dgm:t>
    </dgm:pt>
    <dgm:pt modelId="{D8F4CA02-7B71-45BB-A7B1-ACB94A24C0D8}" type="parTrans" cxnId="{6FF6E991-B025-43D3-BCBE-0AE64D6BB759}">
      <dgm:prSet/>
      <dgm:spPr/>
      <dgm:t>
        <a:bodyPr/>
        <a:lstStyle/>
        <a:p>
          <a:pPr algn="ctr"/>
          <a:endParaRPr lang="pl-PL"/>
        </a:p>
      </dgm:t>
    </dgm:pt>
    <dgm:pt modelId="{D4805C25-F232-4911-AEF1-122A5D4C5069}" type="sibTrans" cxnId="{6FF6E991-B025-43D3-BCBE-0AE64D6BB759}">
      <dgm:prSet/>
      <dgm:spPr/>
      <dgm:t>
        <a:bodyPr/>
        <a:lstStyle/>
        <a:p>
          <a:pPr algn="ctr"/>
          <a:endParaRPr lang="pl-PL"/>
        </a:p>
      </dgm:t>
    </dgm:pt>
    <dgm:pt modelId="{DB4D7565-EE25-488E-9E82-1D85CE2B4815}">
      <dgm:prSet/>
      <dgm:spPr/>
      <dgm:t>
        <a:bodyPr/>
        <a:lstStyle/>
        <a:p>
          <a:pPr algn="ctr"/>
          <a:r>
            <a:rPr lang="pl-PL"/>
            <a:t>Środowisko przyrodnicze i kulturowe</a:t>
          </a:r>
        </a:p>
      </dgm:t>
    </dgm:pt>
    <dgm:pt modelId="{84593DC9-311A-4EA8-B7BF-6448E7D52E30}" type="parTrans" cxnId="{DEF12D8B-410E-422E-BEDB-4D84601410CD}">
      <dgm:prSet/>
      <dgm:spPr/>
      <dgm:t>
        <a:bodyPr/>
        <a:lstStyle/>
        <a:p>
          <a:pPr algn="ctr"/>
          <a:endParaRPr lang="pl-PL"/>
        </a:p>
      </dgm:t>
    </dgm:pt>
    <dgm:pt modelId="{8CFB3A66-36C6-468F-9E67-312FC6CDA30D}" type="sibTrans" cxnId="{DEF12D8B-410E-422E-BEDB-4D84601410CD}">
      <dgm:prSet/>
      <dgm:spPr/>
      <dgm:t>
        <a:bodyPr/>
        <a:lstStyle/>
        <a:p>
          <a:pPr algn="ctr"/>
          <a:endParaRPr lang="pl-PL"/>
        </a:p>
      </dgm:t>
    </dgm:pt>
    <dgm:pt modelId="{FACD4066-57CA-4E07-B4BB-07EB00EEC6DA}" type="pres">
      <dgm:prSet presAssocID="{CBC66D62-28EB-4E03-A707-1CA562A479A4}" presName="Name0" presStyleCnt="0">
        <dgm:presLayoutVars>
          <dgm:chMax val="1"/>
          <dgm:dir/>
          <dgm:animLvl val="ctr"/>
          <dgm:resizeHandles val="exact"/>
        </dgm:presLayoutVars>
      </dgm:prSet>
      <dgm:spPr/>
      <dgm:t>
        <a:bodyPr/>
        <a:lstStyle/>
        <a:p>
          <a:endParaRPr lang="pl-PL"/>
        </a:p>
      </dgm:t>
    </dgm:pt>
    <dgm:pt modelId="{EC00C7B4-06F1-4FE5-AD9B-B9D3BF052724}" type="pres">
      <dgm:prSet presAssocID="{EB5C48CA-4C32-4C50-8A88-C4CA5431C5AF}" presName="centerShape" presStyleLbl="node0" presStyleIdx="0" presStyleCnt="1" custLinFactNeighborX="786"/>
      <dgm:spPr/>
      <dgm:t>
        <a:bodyPr/>
        <a:lstStyle/>
        <a:p>
          <a:endParaRPr lang="pl-PL"/>
        </a:p>
      </dgm:t>
    </dgm:pt>
    <dgm:pt modelId="{B33C9BA5-05B6-4425-BCCC-A9D85891DD4D}" type="pres">
      <dgm:prSet presAssocID="{350412C6-C25F-4054-8B26-7D3781B6B876}" presName="node" presStyleLbl="node1" presStyleIdx="0" presStyleCnt="6" custScaleX="143411" custScaleY="123697">
        <dgm:presLayoutVars>
          <dgm:bulletEnabled val="1"/>
        </dgm:presLayoutVars>
      </dgm:prSet>
      <dgm:spPr/>
      <dgm:t>
        <a:bodyPr/>
        <a:lstStyle/>
        <a:p>
          <a:endParaRPr lang="pl-PL"/>
        </a:p>
      </dgm:t>
    </dgm:pt>
    <dgm:pt modelId="{AF78DB09-9D78-4BE9-A1E4-DA5C8758522A}" type="pres">
      <dgm:prSet presAssocID="{350412C6-C25F-4054-8B26-7D3781B6B876}" presName="dummy" presStyleCnt="0"/>
      <dgm:spPr/>
    </dgm:pt>
    <dgm:pt modelId="{5C1128B4-865E-4016-B43F-F6282F7EDA19}" type="pres">
      <dgm:prSet presAssocID="{DF2310EA-9FC8-4AAE-BB51-2D9AF3AC922A}" presName="sibTrans" presStyleLbl="sibTrans2D1" presStyleIdx="0" presStyleCnt="6"/>
      <dgm:spPr/>
      <dgm:t>
        <a:bodyPr/>
        <a:lstStyle/>
        <a:p>
          <a:endParaRPr lang="pl-PL"/>
        </a:p>
      </dgm:t>
    </dgm:pt>
    <dgm:pt modelId="{EF3E424C-8B4C-4885-9082-B367BDF50985}" type="pres">
      <dgm:prSet presAssocID="{DB4D7565-EE25-488E-9E82-1D85CE2B4815}" presName="node" presStyleLbl="node1" presStyleIdx="1" presStyleCnt="6" custScaleX="143411" custScaleY="123697">
        <dgm:presLayoutVars>
          <dgm:bulletEnabled val="1"/>
        </dgm:presLayoutVars>
      </dgm:prSet>
      <dgm:spPr/>
      <dgm:t>
        <a:bodyPr/>
        <a:lstStyle/>
        <a:p>
          <a:endParaRPr lang="pl-PL"/>
        </a:p>
      </dgm:t>
    </dgm:pt>
    <dgm:pt modelId="{DBE5917B-AD66-475E-A5D9-B302EFF89192}" type="pres">
      <dgm:prSet presAssocID="{DB4D7565-EE25-488E-9E82-1D85CE2B4815}" presName="dummy" presStyleCnt="0"/>
      <dgm:spPr/>
    </dgm:pt>
    <dgm:pt modelId="{03B376C2-B5FD-4F06-A324-97ECBC172917}" type="pres">
      <dgm:prSet presAssocID="{8CFB3A66-36C6-468F-9E67-312FC6CDA30D}" presName="sibTrans" presStyleLbl="sibTrans2D1" presStyleIdx="1" presStyleCnt="6"/>
      <dgm:spPr/>
      <dgm:t>
        <a:bodyPr/>
        <a:lstStyle/>
        <a:p>
          <a:endParaRPr lang="pl-PL"/>
        </a:p>
      </dgm:t>
    </dgm:pt>
    <dgm:pt modelId="{51BEFDC7-9F22-4D99-8172-4525425C4DF1}" type="pres">
      <dgm:prSet presAssocID="{DCDBC21C-8E80-453D-A2B9-A3CAB7316F41}" presName="node" presStyleLbl="node1" presStyleIdx="2" presStyleCnt="6" custScaleX="143411" custScaleY="123697">
        <dgm:presLayoutVars>
          <dgm:bulletEnabled val="1"/>
        </dgm:presLayoutVars>
      </dgm:prSet>
      <dgm:spPr/>
      <dgm:t>
        <a:bodyPr/>
        <a:lstStyle/>
        <a:p>
          <a:endParaRPr lang="pl-PL"/>
        </a:p>
      </dgm:t>
    </dgm:pt>
    <dgm:pt modelId="{BD8B3F71-3A26-4A66-A0C6-A2ED83898EFE}" type="pres">
      <dgm:prSet presAssocID="{DCDBC21C-8E80-453D-A2B9-A3CAB7316F41}" presName="dummy" presStyleCnt="0"/>
      <dgm:spPr/>
    </dgm:pt>
    <dgm:pt modelId="{23BDB24A-A12B-48DF-AC35-E9C9B7E71A04}" type="pres">
      <dgm:prSet presAssocID="{E9727931-8E24-4173-8B66-88489156BD8C}" presName="sibTrans" presStyleLbl="sibTrans2D1" presStyleIdx="2" presStyleCnt="6"/>
      <dgm:spPr/>
      <dgm:t>
        <a:bodyPr/>
        <a:lstStyle/>
        <a:p>
          <a:endParaRPr lang="pl-PL"/>
        </a:p>
      </dgm:t>
    </dgm:pt>
    <dgm:pt modelId="{AC25BF23-A5B2-4507-81F5-45C862474EC1}" type="pres">
      <dgm:prSet presAssocID="{E521F5D7-AEB5-4792-A749-CF857E0CBF26}" presName="node" presStyleLbl="node1" presStyleIdx="3" presStyleCnt="6" custScaleX="143411" custScaleY="123697">
        <dgm:presLayoutVars>
          <dgm:bulletEnabled val="1"/>
        </dgm:presLayoutVars>
      </dgm:prSet>
      <dgm:spPr/>
      <dgm:t>
        <a:bodyPr/>
        <a:lstStyle/>
        <a:p>
          <a:endParaRPr lang="pl-PL"/>
        </a:p>
      </dgm:t>
    </dgm:pt>
    <dgm:pt modelId="{3F71B142-E327-4B7F-BA63-E54CEA0C7FC5}" type="pres">
      <dgm:prSet presAssocID="{E521F5D7-AEB5-4792-A749-CF857E0CBF26}" presName="dummy" presStyleCnt="0"/>
      <dgm:spPr/>
    </dgm:pt>
    <dgm:pt modelId="{C9282FF8-3542-477B-B1D7-9075FF6EAE9E}" type="pres">
      <dgm:prSet presAssocID="{D914B3A3-38AC-49CA-8FD8-4A31A2FEAC9C}" presName="sibTrans" presStyleLbl="sibTrans2D1" presStyleIdx="3" presStyleCnt="6"/>
      <dgm:spPr/>
      <dgm:t>
        <a:bodyPr/>
        <a:lstStyle/>
        <a:p>
          <a:endParaRPr lang="pl-PL"/>
        </a:p>
      </dgm:t>
    </dgm:pt>
    <dgm:pt modelId="{E2339253-E4E8-4CFB-AC91-CA5269DC599E}" type="pres">
      <dgm:prSet presAssocID="{FE2E3111-E1D1-413F-99B8-9BC90E1EF522}" presName="node" presStyleLbl="node1" presStyleIdx="4" presStyleCnt="6" custScaleX="143411" custScaleY="123697">
        <dgm:presLayoutVars>
          <dgm:bulletEnabled val="1"/>
        </dgm:presLayoutVars>
      </dgm:prSet>
      <dgm:spPr/>
      <dgm:t>
        <a:bodyPr/>
        <a:lstStyle/>
        <a:p>
          <a:endParaRPr lang="pl-PL"/>
        </a:p>
      </dgm:t>
    </dgm:pt>
    <dgm:pt modelId="{E5E14E0E-670F-4473-AEF2-21C6170E1585}" type="pres">
      <dgm:prSet presAssocID="{FE2E3111-E1D1-413F-99B8-9BC90E1EF522}" presName="dummy" presStyleCnt="0"/>
      <dgm:spPr/>
    </dgm:pt>
    <dgm:pt modelId="{62578F8A-11D9-4544-B689-7B77DBB11F35}" type="pres">
      <dgm:prSet presAssocID="{743250BD-2793-4ACD-AED7-331A179B860F}" presName="sibTrans" presStyleLbl="sibTrans2D1" presStyleIdx="4" presStyleCnt="6"/>
      <dgm:spPr/>
      <dgm:t>
        <a:bodyPr/>
        <a:lstStyle/>
        <a:p>
          <a:endParaRPr lang="pl-PL"/>
        </a:p>
      </dgm:t>
    </dgm:pt>
    <dgm:pt modelId="{7C98515C-F09F-4758-A02F-439ADA4ADB0B}" type="pres">
      <dgm:prSet presAssocID="{BE1DE37E-6634-47AB-B865-1665C7C7BFB3}" presName="node" presStyleLbl="node1" presStyleIdx="5" presStyleCnt="6" custScaleX="143411" custScaleY="123697">
        <dgm:presLayoutVars>
          <dgm:bulletEnabled val="1"/>
        </dgm:presLayoutVars>
      </dgm:prSet>
      <dgm:spPr/>
      <dgm:t>
        <a:bodyPr/>
        <a:lstStyle/>
        <a:p>
          <a:endParaRPr lang="pl-PL"/>
        </a:p>
      </dgm:t>
    </dgm:pt>
    <dgm:pt modelId="{D0810544-AE91-43E2-B508-6C695E1A7EF9}" type="pres">
      <dgm:prSet presAssocID="{BE1DE37E-6634-47AB-B865-1665C7C7BFB3}" presName="dummy" presStyleCnt="0"/>
      <dgm:spPr/>
    </dgm:pt>
    <dgm:pt modelId="{23646467-2955-4FFD-84BE-5288A19CA741}" type="pres">
      <dgm:prSet presAssocID="{D4805C25-F232-4911-AEF1-122A5D4C5069}" presName="sibTrans" presStyleLbl="sibTrans2D1" presStyleIdx="5" presStyleCnt="6"/>
      <dgm:spPr/>
      <dgm:t>
        <a:bodyPr/>
        <a:lstStyle/>
        <a:p>
          <a:endParaRPr lang="pl-PL"/>
        </a:p>
      </dgm:t>
    </dgm:pt>
  </dgm:ptLst>
  <dgm:cxnLst>
    <dgm:cxn modelId="{07106847-BF5D-4230-BF43-9E2080D660B1}" type="presOf" srcId="{BE1DE37E-6634-47AB-B865-1665C7C7BFB3}" destId="{7C98515C-F09F-4758-A02F-439ADA4ADB0B}" srcOrd="0" destOrd="0" presId="urn:microsoft.com/office/officeart/2005/8/layout/radial6"/>
    <dgm:cxn modelId="{9D53E32E-3D02-41F5-9ECC-6CB515A668B7}" type="presOf" srcId="{743250BD-2793-4ACD-AED7-331A179B860F}" destId="{62578F8A-11D9-4544-B689-7B77DBB11F35}" srcOrd="0" destOrd="0" presId="urn:microsoft.com/office/officeart/2005/8/layout/radial6"/>
    <dgm:cxn modelId="{08AA6497-C451-4362-A8E6-A79AABD064B1}" type="presOf" srcId="{EB5C48CA-4C32-4C50-8A88-C4CA5431C5AF}" destId="{EC00C7B4-06F1-4FE5-AD9B-B9D3BF052724}" srcOrd="0" destOrd="0" presId="urn:microsoft.com/office/officeart/2005/8/layout/radial6"/>
    <dgm:cxn modelId="{F753AF6E-15FB-4580-A96F-F70FC3DA7092}" srcId="{EB5C48CA-4C32-4C50-8A88-C4CA5431C5AF}" destId="{E521F5D7-AEB5-4792-A749-CF857E0CBF26}" srcOrd="3" destOrd="0" parTransId="{0BC7624F-C998-4059-85CF-D2FE87FA612C}" sibTransId="{D914B3A3-38AC-49CA-8FD8-4A31A2FEAC9C}"/>
    <dgm:cxn modelId="{2032668C-76F9-45F6-8810-3A9DC1E011EF}" type="presOf" srcId="{FE2E3111-E1D1-413F-99B8-9BC90E1EF522}" destId="{E2339253-E4E8-4CFB-AC91-CA5269DC599E}" srcOrd="0" destOrd="0" presId="urn:microsoft.com/office/officeart/2005/8/layout/radial6"/>
    <dgm:cxn modelId="{DEF12D8B-410E-422E-BEDB-4D84601410CD}" srcId="{EB5C48CA-4C32-4C50-8A88-C4CA5431C5AF}" destId="{DB4D7565-EE25-488E-9E82-1D85CE2B4815}" srcOrd="1" destOrd="0" parTransId="{84593DC9-311A-4EA8-B7BF-6448E7D52E30}" sibTransId="{8CFB3A66-36C6-468F-9E67-312FC6CDA30D}"/>
    <dgm:cxn modelId="{9D8AA004-EB7D-48A6-9F47-BD66D99F76CF}" srcId="{EB5C48CA-4C32-4C50-8A88-C4CA5431C5AF}" destId="{FE2E3111-E1D1-413F-99B8-9BC90E1EF522}" srcOrd="4" destOrd="0" parTransId="{4BE2C617-9624-4D95-B749-153F36455832}" sibTransId="{743250BD-2793-4ACD-AED7-331A179B860F}"/>
    <dgm:cxn modelId="{019D59AC-C1C8-4837-8521-B4035148B85F}" type="presOf" srcId="{E9727931-8E24-4173-8B66-88489156BD8C}" destId="{23BDB24A-A12B-48DF-AC35-E9C9B7E71A04}" srcOrd="0" destOrd="0" presId="urn:microsoft.com/office/officeart/2005/8/layout/radial6"/>
    <dgm:cxn modelId="{08D46D5C-B5EB-4BFE-8C21-6F4176E515F8}" srcId="{CBC66D62-28EB-4E03-A707-1CA562A479A4}" destId="{EB5C48CA-4C32-4C50-8A88-C4CA5431C5AF}" srcOrd="0" destOrd="0" parTransId="{13367FEE-C79F-4BAC-92C1-7FC68A4D4C99}" sibTransId="{CD6DF9B0-1AF9-464E-A2E1-8BB60E81096E}"/>
    <dgm:cxn modelId="{C57940CA-CDF8-42FF-A39F-D5B72CF8DE7D}" type="presOf" srcId="{CBC66D62-28EB-4E03-A707-1CA562A479A4}" destId="{FACD4066-57CA-4E07-B4BB-07EB00EEC6DA}" srcOrd="0" destOrd="0" presId="urn:microsoft.com/office/officeart/2005/8/layout/radial6"/>
    <dgm:cxn modelId="{4D4F35AC-29CA-434B-BFDA-D4F2D8A40DD2}" type="presOf" srcId="{DB4D7565-EE25-488E-9E82-1D85CE2B4815}" destId="{EF3E424C-8B4C-4885-9082-B367BDF50985}" srcOrd="0" destOrd="0" presId="urn:microsoft.com/office/officeart/2005/8/layout/radial6"/>
    <dgm:cxn modelId="{B4D663A3-A94F-4C89-9A70-96557F4438AB}" srcId="{EB5C48CA-4C32-4C50-8A88-C4CA5431C5AF}" destId="{350412C6-C25F-4054-8B26-7D3781B6B876}" srcOrd="0" destOrd="0" parTransId="{BA3F565B-E289-457D-AC57-316222BED976}" sibTransId="{DF2310EA-9FC8-4AAE-BB51-2D9AF3AC922A}"/>
    <dgm:cxn modelId="{BC32B0DD-6E43-4C7C-BABC-22E5FAC4BDD2}" type="presOf" srcId="{350412C6-C25F-4054-8B26-7D3781B6B876}" destId="{B33C9BA5-05B6-4425-BCCC-A9D85891DD4D}" srcOrd="0" destOrd="0" presId="urn:microsoft.com/office/officeart/2005/8/layout/radial6"/>
    <dgm:cxn modelId="{7B806A9A-E37A-42B5-A3D4-3B8FC3B1ECE1}" type="presOf" srcId="{DCDBC21C-8E80-453D-A2B9-A3CAB7316F41}" destId="{51BEFDC7-9F22-4D99-8172-4525425C4DF1}" srcOrd="0" destOrd="0" presId="urn:microsoft.com/office/officeart/2005/8/layout/radial6"/>
    <dgm:cxn modelId="{D89B3D8E-C6D7-4D01-B7A3-A14B6789D542}" srcId="{EB5C48CA-4C32-4C50-8A88-C4CA5431C5AF}" destId="{DCDBC21C-8E80-453D-A2B9-A3CAB7316F41}" srcOrd="2" destOrd="0" parTransId="{4CEBFC06-B2BE-4223-83E3-DF0DFE18FECF}" sibTransId="{E9727931-8E24-4173-8B66-88489156BD8C}"/>
    <dgm:cxn modelId="{4E406581-EEDA-49C7-A278-D1016CC00CDD}" type="presOf" srcId="{D914B3A3-38AC-49CA-8FD8-4A31A2FEAC9C}" destId="{C9282FF8-3542-477B-B1D7-9075FF6EAE9E}" srcOrd="0" destOrd="0" presId="urn:microsoft.com/office/officeart/2005/8/layout/radial6"/>
    <dgm:cxn modelId="{5316C711-A00B-451E-98E2-A9F91546D1F2}" type="presOf" srcId="{8CFB3A66-36C6-468F-9E67-312FC6CDA30D}" destId="{03B376C2-B5FD-4F06-A324-97ECBC172917}" srcOrd="0" destOrd="0" presId="urn:microsoft.com/office/officeart/2005/8/layout/radial6"/>
    <dgm:cxn modelId="{6FF6E991-B025-43D3-BCBE-0AE64D6BB759}" srcId="{EB5C48CA-4C32-4C50-8A88-C4CA5431C5AF}" destId="{BE1DE37E-6634-47AB-B865-1665C7C7BFB3}" srcOrd="5" destOrd="0" parTransId="{D8F4CA02-7B71-45BB-A7B1-ACB94A24C0D8}" sibTransId="{D4805C25-F232-4911-AEF1-122A5D4C5069}"/>
    <dgm:cxn modelId="{0AAB02FB-508A-4CFB-AD17-D03AD4EC47B2}" type="presOf" srcId="{D4805C25-F232-4911-AEF1-122A5D4C5069}" destId="{23646467-2955-4FFD-84BE-5288A19CA741}" srcOrd="0" destOrd="0" presId="urn:microsoft.com/office/officeart/2005/8/layout/radial6"/>
    <dgm:cxn modelId="{0FF9C749-47AA-4512-AB84-835B40F41D92}" type="presOf" srcId="{E521F5D7-AEB5-4792-A749-CF857E0CBF26}" destId="{AC25BF23-A5B2-4507-81F5-45C862474EC1}" srcOrd="0" destOrd="0" presId="urn:microsoft.com/office/officeart/2005/8/layout/radial6"/>
    <dgm:cxn modelId="{7B736DB3-8385-4C28-B414-49FE3FBE4FD6}" type="presOf" srcId="{DF2310EA-9FC8-4AAE-BB51-2D9AF3AC922A}" destId="{5C1128B4-865E-4016-B43F-F6282F7EDA19}" srcOrd="0" destOrd="0" presId="urn:microsoft.com/office/officeart/2005/8/layout/radial6"/>
    <dgm:cxn modelId="{A4D1BA05-B1DA-49B4-B650-C61E59201674}" type="presParOf" srcId="{FACD4066-57CA-4E07-B4BB-07EB00EEC6DA}" destId="{EC00C7B4-06F1-4FE5-AD9B-B9D3BF052724}" srcOrd="0" destOrd="0" presId="urn:microsoft.com/office/officeart/2005/8/layout/radial6"/>
    <dgm:cxn modelId="{C4F63D87-F254-49D7-B883-B849D9447F61}" type="presParOf" srcId="{FACD4066-57CA-4E07-B4BB-07EB00EEC6DA}" destId="{B33C9BA5-05B6-4425-BCCC-A9D85891DD4D}" srcOrd="1" destOrd="0" presId="urn:microsoft.com/office/officeart/2005/8/layout/radial6"/>
    <dgm:cxn modelId="{60E2DA42-292B-4C57-805B-289F5C7BD903}" type="presParOf" srcId="{FACD4066-57CA-4E07-B4BB-07EB00EEC6DA}" destId="{AF78DB09-9D78-4BE9-A1E4-DA5C8758522A}" srcOrd="2" destOrd="0" presId="urn:microsoft.com/office/officeart/2005/8/layout/radial6"/>
    <dgm:cxn modelId="{9AD5156A-2A0F-4C00-84EE-5B3201A5F6FD}" type="presParOf" srcId="{FACD4066-57CA-4E07-B4BB-07EB00EEC6DA}" destId="{5C1128B4-865E-4016-B43F-F6282F7EDA19}" srcOrd="3" destOrd="0" presId="urn:microsoft.com/office/officeart/2005/8/layout/radial6"/>
    <dgm:cxn modelId="{B9AB9FC5-59F4-4E89-8488-5CAFB382F01A}" type="presParOf" srcId="{FACD4066-57CA-4E07-B4BB-07EB00EEC6DA}" destId="{EF3E424C-8B4C-4885-9082-B367BDF50985}" srcOrd="4" destOrd="0" presId="urn:microsoft.com/office/officeart/2005/8/layout/radial6"/>
    <dgm:cxn modelId="{C3C992DC-85C3-46C6-A133-29BE28CD6FF8}" type="presParOf" srcId="{FACD4066-57CA-4E07-B4BB-07EB00EEC6DA}" destId="{DBE5917B-AD66-475E-A5D9-B302EFF89192}" srcOrd="5" destOrd="0" presId="urn:microsoft.com/office/officeart/2005/8/layout/radial6"/>
    <dgm:cxn modelId="{4877B9D5-64EC-4442-A49A-E47FFF32B88F}" type="presParOf" srcId="{FACD4066-57CA-4E07-B4BB-07EB00EEC6DA}" destId="{03B376C2-B5FD-4F06-A324-97ECBC172917}" srcOrd="6" destOrd="0" presId="urn:microsoft.com/office/officeart/2005/8/layout/radial6"/>
    <dgm:cxn modelId="{DF9FDBF9-3511-405F-B2F4-DEB4B7437F41}" type="presParOf" srcId="{FACD4066-57CA-4E07-B4BB-07EB00EEC6DA}" destId="{51BEFDC7-9F22-4D99-8172-4525425C4DF1}" srcOrd="7" destOrd="0" presId="urn:microsoft.com/office/officeart/2005/8/layout/radial6"/>
    <dgm:cxn modelId="{BB4C7B03-A465-4F15-A599-8ADE9CC3469F}" type="presParOf" srcId="{FACD4066-57CA-4E07-B4BB-07EB00EEC6DA}" destId="{BD8B3F71-3A26-4A66-A0C6-A2ED83898EFE}" srcOrd="8" destOrd="0" presId="urn:microsoft.com/office/officeart/2005/8/layout/radial6"/>
    <dgm:cxn modelId="{D2C0FBAC-4C00-49E1-8A93-CAED917FC3A7}" type="presParOf" srcId="{FACD4066-57CA-4E07-B4BB-07EB00EEC6DA}" destId="{23BDB24A-A12B-48DF-AC35-E9C9B7E71A04}" srcOrd="9" destOrd="0" presId="urn:microsoft.com/office/officeart/2005/8/layout/radial6"/>
    <dgm:cxn modelId="{BFB61CC0-5C38-47E0-84A1-6EF53900E4B9}" type="presParOf" srcId="{FACD4066-57CA-4E07-B4BB-07EB00EEC6DA}" destId="{AC25BF23-A5B2-4507-81F5-45C862474EC1}" srcOrd="10" destOrd="0" presId="urn:microsoft.com/office/officeart/2005/8/layout/radial6"/>
    <dgm:cxn modelId="{23F58261-18D5-453B-A19C-938919F894E4}" type="presParOf" srcId="{FACD4066-57CA-4E07-B4BB-07EB00EEC6DA}" destId="{3F71B142-E327-4B7F-BA63-E54CEA0C7FC5}" srcOrd="11" destOrd="0" presId="urn:microsoft.com/office/officeart/2005/8/layout/radial6"/>
    <dgm:cxn modelId="{2D8813EB-BBF8-41A0-9F57-2944FC65F52E}" type="presParOf" srcId="{FACD4066-57CA-4E07-B4BB-07EB00EEC6DA}" destId="{C9282FF8-3542-477B-B1D7-9075FF6EAE9E}" srcOrd="12" destOrd="0" presId="urn:microsoft.com/office/officeart/2005/8/layout/radial6"/>
    <dgm:cxn modelId="{41ECACD9-128C-4468-8046-314BBEBFB7C9}" type="presParOf" srcId="{FACD4066-57CA-4E07-B4BB-07EB00EEC6DA}" destId="{E2339253-E4E8-4CFB-AC91-CA5269DC599E}" srcOrd="13" destOrd="0" presId="urn:microsoft.com/office/officeart/2005/8/layout/radial6"/>
    <dgm:cxn modelId="{0D058E11-6FE5-4054-A088-24C8674EBC67}" type="presParOf" srcId="{FACD4066-57CA-4E07-B4BB-07EB00EEC6DA}" destId="{E5E14E0E-670F-4473-AEF2-21C6170E1585}" srcOrd="14" destOrd="0" presId="urn:microsoft.com/office/officeart/2005/8/layout/radial6"/>
    <dgm:cxn modelId="{4AF92933-454F-4799-83C9-FFF210CE46F7}" type="presParOf" srcId="{FACD4066-57CA-4E07-B4BB-07EB00EEC6DA}" destId="{62578F8A-11D9-4544-B689-7B77DBB11F35}" srcOrd="15" destOrd="0" presId="urn:microsoft.com/office/officeart/2005/8/layout/radial6"/>
    <dgm:cxn modelId="{F6501139-BF38-4C06-A602-7AA0A69F5C40}" type="presParOf" srcId="{FACD4066-57CA-4E07-B4BB-07EB00EEC6DA}" destId="{7C98515C-F09F-4758-A02F-439ADA4ADB0B}" srcOrd="16" destOrd="0" presId="urn:microsoft.com/office/officeart/2005/8/layout/radial6"/>
    <dgm:cxn modelId="{B9FA9425-B967-4C1D-A5AC-E30E1358D703}" type="presParOf" srcId="{FACD4066-57CA-4E07-B4BB-07EB00EEC6DA}" destId="{D0810544-AE91-43E2-B508-6C695E1A7EF9}" srcOrd="17" destOrd="0" presId="urn:microsoft.com/office/officeart/2005/8/layout/radial6"/>
    <dgm:cxn modelId="{6DCA85C0-7B71-47A6-B33D-77709D6CA492}" type="presParOf" srcId="{FACD4066-57CA-4E07-B4BB-07EB00EEC6DA}" destId="{23646467-2955-4FFD-84BE-5288A19CA741}" srcOrd="18" destOrd="0" presId="urn:microsoft.com/office/officeart/2005/8/layout/radial6"/>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474DD5F7-1C7B-40B5-9CFB-C01539E05608}" type="doc">
      <dgm:prSet loTypeId="urn:microsoft.com/office/officeart/2005/8/layout/gear1" loCatId="cycle" qsTypeId="urn:microsoft.com/office/officeart/2005/8/quickstyle/simple1" qsCatId="simple" csTypeId="urn:microsoft.com/office/officeart/2005/8/colors/accent1_3" csCatId="accent1" phldr="1"/>
      <dgm:spPr/>
    </dgm:pt>
    <dgm:pt modelId="{DB7572EC-17ED-4B7A-9B3E-31FC95B49D2A}">
      <dgm:prSet phldrT="[Tekst]"/>
      <dgm:spPr>
        <a:xfrm>
          <a:off x="1277620" y="1160145"/>
          <a:ext cx="1417955" cy="1417955"/>
        </a:xfrm>
        <a:solidFill>
          <a:srgbClr val="31B6FD">
            <a:shade val="8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sektor publiczny</a:t>
          </a:r>
        </a:p>
      </dgm:t>
    </dgm:pt>
    <dgm:pt modelId="{DB6F310A-840C-4661-AC2C-50D6C4E4AD49}" type="parTrans" cxnId="{D94032F0-BF27-4EF4-A421-4F53FCD82F6F}">
      <dgm:prSet/>
      <dgm:spPr/>
      <dgm:t>
        <a:bodyPr/>
        <a:lstStyle/>
        <a:p>
          <a:endParaRPr lang="pl-PL"/>
        </a:p>
      </dgm:t>
    </dgm:pt>
    <dgm:pt modelId="{43FF61C8-837C-474B-8051-45A04BF4B5EE}" type="sibTrans" cxnId="{D94032F0-BF27-4EF4-A421-4F53FCD82F6F}">
      <dgm:prSet/>
      <dgm:spPr>
        <a:xfrm>
          <a:off x="1151781" y="955564"/>
          <a:ext cx="1814982" cy="1814982"/>
        </a:xfrm>
        <a:solidFill>
          <a:srgbClr val="31B6FD">
            <a:shade val="90000"/>
            <a:hueOff val="0"/>
            <a:satOff val="0"/>
            <a:lumOff val="0"/>
            <a:alphaOff val="0"/>
          </a:srgbClr>
        </a:solidFill>
        <a:ln>
          <a:noFill/>
        </a:ln>
        <a:effectLst/>
      </dgm:spPr>
      <dgm:t>
        <a:bodyPr/>
        <a:lstStyle/>
        <a:p>
          <a:endParaRPr lang="pl-PL"/>
        </a:p>
      </dgm:t>
    </dgm:pt>
    <dgm:pt modelId="{D39D8D85-8F9D-4A67-BE2E-F074BFECFA70}">
      <dgm:prSet phldrT="[Tekst]"/>
      <dgm:spPr>
        <a:xfrm>
          <a:off x="452628" y="824992"/>
          <a:ext cx="1031240" cy="1031240"/>
        </a:xfrm>
        <a:solidFill>
          <a:srgbClr val="31B6FD">
            <a:shade val="80000"/>
            <a:hueOff val="203439"/>
            <a:satOff val="9472"/>
            <a:lumOff val="13191"/>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sektor biznesowy</a:t>
          </a:r>
        </a:p>
      </dgm:t>
    </dgm:pt>
    <dgm:pt modelId="{A019B26D-FDF0-476A-AE92-A471800D709F}" type="parTrans" cxnId="{D24FC00C-AB89-4020-A836-2461DD10F438}">
      <dgm:prSet/>
      <dgm:spPr/>
      <dgm:t>
        <a:bodyPr/>
        <a:lstStyle/>
        <a:p>
          <a:endParaRPr lang="pl-PL"/>
        </a:p>
      </dgm:t>
    </dgm:pt>
    <dgm:pt modelId="{78713E8C-1A79-41D7-86D4-EBD0323AB0F7}" type="sibTrans" cxnId="{D24FC00C-AB89-4020-A836-2461DD10F438}">
      <dgm:prSet/>
      <dgm:spPr>
        <a:xfrm>
          <a:off x="269997" y="603753"/>
          <a:ext cx="1318698" cy="1318698"/>
        </a:xfrm>
        <a:solidFill>
          <a:srgbClr val="31B6FD">
            <a:shade val="90000"/>
            <a:hueOff val="203451"/>
            <a:satOff val="4701"/>
            <a:lumOff val="11708"/>
            <a:alphaOff val="0"/>
          </a:srgbClr>
        </a:solidFill>
        <a:ln>
          <a:noFill/>
        </a:ln>
        <a:effectLst/>
      </dgm:spPr>
      <dgm:t>
        <a:bodyPr/>
        <a:lstStyle/>
        <a:p>
          <a:endParaRPr lang="pl-PL"/>
        </a:p>
      </dgm:t>
    </dgm:pt>
    <dgm:pt modelId="{2AB137B8-4BA9-4030-92CB-A8D99D5CF7BB}">
      <dgm:prSet phldrT="[Tekst]"/>
      <dgm:spPr>
        <a:xfrm rot="20700000">
          <a:off x="1030227" y="113541"/>
          <a:ext cx="1010404" cy="1010404"/>
        </a:xfrm>
        <a:solidFill>
          <a:srgbClr val="31B6FD">
            <a:shade val="80000"/>
            <a:hueOff val="406879"/>
            <a:satOff val="18945"/>
            <a:lumOff val="26382"/>
            <a:alphaOff val="0"/>
          </a:srgbClr>
        </a:solidFill>
        <a:ln w="25400" cap="flat" cmpd="sng" algn="ctr">
          <a:solidFill>
            <a:sysClr val="window" lastClr="FFFFFF">
              <a:hueOff val="0"/>
              <a:satOff val="0"/>
              <a:lumOff val="0"/>
              <a:alphaOff val="0"/>
            </a:sysClr>
          </a:solidFill>
          <a:prstDash val="solid"/>
        </a:ln>
        <a:effectLst/>
      </dgm:spPr>
      <dgm:t>
        <a:bodyPr/>
        <a:lstStyle/>
        <a:p>
          <a:r>
            <a:rPr lang="pl-PL">
              <a:solidFill>
                <a:sysClr val="window" lastClr="FFFFFF"/>
              </a:solidFill>
              <a:latin typeface="Calibri"/>
              <a:ea typeface="+mn-ea"/>
              <a:cs typeface="+mn-cs"/>
            </a:rPr>
            <a:t>sektor społeczny</a:t>
          </a:r>
        </a:p>
      </dgm:t>
    </dgm:pt>
    <dgm:pt modelId="{782B79DC-F15C-4AFE-A516-C3F5F9CAD226}" type="parTrans" cxnId="{DE881E9C-5E89-40AD-AEFA-CEC59296C8A7}">
      <dgm:prSet/>
      <dgm:spPr/>
      <dgm:t>
        <a:bodyPr/>
        <a:lstStyle/>
        <a:p>
          <a:endParaRPr lang="pl-PL"/>
        </a:p>
      </dgm:t>
    </dgm:pt>
    <dgm:pt modelId="{4372A16E-83A9-4739-BDDF-F1A931D6017A}" type="sibTrans" cxnId="{DE881E9C-5E89-40AD-AEFA-CEC59296C8A7}">
      <dgm:prSet/>
      <dgm:spPr>
        <a:xfrm>
          <a:off x="796510" y="-100838"/>
          <a:ext cx="1421822" cy="1421822"/>
        </a:xfrm>
        <a:solidFill>
          <a:srgbClr val="31B6FD">
            <a:shade val="90000"/>
            <a:hueOff val="406902"/>
            <a:satOff val="9403"/>
            <a:lumOff val="23416"/>
            <a:alphaOff val="0"/>
          </a:srgbClr>
        </a:solidFill>
        <a:ln>
          <a:noFill/>
        </a:ln>
        <a:effectLst/>
      </dgm:spPr>
      <dgm:t>
        <a:bodyPr/>
        <a:lstStyle/>
        <a:p>
          <a:endParaRPr lang="pl-PL"/>
        </a:p>
      </dgm:t>
    </dgm:pt>
    <dgm:pt modelId="{19BB2B7F-6969-4415-9242-8476ED3FB6FE}" type="pres">
      <dgm:prSet presAssocID="{474DD5F7-1C7B-40B5-9CFB-C01539E05608}" presName="composite" presStyleCnt="0">
        <dgm:presLayoutVars>
          <dgm:chMax val="3"/>
          <dgm:animLvl val="lvl"/>
          <dgm:resizeHandles val="exact"/>
        </dgm:presLayoutVars>
      </dgm:prSet>
      <dgm:spPr/>
    </dgm:pt>
    <dgm:pt modelId="{277E0D63-7704-43EC-BC22-7F7EBE97857E}" type="pres">
      <dgm:prSet presAssocID="{DB7572EC-17ED-4B7A-9B3E-31FC95B49D2A}" presName="gear1" presStyleLbl="node1" presStyleIdx="0" presStyleCnt="3">
        <dgm:presLayoutVars>
          <dgm:chMax val="1"/>
          <dgm:bulletEnabled val="1"/>
        </dgm:presLayoutVars>
      </dgm:prSet>
      <dgm:spPr>
        <a:prstGeom prst="gear9">
          <a:avLst/>
        </a:prstGeom>
      </dgm:spPr>
      <dgm:t>
        <a:bodyPr/>
        <a:lstStyle/>
        <a:p>
          <a:endParaRPr lang="pl-PL"/>
        </a:p>
      </dgm:t>
    </dgm:pt>
    <dgm:pt modelId="{CFB58B26-3BC0-4A49-AFC0-BD300B3DA315}" type="pres">
      <dgm:prSet presAssocID="{DB7572EC-17ED-4B7A-9B3E-31FC95B49D2A}" presName="gear1srcNode" presStyleLbl="node1" presStyleIdx="0" presStyleCnt="3"/>
      <dgm:spPr/>
      <dgm:t>
        <a:bodyPr/>
        <a:lstStyle/>
        <a:p>
          <a:endParaRPr lang="pl-PL"/>
        </a:p>
      </dgm:t>
    </dgm:pt>
    <dgm:pt modelId="{8EA99A6C-A758-419D-B9C9-E0AE0D0924C4}" type="pres">
      <dgm:prSet presAssocID="{DB7572EC-17ED-4B7A-9B3E-31FC95B49D2A}" presName="gear1dstNode" presStyleLbl="node1" presStyleIdx="0" presStyleCnt="3"/>
      <dgm:spPr/>
      <dgm:t>
        <a:bodyPr/>
        <a:lstStyle/>
        <a:p>
          <a:endParaRPr lang="pl-PL"/>
        </a:p>
      </dgm:t>
    </dgm:pt>
    <dgm:pt modelId="{E6F8D5E1-4499-481D-961C-544686059A88}" type="pres">
      <dgm:prSet presAssocID="{D39D8D85-8F9D-4A67-BE2E-F074BFECFA70}" presName="gear2" presStyleLbl="node1" presStyleIdx="1" presStyleCnt="3">
        <dgm:presLayoutVars>
          <dgm:chMax val="1"/>
          <dgm:bulletEnabled val="1"/>
        </dgm:presLayoutVars>
      </dgm:prSet>
      <dgm:spPr>
        <a:prstGeom prst="gear6">
          <a:avLst/>
        </a:prstGeom>
      </dgm:spPr>
      <dgm:t>
        <a:bodyPr/>
        <a:lstStyle/>
        <a:p>
          <a:endParaRPr lang="pl-PL"/>
        </a:p>
      </dgm:t>
    </dgm:pt>
    <dgm:pt modelId="{7D2B72C5-CFBC-4841-9DD5-A3C22E363978}" type="pres">
      <dgm:prSet presAssocID="{D39D8D85-8F9D-4A67-BE2E-F074BFECFA70}" presName="gear2srcNode" presStyleLbl="node1" presStyleIdx="1" presStyleCnt="3"/>
      <dgm:spPr/>
      <dgm:t>
        <a:bodyPr/>
        <a:lstStyle/>
        <a:p>
          <a:endParaRPr lang="pl-PL"/>
        </a:p>
      </dgm:t>
    </dgm:pt>
    <dgm:pt modelId="{F699EA78-2ABF-4FFE-8E63-62A877CC1D20}" type="pres">
      <dgm:prSet presAssocID="{D39D8D85-8F9D-4A67-BE2E-F074BFECFA70}" presName="gear2dstNode" presStyleLbl="node1" presStyleIdx="1" presStyleCnt="3"/>
      <dgm:spPr/>
      <dgm:t>
        <a:bodyPr/>
        <a:lstStyle/>
        <a:p>
          <a:endParaRPr lang="pl-PL"/>
        </a:p>
      </dgm:t>
    </dgm:pt>
    <dgm:pt modelId="{AC290301-A70F-4015-8EE4-90AD121758B1}" type="pres">
      <dgm:prSet presAssocID="{2AB137B8-4BA9-4030-92CB-A8D99D5CF7BB}" presName="gear3" presStyleLbl="node1" presStyleIdx="2" presStyleCnt="3"/>
      <dgm:spPr>
        <a:prstGeom prst="gear6">
          <a:avLst/>
        </a:prstGeom>
      </dgm:spPr>
      <dgm:t>
        <a:bodyPr/>
        <a:lstStyle/>
        <a:p>
          <a:endParaRPr lang="pl-PL"/>
        </a:p>
      </dgm:t>
    </dgm:pt>
    <dgm:pt modelId="{E255F470-916A-44BA-8B3B-160834FF22D7}" type="pres">
      <dgm:prSet presAssocID="{2AB137B8-4BA9-4030-92CB-A8D99D5CF7BB}" presName="gear3tx" presStyleLbl="node1" presStyleIdx="2" presStyleCnt="3">
        <dgm:presLayoutVars>
          <dgm:chMax val="1"/>
          <dgm:bulletEnabled val="1"/>
        </dgm:presLayoutVars>
      </dgm:prSet>
      <dgm:spPr/>
      <dgm:t>
        <a:bodyPr/>
        <a:lstStyle/>
        <a:p>
          <a:endParaRPr lang="pl-PL"/>
        </a:p>
      </dgm:t>
    </dgm:pt>
    <dgm:pt modelId="{5434F691-E430-49DF-A2D2-DD6713419380}" type="pres">
      <dgm:prSet presAssocID="{2AB137B8-4BA9-4030-92CB-A8D99D5CF7BB}" presName="gear3srcNode" presStyleLbl="node1" presStyleIdx="2" presStyleCnt="3"/>
      <dgm:spPr/>
      <dgm:t>
        <a:bodyPr/>
        <a:lstStyle/>
        <a:p>
          <a:endParaRPr lang="pl-PL"/>
        </a:p>
      </dgm:t>
    </dgm:pt>
    <dgm:pt modelId="{F451EE05-7DF6-4864-B48B-451AD36910A2}" type="pres">
      <dgm:prSet presAssocID="{2AB137B8-4BA9-4030-92CB-A8D99D5CF7BB}" presName="gear3dstNode" presStyleLbl="node1" presStyleIdx="2" presStyleCnt="3"/>
      <dgm:spPr/>
      <dgm:t>
        <a:bodyPr/>
        <a:lstStyle/>
        <a:p>
          <a:endParaRPr lang="pl-PL"/>
        </a:p>
      </dgm:t>
    </dgm:pt>
    <dgm:pt modelId="{150BEF7F-487C-4B4D-8E09-4EA24F7DE3C3}" type="pres">
      <dgm:prSet presAssocID="{43FF61C8-837C-474B-8051-45A04BF4B5EE}" presName="connector1" presStyleLbl="sibTrans2D1" presStyleIdx="0" presStyleCnt="3"/>
      <dgm:spPr>
        <a:prstGeom prst="circularArrow">
          <a:avLst>
            <a:gd name="adj1" fmla="val 4687"/>
            <a:gd name="adj2" fmla="val 299029"/>
            <a:gd name="adj3" fmla="val 2458810"/>
            <a:gd name="adj4" fmla="val 15990882"/>
            <a:gd name="adj5" fmla="val 5469"/>
          </a:avLst>
        </a:prstGeom>
      </dgm:spPr>
      <dgm:t>
        <a:bodyPr/>
        <a:lstStyle/>
        <a:p>
          <a:endParaRPr lang="pl-PL"/>
        </a:p>
      </dgm:t>
    </dgm:pt>
    <dgm:pt modelId="{FE331C09-AB17-49D3-ACB4-CD76648648C5}" type="pres">
      <dgm:prSet presAssocID="{78713E8C-1A79-41D7-86D4-EBD0323AB0F7}" presName="connector2" presStyleLbl="sibTrans2D1" presStyleIdx="1" presStyleCnt="3"/>
      <dgm:spPr>
        <a:prstGeom prst="leftCircularArrow">
          <a:avLst>
            <a:gd name="adj1" fmla="val 6452"/>
            <a:gd name="adj2" fmla="val 429999"/>
            <a:gd name="adj3" fmla="val 10489124"/>
            <a:gd name="adj4" fmla="val 14837806"/>
            <a:gd name="adj5" fmla="val 7527"/>
          </a:avLst>
        </a:prstGeom>
      </dgm:spPr>
      <dgm:t>
        <a:bodyPr/>
        <a:lstStyle/>
        <a:p>
          <a:endParaRPr lang="pl-PL"/>
        </a:p>
      </dgm:t>
    </dgm:pt>
    <dgm:pt modelId="{A2B6D1BE-CA1B-449E-B796-F3A4A8F6F6A3}" type="pres">
      <dgm:prSet presAssocID="{4372A16E-83A9-4739-BDDF-F1A931D6017A}" presName="connector3" presStyleLbl="sibTrans2D1" presStyleIdx="2" presStyleCnt="3"/>
      <dgm:spPr>
        <a:prstGeom prst="circularArrow">
          <a:avLst>
            <a:gd name="adj1" fmla="val 5984"/>
            <a:gd name="adj2" fmla="val 394124"/>
            <a:gd name="adj3" fmla="val 13313824"/>
            <a:gd name="adj4" fmla="val 10508221"/>
            <a:gd name="adj5" fmla="val 6981"/>
          </a:avLst>
        </a:prstGeom>
      </dgm:spPr>
      <dgm:t>
        <a:bodyPr/>
        <a:lstStyle/>
        <a:p>
          <a:endParaRPr lang="pl-PL"/>
        </a:p>
      </dgm:t>
    </dgm:pt>
  </dgm:ptLst>
  <dgm:cxnLst>
    <dgm:cxn modelId="{819C0980-DB61-4C34-B02A-663765EE5B1C}" type="presOf" srcId="{78713E8C-1A79-41D7-86D4-EBD0323AB0F7}" destId="{FE331C09-AB17-49D3-ACB4-CD76648648C5}" srcOrd="0" destOrd="0" presId="urn:microsoft.com/office/officeart/2005/8/layout/gear1"/>
    <dgm:cxn modelId="{07FCB1B4-AFD4-4FE9-B1E6-C20FE35EE573}" type="presOf" srcId="{D39D8D85-8F9D-4A67-BE2E-F074BFECFA70}" destId="{E6F8D5E1-4499-481D-961C-544686059A88}" srcOrd="0" destOrd="0" presId="urn:microsoft.com/office/officeart/2005/8/layout/gear1"/>
    <dgm:cxn modelId="{36BB0C64-848C-410B-9105-C8B0737105F6}" type="presOf" srcId="{2AB137B8-4BA9-4030-92CB-A8D99D5CF7BB}" destId="{AC290301-A70F-4015-8EE4-90AD121758B1}" srcOrd="0" destOrd="0" presId="urn:microsoft.com/office/officeart/2005/8/layout/gear1"/>
    <dgm:cxn modelId="{0A4DBB6E-D1D2-4AC1-AC06-BF2DE0567E93}" type="presOf" srcId="{474DD5F7-1C7B-40B5-9CFB-C01539E05608}" destId="{19BB2B7F-6969-4415-9242-8476ED3FB6FE}" srcOrd="0" destOrd="0" presId="urn:microsoft.com/office/officeart/2005/8/layout/gear1"/>
    <dgm:cxn modelId="{E73E5B9C-6937-4B6A-B46F-F40A27C79D88}" type="presOf" srcId="{DB7572EC-17ED-4B7A-9B3E-31FC95B49D2A}" destId="{277E0D63-7704-43EC-BC22-7F7EBE97857E}" srcOrd="0" destOrd="0" presId="urn:microsoft.com/office/officeart/2005/8/layout/gear1"/>
    <dgm:cxn modelId="{7D22003A-CE4A-414E-9D10-442A91FFF733}" type="presOf" srcId="{D39D8D85-8F9D-4A67-BE2E-F074BFECFA70}" destId="{F699EA78-2ABF-4FFE-8E63-62A877CC1D20}" srcOrd="2" destOrd="0" presId="urn:microsoft.com/office/officeart/2005/8/layout/gear1"/>
    <dgm:cxn modelId="{AE2D8EB3-6863-4F2D-B89A-E0478B6193F0}" type="presOf" srcId="{DB7572EC-17ED-4B7A-9B3E-31FC95B49D2A}" destId="{8EA99A6C-A758-419D-B9C9-E0AE0D0924C4}" srcOrd="2" destOrd="0" presId="urn:microsoft.com/office/officeart/2005/8/layout/gear1"/>
    <dgm:cxn modelId="{7CF97D07-8EBE-49DB-A33B-55C51A7D45AE}" type="presOf" srcId="{43FF61C8-837C-474B-8051-45A04BF4B5EE}" destId="{150BEF7F-487C-4B4D-8E09-4EA24F7DE3C3}" srcOrd="0" destOrd="0" presId="urn:microsoft.com/office/officeart/2005/8/layout/gear1"/>
    <dgm:cxn modelId="{08D620EF-1357-4800-A6C6-9A273A12793A}" type="presOf" srcId="{2AB137B8-4BA9-4030-92CB-A8D99D5CF7BB}" destId="{5434F691-E430-49DF-A2D2-DD6713419380}" srcOrd="2" destOrd="0" presId="urn:microsoft.com/office/officeart/2005/8/layout/gear1"/>
    <dgm:cxn modelId="{1BAC3EBF-E20E-4908-9593-092C3B6D4667}" type="presOf" srcId="{4372A16E-83A9-4739-BDDF-F1A931D6017A}" destId="{A2B6D1BE-CA1B-449E-B796-F3A4A8F6F6A3}" srcOrd="0" destOrd="0" presId="urn:microsoft.com/office/officeart/2005/8/layout/gear1"/>
    <dgm:cxn modelId="{DE881E9C-5E89-40AD-AEFA-CEC59296C8A7}" srcId="{474DD5F7-1C7B-40B5-9CFB-C01539E05608}" destId="{2AB137B8-4BA9-4030-92CB-A8D99D5CF7BB}" srcOrd="2" destOrd="0" parTransId="{782B79DC-F15C-4AFE-A516-C3F5F9CAD226}" sibTransId="{4372A16E-83A9-4739-BDDF-F1A931D6017A}"/>
    <dgm:cxn modelId="{E8917244-FCCB-4971-8BAD-F1F3A558F04C}" type="presOf" srcId="{2AB137B8-4BA9-4030-92CB-A8D99D5CF7BB}" destId="{E255F470-916A-44BA-8B3B-160834FF22D7}" srcOrd="1" destOrd="0" presId="urn:microsoft.com/office/officeart/2005/8/layout/gear1"/>
    <dgm:cxn modelId="{D24FC00C-AB89-4020-A836-2461DD10F438}" srcId="{474DD5F7-1C7B-40B5-9CFB-C01539E05608}" destId="{D39D8D85-8F9D-4A67-BE2E-F074BFECFA70}" srcOrd="1" destOrd="0" parTransId="{A019B26D-FDF0-476A-AE92-A471800D709F}" sibTransId="{78713E8C-1A79-41D7-86D4-EBD0323AB0F7}"/>
    <dgm:cxn modelId="{8918FDF7-5972-4247-BB81-8256FE987D55}" type="presOf" srcId="{DB7572EC-17ED-4B7A-9B3E-31FC95B49D2A}" destId="{CFB58B26-3BC0-4A49-AFC0-BD300B3DA315}" srcOrd="1" destOrd="0" presId="urn:microsoft.com/office/officeart/2005/8/layout/gear1"/>
    <dgm:cxn modelId="{D94032F0-BF27-4EF4-A421-4F53FCD82F6F}" srcId="{474DD5F7-1C7B-40B5-9CFB-C01539E05608}" destId="{DB7572EC-17ED-4B7A-9B3E-31FC95B49D2A}" srcOrd="0" destOrd="0" parTransId="{DB6F310A-840C-4661-AC2C-50D6C4E4AD49}" sibTransId="{43FF61C8-837C-474B-8051-45A04BF4B5EE}"/>
    <dgm:cxn modelId="{F203F328-153E-4265-A51F-81BB78C5A006}" type="presOf" srcId="{2AB137B8-4BA9-4030-92CB-A8D99D5CF7BB}" destId="{F451EE05-7DF6-4864-B48B-451AD36910A2}" srcOrd="3" destOrd="0" presId="urn:microsoft.com/office/officeart/2005/8/layout/gear1"/>
    <dgm:cxn modelId="{A3A099EE-BA8B-4D32-862D-D92E340465A0}" type="presOf" srcId="{D39D8D85-8F9D-4A67-BE2E-F074BFECFA70}" destId="{7D2B72C5-CFBC-4841-9DD5-A3C22E363978}" srcOrd="1" destOrd="0" presId="urn:microsoft.com/office/officeart/2005/8/layout/gear1"/>
    <dgm:cxn modelId="{024656B7-F349-4FA0-BF84-798F9F027A55}" type="presParOf" srcId="{19BB2B7F-6969-4415-9242-8476ED3FB6FE}" destId="{277E0D63-7704-43EC-BC22-7F7EBE97857E}" srcOrd="0" destOrd="0" presId="urn:microsoft.com/office/officeart/2005/8/layout/gear1"/>
    <dgm:cxn modelId="{472BA696-A5BE-44C1-9F13-7E0413D5C6E2}" type="presParOf" srcId="{19BB2B7F-6969-4415-9242-8476ED3FB6FE}" destId="{CFB58B26-3BC0-4A49-AFC0-BD300B3DA315}" srcOrd="1" destOrd="0" presId="urn:microsoft.com/office/officeart/2005/8/layout/gear1"/>
    <dgm:cxn modelId="{AAFBF32F-C8B0-4516-80CC-B8B6F340FEA0}" type="presParOf" srcId="{19BB2B7F-6969-4415-9242-8476ED3FB6FE}" destId="{8EA99A6C-A758-419D-B9C9-E0AE0D0924C4}" srcOrd="2" destOrd="0" presId="urn:microsoft.com/office/officeart/2005/8/layout/gear1"/>
    <dgm:cxn modelId="{C522B666-FF2C-40FD-9E24-03847E639660}" type="presParOf" srcId="{19BB2B7F-6969-4415-9242-8476ED3FB6FE}" destId="{E6F8D5E1-4499-481D-961C-544686059A88}" srcOrd="3" destOrd="0" presId="urn:microsoft.com/office/officeart/2005/8/layout/gear1"/>
    <dgm:cxn modelId="{4BBBA429-7C00-450E-9FCE-2870F24DAA7C}" type="presParOf" srcId="{19BB2B7F-6969-4415-9242-8476ED3FB6FE}" destId="{7D2B72C5-CFBC-4841-9DD5-A3C22E363978}" srcOrd="4" destOrd="0" presId="urn:microsoft.com/office/officeart/2005/8/layout/gear1"/>
    <dgm:cxn modelId="{ECDECAD6-9602-43BD-AE71-3C4CA439CCFE}" type="presParOf" srcId="{19BB2B7F-6969-4415-9242-8476ED3FB6FE}" destId="{F699EA78-2ABF-4FFE-8E63-62A877CC1D20}" srcOrd="5" destOrd="0" presId="urn:microsoft.com/office/officeart/2005/8/layout/gear1"/>
    <dgm:cxn modelId="{61A82826-F8B5-4D01-88A4-257BD5AB49E7}" type="presParOf" srcId="{19BB2B7F-6969-4415-9242-8476ED3FB6FE}" destId="{AC290301-A70F-4015-8EE4-90AD121758B1}" srcOrd="6" destOrd="0" presId="urn:microsoft.com/office/officeart/2005/8/layout/gear1"/>
    <dgm:cxn modelId="{E71186DD-184A-4C81-9C58-614BE69D7D5F}" type="presParOf" srcId="{19BB2B7F-6969-4415-9242-8476ED3FB6FE}" destId="{E255F470-916A-44BA-8B3B-160834FF22D7}" srcOrd="7" destOrd="0" presId="urn:microsoft.com/office/officeart/2005/8/layout/gear1"/>
    <dgm:cxn modelId="{882A55CA-E601-4C08-9A36-607C63865711}" type="presParOf" srcId="{19BB2B7F-6969-4415-9242-8476ED3FB6FE}" destId="{5434F691-E430-49DF-A2D2-DD6713419380}" srcOrd="8" destOrd="0" presId="urn:microsoft.com/office/officeart/2005/8/layout/gear1"/>
    <dgm:cxn modelId="{0199C4EF-540F-4EFD-A2E8-3AF03C5031A9}" type="presParOf" srcId="{19BB2B7F-6969-4415-9242-8476ED3FB6FE}" destId="{F451EE05-7DF6-4864-B48B-451AD36910A2}" srcOrd="9" destOrd="0" presId="urn:microsoft.com/office/officeart/2005/8/layout/gear1"/>
    <dgm:cxn modelId="{BE6B378F-6AEA-4449-BDFC-C8AD425B2E17}" type="presParOf" srcId="{19BB2B7F-6969-4415-9242-8476ED3FB6FE}" destId="{150BEF7F-487C-4B4D-8E09-4EA24F7DE3C3}" srcOrd="10" destOrd="0" presId="urn:microsoft.com/office/officeart/2005/8/layout/gear1"/>
    <dgm:cxn modelId="{BAAD712E-22EE-4DEC-BBBD-03C87809EDD8}" type="presParOf" srcId="{19BB2B7F-6969-4415-9242-8476ED3FB6FE}" destId="{FE331C09-AB17-49D3-ACB4-CD76648648C5}" srcOrd="11" destOrd="0" presId="urn:microsoft.com/office/officeart/2005/8/layout/gear1"/>
    <dgm:cxn modelId="{BA62840F-E298-4EE9-AD4B-9C0FCCA2F8BC}" type="presParOf" srcId="{19BB2B7F-6969-4415-9242-8476ED3FB6FE}" destId="{A2B6D1BE-CA1B-449E-B796-F3A4A8F6F6A3}" srcOrd="12" destOrd="0" presId="urn:microsoft.com/office/officeart/2005/8/layout/gear1"/>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1BEC2B-B804-4E91-99CE-515A583DE9A9}">
      <dsp:nvSpPr>
        <dsp:cNvPr id="0" name=""/>
        <dsp:cNvSpPr/>
      </dsp:nvSpPr>
      <dsp:spPr>
        <a:xfrm>
          <a:off x="2644140" y="604095"/>
          <a:ext cx="2070906" cy="239609"/>
        </a:xfrm>
        <a:custGeom>
          <a:avLst/>
          <a:gdLst/>
          <a:ahLst/>
          <a:cxnLst/>
          <a:rect l="0" t="0" r="0" b="0"/>
          <a:pathLst>
            <a:path>
              <a:moveTo>
                <a:pt x="0" y="0"/>
              </a:moveTo>
              <a:lnTo>
                <a:pt x="0" y="123899"/>
              </a:lnTo>
              <a:lnTo>
                <a:pt x="2141692" y="123899"/>
              </a:lnTo>
              <a:lnTo>
                <a:pt x="2141692" y="247799"/>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A71EA82B-A1AE-4790-9687-7B443A9D31F7}">
      <dsp:nvSpPr>
        <dsp:cNvPr id="0" name=""/>
        <dsp:cNvSpPr/>
      </dsp:nvSpPr>
      <dsp:spPr>
        <a:xfrm>
          <a:off x="2644140" y="604095"/>
          <a:ext cx="690302" cy="239609"/>
        </a:xfrm>
        <a:custGeom>
          <a:avLst/>
          <a:gdLst/>
          <a:ahLst/>
          <a:cxnLst/>
          <a:rect l="0" t="0" r="0" b="0"/>
          <a:pathLst>
            <a:path>
              <a:moveTo>
                <a:pt x="0" y="0"/>
              </a:moveTo>
              <a:lnTo>
                <a:pt x="0" y="123899"/>
              </a:lnTo>
              <a:lnTo>
                <a:pt x="713897" y="123899"/>
              </a:lnTo>
              <a:lnTo>
                <a:pt x="713897" y="247799"/>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0356F18-2573-48AA-AB3E-957560E9766F}">
      <dsp:nvSpPr>
        <dsp:cNvPr id="0" name=""/>
        <dsp:cNvSpPr/>
      </dsp:nvSpPr>
      <dsp:spPr>
        <a:xfrm>
          <a:off x="1953837" y="604095"/>
          <a:ext cx="690302" cy="239609"/>
        </a:xfrm>
        <a:custGeom>
          <a:avLst/>
          <a:gdLst/>
          <a:ahLst/>
          <a:cxnLst/>
          <a:rect l="0" t="0" r="0" b="0"/>
          <a:pathLst>
            <a:path>
              <a:moveTo>
                <a:pt x="713897" y="0"/>
              </a:moveTo>
              <a:lnTo>
                <a:pt x="713897" y="123899"/>
              </a:lnTo>
              <a:lnTo>
                <a:pt x="0" y="123899"/>
              </a:lnTo>
              <a:lnTo>
                <a:pt x="0" y="247799"/>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B36AFE5-AF9E-4F0B-B2CB-D518D519009A}">
      <dsp:nvSpPr>
        <dsp:cNvPr id="0" name=""/>
        <dsp:cNvSpPr/>
      </dsp:nvSpPr>
      <dsp:spPr>
        <a:xfrm>
          <a:off x="573233" y="604095"/>
          <a:ext cx="2070906" cy="239609"/>
        </a:xfrm>
        <a:custGeom>
          <a:avLst/>
          <a:gdLst/>
          <a:ahLst/>
          <a:cxnLst/>
          <a:rect l="0" t="0" r="0" b="0"/>
          <a:pathLst>
            <a:path>
              <a:moveTo>
                <a:pt x="2141692" y="0"/>
              </a:moveTo>
              <a:lnTo>
                <a:pt x="2141692" y="123899"/>
              </a:lnTo>
              <a:lnTo>
                <a:pt x="0" y="123899"/>
              </a:lnTo>
              <a:lnTo>
                <a:pt x="0" y="247799"/>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F701A965-C329-4F5A-B8AB-CC2D51A7C9D7}">
      <dsp:nvSpPr>
        <dsp:cNvPr id="0" name=""/>
        <dsp:cNvSpPr/>
      </dsp:nvSpPr>
      <dsp:spPr>
        <a:xfrm>
          <a:off x="2073642" y="33597"/>
          <a:ext cx="1140995" cy="570497"/>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Miejskie obszary funkcjonalne</a:t>
          </a:r>
        </a:p>
      </dsp:txBody>
      <dsp:txXfrm>
        <a:off x="2073642" y="33597"/>
        <a:ext cx="1140995" cy="570497"/>
      </dsp:txXfrm>
    </dsp:sp>
    <dsp:sp modelId="{08D921ED-8DD9-4962-9E4D-12FDFF4F38C5}">
      <dsp:nvSpPr>
        <dsp:cNvPr id="0" name=""/>
        <dsp:cNvSpPr/>
      </dsp:nvSpPr>
      <dsp:spPr>
        <a:xfrm>
          <a:off x="2735" y="843704"/>
          <a:ext cx="1140995" cy="570497"/>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ośrodki wojewódzkie, w tym metropolitalne</a:t>
          </a:r>
        </a:p>
      </dsp:txBody>
      <dsp:txXfrm>
        <a:off x="2735" y="843704"/>
        <a:ext cx="1140995" cy="570497"/>
      </dsp:txXfrm>
    </dsp:sp>
    <dsp:sp modelId="{8730B6E7-FB5D-4354-AE16-82CD002CC689}">
      <dsp:nvSpPr>
        <dsp:cNvPr id="0" name=""/>
        <dsp:cNvSpPr/>
      </dsp:nvSpPr>
      <dsp:spPr>
        <a:xfrm>
          <a:off x="1383340" y="843704"/>
          <a:ext cx="1140995" cy="570497"/>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ośrodki regionalne</a:t>
          </a:r>
        </a:p>
      </dsp:txBody>
      <dsp:txXfrm>
        <a:off x="1383340" y="843704"/>
        <a:ext cx="1140995" cy="570497"/>
      </dsp:txXfrm>
    </dsp:sp>
    <dsp:sp modelId="{88C92655-4157-4718-964D-4844B493AFB3}">
      <dsp:nvSpPr>
        <dsp:cNvPr id="0" name=""/>
        <dsp:cNvSpPr/>
      </dsp:nvSpPr>
      <dsp:spPr>
        <a:xfrm>
          <a:off x="2763944" y="843704"/>
          <a:ext cx="1140995" cy="570497"/>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ośrodki subregionalne</a:t>
          </a:r>
        </a:p>
      </dsp:txBody>
      <dsp:txXfrm>
        <a:off x="2763944" y="843704"/>
        <a:ext cx="1140995" cy="570497"/>
      </dsp:txXfrm>
    </dsp:sp>
    <dsp:sp modelId="{1AFC711D-B79E-4106-93C6-0837A7AB652F}">
      <dsp:nvSpPr>
        <dsp:cNvPr id="0" name=""/>
        <dsp:cNvSpPr/>
      </dsp:nvSpPr>
      <dsp:spPr>
        <a:xfrm>
          <a:off x="4144549" y="843704"/>
          <a:ext cx="1140995" cy="570497"/>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ośrodki lokalne</a:t>
          </a:r>
        </a:p>
      </dsp:txBody>
      <dsp:txXfrm>
        <a:off x="4144549" y="843704"/>
        <a:ext cx="1140995" cy="57049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93376F-F574-473A-8FF2-8D492EE74093}">
      <dsp:nvSpPr>
        <dsp:cNvPr id="0" name=""/>
        <dsp:cNvSpPr/>
      </dsp:nvSpPr>
      <dsp:spPr>
        <a:xfrm>
          <a:off x="890" y="220561"/>
          <a:ext cx="987626" cy="987626"/>
        </a:xfrm>
        <a:prstGeom prst="ellipse">
          <a:avLst/>
        </a:prstGeo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54352" tIns="11430" rIns="54352" bIns="11430"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latin typeface="Calibri"/>
              <a:ea typeface="+mn-ea"/>
              <a:cs typeface="+mn-cs"/>
            </a:rPr>
            <a:t>Równość partnerów</a:t>
          </a:r>
        </a:p>
      </dsp:txBody>
      <dsp:txXfrm>
        <a:off x="145524" y="365195"/>
        <a:ext cx="698358" cy="698358"/>
      </dsp:txXfrm>
    </dsp:sp>
    <dsp:sp modelId="{9A88BF6A-4E5D-480F-9B0C-85FEC3CC30A2}">
      <dsp:nvSpPr>
        <dsp:cNvPr id="0" name=""/>
        <dsp:cNvSpPr/>
      </dsp:nvSpPr>
      <dsp:spPr>
        <a:xfrm>
          <a:off x="790992" y="220561"/>
          <a:ext cx="987626" cy="987626"/>
        </a:xfrm>
        <a:prstGeom prst="ellipse">
          <a:avLst/>
        </a:prstGeo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54352" tIns="10160" rIns="54352" bIns="10160" numCol="1" spcCol="1270" anchor="ctr" anchorCtr="0">
          <a:noAutofit/>
        </a:bodyPr>
        <a:lstStyle/>
        <a:p>
          <a:pPr lvl="0" algn="ctr" defTabSz="355600">
            <a:lnSpc>
              <a:spcPct val="90000"/>
            </a:lnSpc>
            <a:spcBef>
              <a:spcPct val="0"/>
            </a:spcBef>
            <a:spcAft>
              <a:spcPct val="35000"/>
            </a:spcAft>
          </a:pPr>
          <a:r>
            <a:rPr lang="pl-PL" sz="800" kern="1200">
              <a:solidFill>
                <a:sysClr val="windowText" lastClr="000000"/>
              </a:solidFill>
              <a:latin typeface="Calibri"/>
              <a:ea typeface="+mn-ea"/>
              <a:cs typeface="+mn-cs"/>
            </a:rPr>
            <a:t>Partycypacja i </a:t>
          </a:r>
          <a:r>
            <a:rPr lang="pl-PL" sz="900" kern="1200">
              <a:solidFill>
                <a:sysClr val="windowText" lastClr="000000"/>
              </a:solidFill>
              <a:latin typeface="Calibri"/>
              <a:ea typeface="+mn-ea"/>
              <a:cs typeface="+mn-cs"/>
            </a:rPr>
            <a:t>partnerstwo</a:t>
          </a:r>
          <a:endParaRPr lang="pl-PL" sz="800" kern="1200">
            <a:solidFill>
              <a:sysClr val="windowText" lastClr="000000"/>
            </a:solidFill>
            <a:latin typeface="Calibri"/>
            <a:ea typeface="+mn-ea"/>
            <a:cs typeface="+mn-cs"/>
          </a:endParaRPr>
        </a:p>
      </dsp:txBody>
      <dsp:txXfrm>
        <a:off x="935626" y="365195"/>
        <a:ext cx="698358" cy="698358"/>
      </dsp:txXfrm>
    </dsp:sp>
    <dsp:sp modelId="{202ADFB4-B8D8-410A-92BD-09459A2FCDBA}">
      <dsp:nvSpPr>
        <dsp:cNvPr id="0" name=""/>
        <dsp:cNvSpPr/>
      </dsp:nvSpPr>
      <dsp:spPr>
        <a:xfrm>
          <a:off x="1581093" y="220561"/>
          <a:ext cx="987626" cy="987626"/>
        </a:xfrm>
        <a:prstGeom prst="ellipse">
          <a:avLst/>
        </a:prstGeo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54352" tIns="11430" rIns="54352" bIns="11430"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latin typeface="Calibri"/>
              <a:ea typeface="+mn-ea"/>
              <a:cs typeface="+mn-cs"/>
            </a:rPr>
            <a:t>Wielopozio-mowe</a:t>
          </a:r>
          <a:r>
            <a:rPr lang="pl-PL" sz="800" kern="1200">
              <a:solidFill>
                <a:sysClr val="windowText" lastClr="000000"/>
              </a:solidFill>
              <a:latin typeface="Calibri"/>
              <a:ea typeface="+mn-ea"/>
              <a:cs typeface="+mn-cs"/>
            </a:rPr>
            <a:t> </a:t>
          </a:r>
          <a:r>
            <a:rPr lang="pl-PL" sz="900" kern="1200">
              <a:solidFill>
                <a:sysClr val="windowText" lastClr="000000"/>
              </a:solidFill>
              <a:latin typeface="Calibri"/>
              <a:ea typeface="+mn-ea"/>
              <a:cs typeface="+mn-cs"/>
            </a:rPr>
            <a:t>zarządzanie</a:t>
          </a:r>
        </a:p>
      </dsp:txBody>
      <dsp:txXfrm>
        <a:off x="1725727" y="365195"/>
        <a:ext cx="698358" cy="698358"/>
      </dsp:txXfrm>
    </dsp:sp>
    <dsp:sp modelId="{E302203D-3FB6-41B4-916F-62B48717EF1C}">
      <dsp:nvSpPr>
        <dsp:cNvPr id="0" name=""/>
        <dsp:cNvSpPr/>
      </dsp:nvSpPr>
      <dsp:spPr>
        <a:xfrm>
          <a:off x="2371194" y="220561"/>
          <a:ext cx="987626" cy="987626"/>
        </a:xfrm>
        <a:prstGeom prst="ellipse">
          <a:avLst/>
        </a:prstGeo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54352" tIns="8890" rIns="54352" bIns="8890" numCol="1" spcCol="1270" anchor="ctr" anchorCtr="0">
          <a:noAutofit/>
        </a:bodyPr>
        <a:lstStyle/>
        <a:p>
          <a:pPr lvl="0" algn="ctr" defTabSz="311150">
            <a:lnSpc>
              <a:spcPct val="90000"/>
            </a:lnSpc>
            <a:spcBef>
              <a:spcPct val="0"/>
            </a:spcBef>
            <a:spcAft>
              <a:spcPct val="35000"/>
            </a:spcAft>
          </a:pPr>
          <a:r>
            <a:rPr lang="pl-PL" sz="700" kern="1200">
              <a:solidFill>
                <a:sysClr val="windowText" lastClr="000000"/>
              </a:solidFill>
              <a:latin typeface="Calibri"/>
              <a:ea typeface="+mn-ea"/>
              <a:cs typeface="+mn-cs"/>
            </a:rPr>
            <a:t>Przejrzystość działań, proste i jasne zasady komunikowania</a:t>
          </a:r>
        </a:p>
      </dsp:txBody>
      <dsp:txXfrm>
        <a:off x="2515828" y="365195"/>
        <a:ext cx="698358" cy="698358"/>
      </dsp:txXfrm>
    </dsp:sp>
    <dsp:sp modelId="{7FA74EA6-42F6-4123-B149-A1633CF2F615}">
      <dsp:nvSpPr>
        <dsp:cNvPr id="0" name=""/>
        <dsp:cNvSpPr/>
      </dsp:nvSpPr>
      <dsp:spPr>
        <a:xfrm>
          <a:off x="3154153" y="242180"/>
          <a:ext cx="987626" cy="987626"/>
        </a:xfrm>
        <a:prstGeom prst="ellipse">
          <a:avLst/>
        </a:prstGeo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54352" tIns="11430" rIns="54352" bIns="11430"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latin typeface="Calibri"/>
              <a:ea typeface="+mn-ea"/>
              <a:cs typeface="+mn-cs"/>
            </a:rPr>
            <a:t>Elastyczność reagowania</a:t>
          </a:r>
        </a:p>
      </dsp:txBody>
      <dsp:txXfrm>
        <a:off x="3298787" y="386814"/>
        <a:ext cx="698358" cy="698358"/>
      </dsp:txXfrm>
    </dsp:sp>
    <dsp:sp modelId="{9BC5D220-310D-4F08-B3F5-21FAC4EE45BA}">
      <dsp:nvSpPr>
        <dsp:cNvPr id="0" name=""/>
        <dsp:cNvSpPr/>
      </dsp:nvSpPr>
      <dsp:spPr>
        <a:xfrm>
          <a:off x="3932588" y="214290"/>
          <a:ext cx="1061510" cy="987626"/>
        </a:xfrm>
        <a:prstGeom prst="ellipse">
          <a:avLst/>
        </a:prstGeo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54352" tIns="11430" rIns="54352" bIns="11430"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latin typeface="Calibri"/>
              <a:ea typeface="+mn-ea"/>
              <a:cs typeface="+mn-cs"/>
            </a:rPr>
            <a:t>Racjonalność wydatków publicznych</a:t>
          </a:r>
        </a:p>
      </dsp:txBody>
      <dsp:txXfrm>
        <a:off x="4088043" y="358924"/>
        <a:ext cx="750600" cy="698358"/>
      </dsp:txXfrm>
    </dsp:sp>
    <dsp:sp modelId="{C1D29CC5-2452-4B6F-A0CB-08CE51491D59}">
      <dsp:nvSpPr>
        <dsp:cNvPr id="0" name=""/>
        <dsp:cNvSpPr/>
      </dsp:nvSpPr>
      <dsp:spPr>
        <a:xfrm>
          <a:off x="4815382" y="220561"/>
          <a:ext cx="987626" cy="987626"/>
        </a:xfrm>
        <a:prstGeom prst="ellipse">
          <a:avLst/>
        </a:prstGeom>
        <a:solidFill>
          <a:srgbClr val="31B6FD">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54352" tIns="11430" rIns="54352" bIns="11430"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latin typeface="Calibri"/>
              <a:ea typeface="+mn-ea"/>
              <a:cs typeface="+mn-cs"/>
            </a:rPr>
            <a:t>Wspólne</a:t>
          </a:r>
          <a:r>
            <a:rPr lang="pl-PL" sz="800" kern="1200">
              <a:solidFill>
                <a:sysClr val="windowText" lastClr="000000"/>
              </a:solidFill>
              <a:latin typeface="Calibri"/>
              <a:ea typeface="+mn-ea"/>
              <a:cs typeface="+mn-cs"/>
            </a:rPr>
            <a:t> wydatki</a:t>
          </a:r>
        </a:p>
      </dsp:txBody>
      <dsp:txXfrm>
        <a:off x="4960016" y="365195"/>
        <a:ext cx="698358" cy="698358"/>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A69B0D-F5E2-48BF-BA02-AD49317AB361}">
      <dsp:nvSpPr>
        <dsp:cNvPr id="0" name=""/>
        <dsp:cNvSpPr/>
      </dsp:nvSpPr>
      <dsp:spPr>
        <a:xfrm>
          <a:off x="2207987" y="1714500"/>
          <a:ext cx="310108" cy="1477270"/>
        </a:xfrm>
        <a:custGeom>
          <a:avLst/>
          <a:gdLst/>
          <a:ahLst/>
          <a:cxnLst/>
          <a:rect l="0" t="0" r="0" b="0"/>
          <a:pathLst>
            <a:path>
              <a:moveTo>
                <a:pt x="0" y="0"/>
              </a:moveTo>
              <a:lnTo>
                <a:pt x="155054" y="0"/>
              </a:lnTo>
              <a:lnTo>
                <a:pt x="155054" y="1477270"/>
              </a:lnTo>
              <a:lnTo>
                <a:pt x="310108" y="1477270"/>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325305" y="2415398"/>
        <a:ext cx="75473" cy="75473"/>
      </dsp:txXfrm>
    </dsp:sp>
    <dsp:sp modelId="{CD3FD13B-8EB8-48C5-81DA-E67B1D0B754C}">
      <dsp:nvSpPr>
        <dsp:cNvPr id="0" name=""/>
        <dsp:cNvSpPr/>
      </dsp:nvSpPr>
      <dsp:spPr>
        <a:xfrm>
          <a:off x="2207987" y="1714500"/>
          <a:ext cx="310108" cy="886362"/>
        </a:xfrm>
        <a:custGeom>
          <a:avLst/>
          <a:gdLst/>
          <a:ahLst/>
          <a:cxnLst/>
          <a:rect l="0" t="0" r="0" b="0"/>
          <a:pathLst>
            <a:path>
              <a:moveTo>
                <a:pt x="0" y="0"/>
              </a:moveTo>
              <a:lnTo>
                <a:pt x="155054" y="0"/>
              </a:lnTo>
              <a:lnTo>
                <a:pt x="155054" y="886362"/>
              </a:lnTo>
              <a:lnTo>
                <a:pt x="310108" y="886362"/>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339565" y="2134204"/>
        <a:ext cx="46952" cy="46952"/>
      </dsp:txXfrm>
    </dsp:sp>
    <dsp:sp modelId="{C59A761C-BB57-4BF3-AF47-315A1E03FC10}">
      <dsp:nvSpPr>
        <dsp:cNvPr id="0" name=""/>
        <dsp:cNvSpPr/>
      </dsp:nvSpPr>
      <dsp:spPr>
        <a:xfrm>
          <a:off x="2207987" y="1714500"/>
          <a:ext cx="310108" cy="295454"/>
        </a:xfrm>
        <a:custGeom>
          <a:avLst/>
          <a:gdLst/>
          <a:ahLst/>
          <a:cxnLst/>
          <a:rect l="0" t="0" r="0" b="0"/>
          <a:pathLst>
            <a:path>
              <a:moveTo>
                <a:pt x="0" y="0"/>
              </a:moveTo>
              <a:lnTo>
                <a:pt x="155054" y="0"/>
              </a:lnTo>
              <a:lnTo>
                <a:pt x="155054" y="295454"/>
              </a:lnTo>
              <a:lnTo>
                <a:pt x="310108" y="295454"/>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352333" y="1851518"/>
        <a:ext cx="21416" cy="21416"/>
      </dsp:txXfrm>
    </dsp:sp>
    <dsp:sp modelId="{760065D9-5A6D-43F0-AD30-B31EF236A035}">
      <dsp:nvSpPr>
        <dsp:cNvPr id="0" name=""/>
        <dsp:cNvSpPr/>
      </dsp:nvSpPr>
      <dsp:spPr>
        <a:xfrm>
          <a:off x="2207987" y="1419045"/>
          <a:ext cx="310108" cy="295454"/>
        </a:xfrm>
        <a:custGeom>
          <a:avLst/>
          <a:gdLst/>
          <a:ahLst/>
          <a:cxnLst/>
          <a:rect l="0" t="0" r="0" b="0"/>
          <a:pathLst>
            <a:path>
              <a:moveTo>
                <a:pt x="0" y="295454"/>
              </a:moveTo>
              <a:lnTo>
                <a:pt x="155054" y="295454"/>
              </a:lnTo>
              <a:lnTo>
                <a:pt x="155054" y="0"/>
              </a:lnTo>
              <a:lnTo>
                <a:pt x="310108" y="0"/>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352333" y="1556064"/>
        <a:ext cx="21416" cy="21416"/>
      </dsp:txXfrm>
    </dsp:sp>
    <dsp:sp modelId="{238F0453-1737-41CF-90A9-13062D2A4E81}">
      <dsp:nvSpPr>
        <dsp:cNvPr id="0" name=""/>
        <dsp:cNvSpPr/>
      </dsp:nvSpPr>
      <dsp:spPr>
        <a:xfrm>
          <a:off x="2207987" y="828137"/>
          <a:ext cx="310108" cy="886362"/>
        </a:xfrm>
        <a:custGeom>
          <a:avLst/>
          <a:gdLst/>
          <a:ahLst/>
          <a:cxnLst/>
          <a:rect l="0" t="0" r="0" b="0"/>
          <a:pathLst>
            <a:path>
              <a:moveTo>
                <a:pt x="0" y="886362"/>
              </a:moveTo>
              <a:lnTo>
                <a:pt x="155054" y="886362"/>
              </a:lnTo>
              <a:lnTo>
                <a:pt x="155054" y="0"/>
              </a:lnTo>
              <a:lnTo>
                <a:pt x="310108" y="0"/>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339565" y="1247842"/>
        <a:ext cx="46952" cy="46952"/>
      </dsp:txXfrm>
    </dsp:sp>
    <dsp:sp modelId="{D775965D-2448-4AAE-BA66-55ACA4F75197}">
      <dsp:nvSpPr>
        <dsp:cNvPr id="0" name=""/>
        <dsp:cNvSpPr/>
      </dsp:nvSpPr>
      <dsp:spPr>
        <a:xfrm>
          <a:off x="2207987" y="237229"/>
          <a:ext cx="310108" cy="1477270"/>
        </a:xfrm>
        <a:custGeom>
          <a:avLst/>
          <a:gdLst/>
          <a:ahLst/>
          <a:cxnLst/>
          <a:rect l="0" t="0" r="0" b="0"/>
          <a:pathLst>
            <a:path>
              <a:moveTo>
                <a:pt x="0" y="1477270"/>
              </a:moveTo>
              <a:lnTo>
                <a:pt x="155054" y="1477270"/>
              </a:lnTo>
              <a:lnTo>
                <a:pt x="155054" y="0"/>
              </a:lnTo>
              <a:lnTo>
                <a:pt x="310108" y="0"/>
              </a:lnTo>
            </a:path>
          </a:pathLst>
        </a:custGeom>
        <a:noFill/>
        <a:ln w="25400" cap="flat" cmpd="sng" algn="ctr">
          <a:solidFill>
            <a:srgbClr val="31B6F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325305" y="938128"/>
        <a:ext cx="75473" cy="75473"/>
      </dsp:txXfrm>
    </dsp:sp>
    <dsp:sp modelId="{14076DC2-62B6-4464-B5FB-DC87DD07CA0D}">
      <dsp:nvSpPr>
        <dsp:cNvPr id="0" name=""/>
        <dsp:cNvSpPr/>
      </dsp:nvSpPr>
      <dsp:spPr>
        <a:xfrm rot="16200000">
          <a:off x="727607" y="1478136"/>
          <a:ext cx="2488034" cy="472726"/>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lvl="0" algn="ctr" defTabSz="666750">
            <a:lnSpc>
              <a:spcPct val="90000"/>
            </a:lnSpc>
            <a:spcBef>
              <a:spcPct val="0"/>
            </a:spcBef>
            <a:spcAft>
              <a:spcPct val="35000"/>
            </a:spcAft>
          </a:pPr>
          <a:r>
            <a:rPr lang="pl-PL" sz="1500" kern="1200">
              <a:solidFill>
                <a:sysClr val="window" lastClr="FFFFFF"/>
              </a:solidFill>
              <a:latin typeface="Calibri"/>
              <a:ea typeface="+mn-ea"/>
              <a:cs typeface="+mn-cs"/>
            </a:rPr>
            <a:t>Mechanizmy  i instrumenty wewnętrzne wdrażania Strategii</a:t>
          </a:r>
        </a:p>
      </dsp:txBody>
      <dsp:txXfrm>
        <a:off x="727607" y="1478136"/>
        <a:ext cx="2488034" cy="472726"/>
      </dsp:txXfrm>
    </dsp:sp>
    <dsp:sp modelId="{0EB130B4-DCDF-4D9F-BAFE-C31B1E1C4A54}">
      <dsp:nvSpPr>
        <dsp:cNvPr id="0" name=""/>
        <dsp:cNvSpPr/>
      </dsp:nvSpPr>
      <dsp:spPr>
        <a:xfrm>
          <a:off x="2518096" y="866"/>
          <a:ext cx="1550542" cy="472726"/>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kern="1200">
              <a:solidFill>
                <a:sysClr val="window" lastClr="FFFFFF"/>
              </a:solidFill>
              <a:latin typeface="Calibri"/>
              <a:ea typeface="+mn-ea"/>
              <a:cs typeface="+mn-cs"/>
            </a:rPr>
            <a:t>prawny</a:t>
          </a:r>
        </a:p>
      </dsp:txBody>
      <dsp:txXfrm>
        <a:off x="2518096" y="866"/>
        <a:ext cx="1550542" cy="472726"/>
      </dsp:txXfrm>
    </dsp:sp>
    <dsp:sp modelId="{6BAD4927-0801-4FC6-862E-4172F1E9658A}">
      <dsp:nvSpPr>
        <dsp:cNvPr id="0" name=""/>
        <dsp:cNvSpPr/>
      </dsp:nvSpPr>
      <dsp:spPr>
        <a:xfrm>
          <a:off x="2518096" y="591774"/>
          <a:ext cx="1550542" cy="472726"/>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kern="1200">
              <a:solidFill>
                <a:sysClr val="window" lastClr="FFFFFF"/>
              </a:solidFill>
              <a:latin typeface="Calibri"/>
              <a:ea typeface="+mn-ea"/>
              <a:cs typeface="+mn-cs"/>
            </a:rPr>
            <a:t>finansowy</a:t>
          </a:r>
        </a:p>
      </dsp:txBody>
      <dsp:txXfrm>
        <a:off x="2518096" y="591774"/>
        <a:ext cx="1550542" cy="472726"/>
      </dsp:txXfrm>
    </dsp:sp>
    <dsp:sp modelId="{590DCEBA-5AC2-44BF-ADC7-71CAA195A557}">
      <dsp:nvSpPr>
        <dsp:cNvPr id="0" name=""/>
        <dsp:cNvSpPr/>
      </dsp:nvSpPr>
      <dsp:spPr>
        <a:xfrm>
          <a:off x="2518096" y="1182682"/>
          <a:ext cx="1550542" cy="472726"/>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kern="1200">
              <a:solidFill>
                <a:sysClr val="window" lastClr="FFFFFF"/>
              </a:solidFill>
              <a:latin typeface="Calibri"/>
              <a:ea typeface="+mn-ea"/>
              <a:cs typeface="+mn-cs"/>
            </a:rPr>
            <a:t>planowania przestrzennego i planów/ programów wdrożeniowych</a:t>
          </a:r>
        </a:p>
      </dsp:txBody>
      <dsp:txXfrm>
        <a:off x="2518096" y="1182682"/>
        <a:ext cx="1550542" cy="472726"/>
      </dsp:txXfrm>
    </dsp:sp>
    <dsp:sp modelId="{3B2A9988-6652-4855-ABD1-2E5FD5F8426B}">
      <dsp:nvSpPr>
        <dsp:cNvPr id="0" name=""/>
        <dsp:cNvSpPr/>
      </dsp:nvSpPr>
      <dsp:spPr>
        <a:xfrm>
          <a:off x="2518096" y="1773590"/>
          <a:ext cx="1550542" cy="472726"/>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kern="1200">
              <a:solidFill>
                <a:sysClr val="window" lastClr="FFFFFF"/>
              </a:solidFill>
              <a:latin typeface="Calibri"/>
              <a:ea typeface="+mn-ea"/>
              <a:cs typeface="+mn-cs"/>
            </a:rPr>
            <a:t>organizacyjny</a:t>
          </a:r>
        </a:p>
      </dsp:txBody>
      <dsp:txXfrm>
        <a:off x="2518096" y="1773590"/>
        <a:ext cx="1550542" cy="472726"/>
      </dsp:txXfrm>
    </dsp:sp>
    <dsp:sp modelId="{12017EE4-7C03-4142-87AA-C35E6FFA1080}">
      <dsp:nvSpPr>
        <dsp:cNvPr id="0" name=""/>
        <dsp:cNvSpPr/>
      </dsp:nvSpPr>
      <dsp:spPr>
        <a:xfrm>
          <a:off x="2518096" y="2364498"/>
          <a:ext cx="1550542" cy="472726"/>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kern="1200">
              <a:solidFill>
                <a:sysClr val="window" lastClr="FFFFFF"/>
              </a:solidFill>
              <a:latin typeface="Calibri"/>
              <a:ea typeface="+mn-ea"/>
              <a:cs typeface="+mn-cs"/>
            </a:rPr>
            <a:t>kontrolny</a:t>
          </a:r>
        </a:p>
      </dsp:txBody>
      <dsp:txXfrm>
        <a:off x="2518096" y="2364498"/>
        <a:ext cx="1550542" cy="472726"/>
      </dsp:txXfrm>
    </dsp:sp>
    <dsp:sp modelId="{8638A732-DAF9-40D8-8164-6E8DA306A23D}">
      <dsp:nvSpPr>
        <dsp:cNvPr id="0" name=""/>
        <dsp:cNvSpPr/>
      </dsp:nvSpPr>
      <dsp:spPr>
        <a:xfrm>
          <a:off x="2518096" y="2955407"/>
          <a:ext cx="1550542" cy="472726"/>
        </a:xfrm>
        <a:prstGeom prst="rect">
          <a:avLst/>
        </a:prstGeom>
        <a:solidFill>
          <a:srgbClr val="31B6F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pl-PL" sz="1000" kern="1200">
              <a:solidFill>
                <a:sysClr val="window" lastClr="FFFFFF"/>
              </a:solidFill>
              <a:latin typeface="Calibri"/>
              <a:ea typeface="+mn-ea"/>
              <a:cs typeface="+mn-cs"/>
            </a:rPr>
            <a:t>partycypacyjny</a:t>
          </a:r>
        </a:p>
      </dsp:txBody>
      <dsp:txXfrm>
        <a:off x="2518096" y="2955407"/>
        <a:ext cx="1550542" cy="47272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5FFD994-21C4-4F37-AC6C-EB6B200C6EC2}">
      <dsp:nvSpPr>
        <dsp:cNvPr id="0" name=""/>
        <dsp:cNvSpPr/>
      </dsp:nvSpPr>
      <dsp:spPr>
        <a:xfrm>
          <a:off x="1594217" y="1573929"/>
          <a:ext cx="1707414" cy="1649758"/>
        </a:xfrm>
        <a:prstGeom prst="ellipse">
          <a:avLst/>
        </a:prstGeo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Rada Porozumienia</a:t>
          </a:r>
        </a:p>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Koordynator Wspólny</a:t>
          </a:r>
        </a:p>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Grupy zadaniowe wraz z Kierownikami grup zadaniowych</a:t>
          </a:r>
        </a:p>
        <a:p>
          <a:pPr lvl="0" algn="ctr" defTabSz="488950">
            <a:lnSpc>
              <a:spcPct val="90000"/>
            </a:lnSpc>
            <a:spcBef>
              <a:spcPct val="0"/>
            </a:spcBef>
            <a:spcAft>
              <a:spcPct val="35000"/>
            </a:spcAft>
          </a:pPr>
          <a:r>
            <a:rPr lang="pl-PL" sz="1100" kern="1200">
              <a:solidFill>
                <a:sysClr val="window" lastClr="FFFFFF"/>
              </a:solidFill>
              <a:latin typeface="Calibri"/>
              <a:ea typeface="+mn-ea"/>
              <a:cs typeface="+mn-cs"/>
            </a:rPr>
            <a:t>Rada Społeczna</a:t>
          </a:r>
        </a:p>
      </dsp:txBody>
      <dsp:txXfrm>
        <a:off x="1844262" y="1815530"/>
        <a:ext cx="1207324" cy="1166556"/>
      </dsp:txXfrm>
    </dsp:sp>
    <dsp:sp modelId="{DDBFD164-1205-4C2A-A2A8-B35FBC535B38}">
      <dsp:nvSpPr>
        <dsp:cNvPr id="0" name=""/>
        <dsp:cNvSpPr/>
      </dsp:nvSpPr>
      <dsp:spPr>
        <a:xfrm rot="16200000">
          <a:off x="2335431" y="1436976"/>
          <a:ext cx="224986" cy="48921"/>
        </a:xfrm>
        <a:custGeom>
          <a:avLst/>
          <a:gdLst/>
          <a:ahLst/>
          <a:cxnLst/>
          <a:rect l="0" t="0" r="0" b="0"/>
          <a:pathLst>
            <a:path>
              <a:moveTo>
                <a:pt x="0" y="24460"/>
              </a:moveTo>
              <a:lnTo>
                <a:pt x="224986" y="24460"/>
              </a:lnTo>
            </a:path>
          </a:pathLst>
        </a:custGeom>
        <a:noFill/>
        <a:ln w="25400" cap="flat" cmpd="sng" algn="ctr">
          <a:solidFill>
            <a:srgbClr val="F5C040">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2442300" y="1455812"/>
        <a:ext cx="11249" cy="11249"/>
      </dsp:txXfrm>
    </dsp:sp>
    <dsp:sp modelId="{BE8E4599-1862-4C45-A97D-90997DA00062}">
      <dsp:nvSpPr>
        <dsp:cNvPr id="0" name=""/>
        <dsp:cNvSpPr/>
      </dsp:nvSpPr>
      <dsp:spPr>
        <a:xfrm>
          <a:off x="1782613" y="18321"/>
          <a:ext cx="1330622" cy="1330622"/>
        </a:xfrm>
        <a:prstGeom prst="ellipse">
          <a:avLst/>
        </a:prstGeo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partnerzy i wykonawcy zadań w Strategii</a:t>
          </a:r>
        </a:p>
      </dsp:txBody>
      <dsp:txXfrm>
        <a:off x="1977478" y="213186"/>
        <a:ext cx="940892" cy="940892"/>
      </dsp:txXfrm>
    </dsp:sp>
    <dsp:sp modelId="{8BC19D2D-7942-4722-A94D-D9262056F5EF}">
      <dsp:nvSpPr>
        <dsp:cNvPr id="0" name=""/>
        <dsp:cNvSpPr/>
      </dsp:nvSpPr>
      <dsp:spPr>
        <a:xfrm rot="20553585">
          <a:off x="3254943" y="2087644"/>
          <a:ext cx="211215" cy="48921"/>
        </a:xfrm>
        <a:custGeom>
          <a:avLst/>
          <a:gdLst/>
          <a:ahLst/>
          <a:cxnLst/>
          <a:rect l="0" t="0" r="0" b="0"/>
          <a:pathLst>
            <a:path>
              <a:moveTo>
                <a:pt x="0" y="24460"/>
              </a:moveTo>
              <a:lnTo>
                <a:pt x="211215" y="24460"/>
              </a:lnTo>
            </a:path>
          </a:pathLst>
        </a:custGeom>
        <a:noFill/>
        <a:ln w="25400" cap="flat" cmpd="sng" algn="ctr">
          <a:solidFill>
            <a:srgbClr val="F5C040">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3355271" y="2106824"/>
        <a:ext cx="10560" cy="10560"/>
      </dsp:txXfrm>
    </dsp:sp>
    <dsp:sp modelId="{01BA0FB8-295C-4FC2-A2BA-369992224BDB}">
      <dsp:nvSpPr>
        <dsp:cNvPr id="0" name=""/>
        <dsp:cNvSpPr/>
      </dsp:nvSpPr>
      <dsp:spPr>
        <a:xfrm>
          <a:off x="3430720" y="1215740"/>
          <a:ext cx="1330622" cy="1330622"/>
        </a:xfrm>
        <a:prstGeom prst="ellipse">
          <a:avLst/>
        </a:prstGeo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inne JST, powiat hrubieszowski, samorząd województwa</a:t>
          </a:r>
        </a:p>
      </dsp:txBody>
      <dsp:txXfrm>
        <a:off x="3625585" y="1410605"/>
        <a:ext cx="940892" cy="940892"/>
      </dsp:txXfrm>
    </dsp:sp>
    <dsp:sp modelId="{24A9B976-6BBC-4918-9D1E-488A06196256}">
      <dsp:nvSpPr>
        <dsp:cNvPr id="0" name=""/>
        <dsp:cNvSpPr/>
      </dsp:nvSpPr>
      <dsp:spPr>
        <a:xfrm rot="3260521">
          <a:off x="2882660" y="3152873"/>
          <a:ext cx="247652" cy="48921"/>
        </a:xfrm>
        <a:custGeom>
          <a:avLst/>
          <a:gdLst/>
          <a:ahLst/>
          <a:cxnLst/>
          <a:rect l="0" t="0" r="0" b="0"/>
          <a:pathLst>
            <a:path>
              <a:moveTo>
                <a:pt x="0" y="24460"/>
              </a:moveTo>
              <a:lnTo>
                <a:pt x="247652" y="24460"/>
              </a:lnTo>
            </a:path>
          </a:pathLst>
        </a:custGeom>
        <a:noFill/>
        <a:ln w="25400" cap="flat" cmpd="sng" algn="ctr">
          <a:solidFill>
            <a:srgbClr val="F5C040">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a:off x="3000295" y="3171143"/>
        <a:ext cx="12382" cy="12382"/>
      </dsp:txXfrm>
    </dsp:sp>
    <dsp:sp modelId="{A293BDCA-8B09-417C-AC62-BE411F2725AB}">
      <dsp:nvSpPr>
        <dsp:cNvPr id="0" name=""/>
        <dsp:cNvSpPr/>
      </dsp:nvSpPr>
      <dsp:spPr>
        <a:xfrm>
          <a:off x="2801199" y="3153206"/>
          <a:ext cx="1330622" cy="1330622"/>
        </a:xfrm>
        <a:prstGeom prst="ellipse">
          <a:avLst/>
        </a:prstGeo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organizacje pozarządowe</a:t>
          </a:r>
        </a:p>
      </dsp:txBody>
      <dsp:txXfrm>
        <a:off x="2996064" y="3348071"/>
        <a:ext cx="940892" cy="940892"/>
      </dsp:txXfrm>
    </dsp:sp>
    <dsp:sp modelId="{B2277E38-1BD9-4084-89AD-47640DD60BF0}">
      <dsp:nvSpPr>
        <dsp:cNvPr id="0" name=""/>
        <dsp:cNvSpPr/>
      </dsp:nvSpPr>
      <dsp:spPr>
        <a:xfrm rot="7539479">
          <a:off x="1765537" y="3152873"/>
          <a:ext cx="247652" cy="48921"/>
        </a:xfrm>
        <a:custGeom>
          <a:avLst/>
          <a:gdLst/>
          <a:ahLst/>
          <a:cxnLst/>
          <a:rect l="0" t="0" r="0" b="0"/>
          <a:pathLst>
            <a:path>
              <a:moveTo>
                <a:pt x="0" y="24460"/>
              </a:moveTo>
              <a:lnTo>
                <a:pt x="247652" y="24460"/>
              </a:lnTo>
            </a:path>
          </a:pathLst>
        </a:custGeom>
        <a:noFill/>
        <a:ln w="25400" cap="flat" cmpd="sng" algn="ctr">
          <a:solidFill>
            <a:srgbClr val="F5C040">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rot="10800000">
        <a:off x="1883171" y="3171143"/>
        <a:ext cx="12382" cy="12382"/>
      </dsp:txXfrm>
    </dsp:sp>
    <dsp:sp modelId="{FBE2EE26-8EC9-465F-9916-67D100402BF0}">
      <dsp:nvSpPr>
        <dsp:cNvPr id="0" name=""/>
        <dsp:cNvSpPr/>
      </dsp:nvSpPr>
      <dsp:spPr>
        <a:xfrm>
          <a:off x="764028" y="3153206"/>
          <a:ext cx="1330622" cy="1330622"/>
        </a:xfrm>
        <a:prstGeom prst="ellipse">
          <a:avLst/>
        </a:prstGeo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instytucje i organizacje publiczne</a:t>
          </a:r>
        </a:p>
      </dsp:txBody>
      <dsp:txXfrm>
        <a:off x="958893" y="3348071"/>
        <a:ext cx="940892" cy="940892"/>
      </dsp:txXfrm>
    </dsp:sp>
    <dsp:sp modelId="{E4933B61-9AA0-4985-85C3-5B235496B223}">
      <dsp:nvSpPr>
        <dsp:cNvPr id="0" name=""/>
        <dsp:cNvSpPr/>
      </dsp:nvSpPr>
      <dsp:spPr>
        <a:xfrm rot="11846415">
          <a:off x="1429690" y="2087644"/>
          <a:ext cx="211215" cy="48921"/>
        </a:xfrm>
        <a:custGeom>
          <a:avLst/>
          <a:gdLst/>
          <a:ahLst/>
          <a:cxnLst/>
          <a:rect l="0" t="0" r="0" b="0"/>
          <a:pathLst>
            <a:path>
              <a:moveTo>
                <a:pt x="0" y="24460"/>
              </a:moveTo>
              <a:lnTo>
                <a:pt x="211215" y="24460"/>
              </a:lnTo>
            </a:path>
          </a:pathLst>
        </a:custGeom>
        <a:noFill/>
        <a:ln w="25400" cap="flat" cmpd="sng" algn="ctr">
          <a:solidFill>
            <a:srgbClr val="F5C040">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pl-PL" sz="500" kern="1200">
            <a:solidFill>
              <a:sysClr val="windowText" lastClr="000000">
                <a:hueOff val="0"/>
                <a:satOff val="0"/>
                <a:lumOff val="0"/>
                <a:alphaOff val="0"/>
              </a:sysClr>
            </a:solidFill>
            <a:latin typeface="Calibri"/>
            <a:ea typeface="+mn-ea"/>
            <a:cs typeface="+mn-cs"/>
          </a:endParaRPr>
        </a:p>
      </dsp:txBody>
      <dsp:txXfrm rot="10800000">
        <a:off x="1530018" y="2106824"/>
        <a:ext cx="10560" cy="10560"/>
      </dsp:txXfrm>
    </dsp:sp>
    <dsp:sp modelId="{B0B8383A-C3CD-4E5A-A2F9-171457A36D30}">
      <dsp:nvSpPr>
        <dsp:cNvPr id="0" name=""/>
        <dsp:cNvSpPr/>
      </dsp:nvSpPr>
      <dsp:spPr>
        <a:xfrm>
          <a:off x="134507" y="1215740"/>
          <a:ext cx="1330622" cy="1330622"/>
        </a:xfrm>
        <a:prstGeom prst="ellipse">
          <a:avLst/>
        </a:prstGeom>
        <a:solidFill>
          <a:srgbClr val="F5C04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pl-PL" sz="1200" kern="1200">
              <a:solidFill>
                <a:sysClr val="window" lastClr="FFFFFF"/>
              </a:solidFill>
              <a:latin typeface="Calibri"/>
              <a:ea typeface="+mn-ea"/>
              <a:cs typeface="+mn-cs"/>
            </a:rPr>
            <a:t>mieszkańcy</a:t>
          </a:r>
        </a:p>
      </dsp:txBody>
      <dsp:txXfrm>
        <a:off x="329372" y="1410605"/>
        <a:ext cx="940892" cy="94089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4B7870-85D3-4E87-9B0B-E1F34E30348E}">
      <dsp:nvSpPr>
        <dsp:cNvPr id="0" name=""/>
        <dsp:cNvSpPr/>
      </dsp:nvSpPr>
      <dsp:spPr>
        <a:xfrm>
          <a:off x="1235954" y="0"/>
          <a:ext cx="3238500" cy="3238500"/>
        </a:xfrm>
        <a:prstGeom prst="triangl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43A9B19-00E9-4506-9DE1-0F61D1625C82}">
      <dsp:nvSpPr>
        <dsp:cNvPr id="0" name=""/>
        <dsp:cNvSpPr/>
      </dsp:nvSpPr>
      <dsp:spPr>
        <a:xfrm>
          <a:off x="249225" y="370059"/>
          <a:ext cx="5180024" cy="671735"/>
        </a:xfrm>
        <a:prstGeom prst="round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Jeden </a:t>
          </a:r>
          <a:r>
            <a:rPr lang="pl-PL" sz="1100" b="1" kern="1200"/>
            <a:t>cel nadrzędny</a:t>
          </a:r>
          <a:r>
            <a:rPr lang="pl-PL" sz="1100" kern="1200"/>
            <a:t>, który nawiązuje do wizji rozwoju i przyświecał formułowaniu celów strategicznych</a:t>
          </a:r>
        </a:p>
      </dsp:txBody>
      <dsp:txXfrm>
        <a:off x="282016" y="402850"/>
        <a:ext cx="5114442" cy="606153"/>
      </dsp:txXfrm>
    </dsp:sp>
    <dsp:sp modelId="{31D26ECE-922E-4282-9661-5040FE4458F6}">
      <dsp:nvSpPr>
        <dsp:cNvPr id="0" name=""/>
        <dsp:cNvSpPr/>
      </dsp:nvSpPr>
      <dsp:spPr>
        <a:xfrm>
          <a:off x="255193" y="1137675"/>
          <a:ext cx="5212420" cy="993094"/>
        </a:xfrm>
        <a:prstGeom prst="round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Cztery </a:t>
          </a:r>
          <a:r>
            <a:rPr lang="pl-PL" sz="1100" b="1" kern="1200"/>
            <a:t>cele strategiczne</a:t>
          </a:r>
          <a:r>
            <a:rPr lang="pl-PL" sz="1100" kern="1200"/>
            <a:t> – uwzględniają potrzebę likwidacji najważniejszych słabych stron HOF, w tym zagrożeń oraz efektywne wykorzystanie mocnych stron, w tym szans, z uwzględnieniem możliwości wsparcia finansowego przez fundusze zewnętrzne i współpracę międzysektorową. Cele strategiczne mają charakter długofalowy i zasadniczo wynikają bezpośrednio z przyjętej wizji rozwoju i są odpowiedzią na główne wyzwania rozwojowe.</a:t>
          </a:r>
        </a:p>
      </dsp:txBody>
      <dsp:txXfrm>
        <a:off x="303672" y="1186154"/>
        <a:ext cx="5115462" cy="896136"/>
      </dsp:txXfrm>
    </dsp:sp>
    <dsp:sp modelId="{C0A74882-5503-49FB-A48B-9BD97FD78BDD}">
      <dsp:nvSpPr>
        <dsp:cNvPr id="0" name=""/>
        <dsp:cNvSpPr/>
      </dsp:nvSpPr>
      <dsp:spPr>
        <a:xfrm>
          <a:off x="271770" y="2276019"/>
          <a:ext cx="5209494" cy="671735"/>
        </a:xfrm>
        <a:prstGeom prst="round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b="1" kern="1200"/>
            <a:t>Cele szczegółowe (operacyjne)</a:t>
          </a:r>
          <a:r>
            <a:rPr lang="pl-PL" sz="1100" kern="1200"/>
            <a:t> – wynikają z celów strategicznych i ich zamysłem jest określenie zadania lub grupy zadań w wybranych dziedzinach koniecznych do podejmowania inwestycji na rzecz rozwoju obszaru HOF. Dotyczą one średniego horyzontu czasowego.</a:t>
          </a:r>
        </a:p>
      </dsp:txBody>
      <dsp:txXfrm>
        <a:off x="304561" y="2308810"/>
        <a:ext cx="5143912" cy="60615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3A74C8A-A638-4E59-8366-02085ABC7CA0}">
      <dsp:nvSpPr>
        <dsp:cNvPr id="0" name=""/>
        <dsp:cNvSpPr/>
      </dsp:nvSpPr>
      <dsp:spPr>
        <a:xfrm>
          <a:off x="1184950" y="0"/>
          <a:ext cx="2228850" cy="2228850"/>
        </a:xfrm>
        <a:prstGeom prst="triangl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9ECE521-5830-4352-9AA3-A3D5C36878FE}">
      <dsp:nvSpPr>
        <dsp:cNvPr id="0" name=""/>
        <dsp:cNvSpPr/>
      </dsp:nvSpPr>
      <dsp:spPr>
        <a:xfrm>
          <a:off x="486723" y="561973"/>
          <a:ext cx="3605872" cy="621439"/>
        </a:xfrm>
        <a:prstGeom prst="round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b="1" kern="1200"/>
            <a:t>Działania</a:t>
          </a:r>
          <a:r>
            <a:rPr lang="pl-PL" sz="1100" kern="1200"/>
            <a:t> – stanowiące wiązki przedsięwzięć budujących kierunki działań. Jest to zabieg ułatwiający przypisanie kierunku działań do odpowiedniego celu oraz zwiększenie czytelności dokumentu.</a:t>
          </a:r>
        </a:p>
      </dsp:txBody>
      <dsp:txXfrm>
        <a:off x="517059" y="592309"/>
        <a:ext cx="3545200" cy="560767"/>
      </dsp:txXfrm>
    </dsp:sp>
    <dsp:sp modelId="{4CCEE1B7-3560-4583-A021-3076854F7618}">
      <dsp:nvSpPr>
        <dsp:cNvPr id="0" name=""/>
        <dsp:cNvSpPr/>
      </dsp:nvSpPr>
      <dsp:spPr>
        <a:xfrm>
          <a:off x="507592" y="1370918"/>
          <a:ext cx="3572913" cy="524154"/>
        </a:xfrm>
        <a:prstGeom prst="roundRect">
          <a:avLst/>
        </a:prstGeom>
        <a:solidFill>
          <a:schemeClr val="lt1">
            <a:alpha val="90000"/>
            <a:hueOff val="0"/>
            <a:satOff val="0"/>
            <a:lumOff val="0"/>
            <a:alphaOff val="0"/>
          </a:schemeClr>
        </a:solidFill>
        <a:ln w="25400" cap="flat" cmpd="sng" algn="ctr">
          <a:solidFill>
            <a:schemeClr val="accent5">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b="1" kern="1200"/>
            <a:t>Kierunki działań</a:t>
          </a:r>
          <a:r>
            <a:rPr lang="pl-PL" sz="1100" kern="1200"/>
            <a:t> - są to konkretne przedsięwzięcia i zadania, które należałoby realizować, aby wdrożyć cele szczegółowe Strategii.</a:t>
          </a:r>
        </a:p>
      </dsp:txBody>
      <dsp:txXfrm>
        <a:off x="533179" y="1396505"/>
        <a:ext cx="3521739" cy="47298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F8E3CA-5847-4835-AC41-DBCB14E4D140}">
      <dsp:nvSpPr>
        <dsp:cNvPr id="0" name=""/>
        <dsp:cNvSpPr/>
      </dsp:nvSpPr>
      <dsp:spPr>
        <a:xfrm>
          <a:off x="412753" y="6529"/>
          <a:ext cx="3730508" cy="599855"/>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pl-PL" sz="1100" kern="1200"/>
            <a:t>1. LEPSZA JAKOŚĆ ŻYCIA I ZINTEGROWANA SPOŁECZNOŚĆ LOKALNA</a:t>
          </a:r>
        </a:p>
      </dsp:txBody>
      <dsp:txXfrm>
        <a:off x="430322" y="24098"/>
        <a:ext cx="3695370" cy="564717"/>
      </dsp:txXfrm>
    </dsp:sp>
    <dsp:sp modelId="{E811F24B-BBC3-416E-8E00-C7D10C8D754A}">
      <dsp:nvSpPr>
        <dsp:cNvPr id="0" name=""/>
        <dsp:cNvSpPr/>
      </dsp:nvSpPr>
      <dsp:spPr>
        <a:xfrm>
          <a:off x="785804" y="606385"/>
          <a:ext cx="379395" cy="262746"/>
        </a:xfrm>
        <a:custGeom>
          <a:avLst/>
          <a:gdLst/>
          <a:ahLst/>
          <a:cxnLst/>
          <a:rect l="0" t="0" r="0" b="0"/>
          <a:pathLst>
            <a:path>
              <a:moveTo>
                <a:pt x="0" y="0"/>
              </a:moveTo>
              <a:lnTo>
                <a:pt x="0" y="262746"/>
              </a:lnTo>
              <a:lnTo>
                <a:pt x="379395" y="262746"/>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BF2DE2-8204-4F7B-9262-8DFDE515E2B9}">
      <dsp:nvSpPr>
        <dsp:cNvPr id="0" name=""/>
        <dsp:cNvSpPr/>
      </dsp:nvSpPr>
      <dsp:spPr>
        <a:xfrm>
          <a:off x="1165200" y="690315"/>
          <a:ext cx="2885413" cy="35763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1.1 Lepsza dostępność komunikacyjna obszaru HOF</a:t>
          </a:r>
        </a:p>
      </dsp:txBody>
      <dsp:txXfrm>
        <a:off x="1175675" y="700790"/>
        <a:ext cx="2864463" cy="336683"/>
      </dsp:txXfrm>
    </dsp:sp>
    <dsp:sp modelId="{6BAB3C95-9C46-4E7A-93F5-94F6FE50C105}">
      <dsp:nvSpPr>
        <dsp:cNvPr id="0" name=""/>
        <dsp:cNvSpPr/>
      </dsp:nvSpPr>
      <dsp:spPr>
        <a:xfrm>
          <a:off x="785804" y="606385"/>
          <a:ext cx="379395" cy="709789"/>
        </a:xfrm>
        <a:custGeom>
          <a:avLst/>
          <a:gdLst/>
          <a:ahLst/>
          <a:cxnLst/>
          <a:rect l="0" t="0" r="0" b="0"/>
          <a:pathLst>
            <a:path>
              <a:moveTo>
                <a:pt x="0" y="0"/>
              </a:moveTo>
              <a:lnTo>
                <a:pt x="0" y="709789"/>
              </a:lnTo>
              <a:lnTo>
                <a:pt x="379395" y="709789"/>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56352D-6D24-43EC-8CFA-DD4D869B9994}">
      <dsp:nvSpPr>
        <dsp:cNvPr id="0" name=""/>
        <dsp:cNvSpPr/>
      </dsp:nvSpPr>
      <dsp:spPr>
        <a:xfrm>
          <a:off x="1165200" y="1137357"/>
          <a:ext cx="2889768" cy="35763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1.2 Lepszy dostęp do mieszkań oraz ich wyższy standard</a:t>
          </a:r>
        </a:p>
      </dsp:txBody>
      <dsp:txXfrm>
        <a:off x="1175675" y="1147832"/>
        <a:ext cx="2868818" cy="336683"/>
      </dsp:txXfrm>
    </dsp:sp>
    <dsp:sp modelId="{6FFD2F8F-4EEE-4C8E-B7D3-ABB5F34A2D4C}">
      <dsp:nvSpPr>
        <dsp:cNvPr id="0" name=""/>
        <dsp:cNvSpPr/>
      </dsp:nvSpPr>
      <dsp:spPr>
        <a:xfrm>
          <a:off x="785804" y="606385"/>
          <a:ext cx="379395" cy="1156831"/>
        </a:xfrm>
        <a:custGeom>
          <a:avLst/>
          <a:gdLst/>
          <a:ahLst/>
          <a:cxnLst/>
          <a:rect l="0" t="0" r="0" b="0"/>
          <a:pathLst>
            <a:path>
              <a:moveTo>
                <a:pt x="0" y="0"/>
              </a:moveTo>
              <a:lnTo>
                <a:pt x="0" y="1156831"/>
              </a:lnTo>
              <a:lnTo>
                <a:pt x="379395" y="1156831"/>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8D9C18-65CE-4A3F-9330-A92579ECA450}">
      <dsp:nvSpPr>
        <dsp:cNvPr id="0" name=""/>
        <dsp:cNvSpPr/>
      </dsp:nvSpPr>
      <dsp:spPr>
        <a:xfrm>
          <a:off x="1165200" y="1584400"/>
          <a:ext cx="2911495" cy="35763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1.3 Lepszy dostęp i jakość usług w zakresie opieki nad dzieckiem oraz edukacji dzieci i młodzieży</a:t>
          </a:r>
        </a:p>
      </dsp:txBody>
      <dsp:txXfrm>
        <a:off x="1175675" y="1594875"/>
        <a:ext cx="2890545" cy="336683"/>
      </dsp:txXfrm>
    </dsp:sp>
    <dsp:sp modelId="{E672734B-1002-4AF0-8818-A010335C20C5}">
      <dsp:nvSpPr>
        <dsp:cNvPr id="0" name=""/>
        <dsp:cNvSpPr/>
      </dsp:nvSpPr>
      <dsp:spPr>
        <a:xfrm>
          <a:off x="785804" y="606385"/>
          <a:ext cx="379395" cy="1603873"/>
        </a:xfrm>
        <a:custGeom>
          <a:avLst/>
          <a:gdLst/>
          <a:ahLst/>
          <a:cxnLst/>
          <a:rect l="0" t="0" r="0" b="0"/>
          <a:pathLst>
            <a:path>
              <a:moveTo>
                <a:pt x="0" y="0"/>
              </a:moveTo>
              <a:lnTo>
                <a:pt x="0" y="1603873"/>
              </a:lnTo>
              <a:lnTo>
                <a:pt x="379395" y="1603873"/>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A54E53-5D5A-4FCB-AC27-3C862FCDF39A}">
      <dsp:nvSpPr>
        <dsp:cNvPr id="0" name=""/>
        <dsp:cNvSpPr/>
      </dsp:nvSpPr>
      <dsp:spPr>
        <a:xfrm>
          <a:off x="1165200" y="2031442"/>
          <a:ext cx="3766526" cy="35763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1.4 Poprawa dostępności mieszkańców do usług zdrowia i opieki społecznej</a:t>
          </a:r>
        </a:p>
      </dsp:txBody>
      <dsp:txXfrm>
        <a:off x="1175675" y="2041917"/>
        <a:ext cx="3745576" cy="336683"/>
      </dsp:txXfrm>
    </dsp:sp>
    <dsp:sp modelId="{95F2A124-6F6B-45FE-9EF5-40F43BF007B6}">
      <dsp:nvSpPr>
        <dsp:cNvPr id="0" name=""/>
        <dsp:cNvSpPr/>
      </dsp:nvSpPr>
      <dsp:spPr>
        <a:xfrm>
          <a:off x="785804" y="606385"/>
          <a:ext cx="379395" cy="2050916"/>
        </a:xfrm>
        <a:custGeom>
          <a:avLst/>
          <a:gdLst/>
          <a:ahLst/>
          <a:cxnLst/>
          <a:rect l="0" t="0" r="0" b="0"/>
          <a:pathLst>
            <a:path>
              <a:moveTo>
                <a:pt x="0" y="0"/>
              </a:moveTo>
              <a:lnTo>
                <a:pt x="0" y="2050916"/>
              </a:lnTo>
              <a:lnTo>
                <a:pt x="379395" y="2050916"/>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523A70-D43E-4AB8-BD08-9CCD9B809B51}">
      <dsp:nvSpPr>
        <dsp:cNvPr id="0" name=""/>
        <dsp:cNvSpPr/>
      </dsp:nvSpPr>
      <dsp:spPr>
        <a:xfrm>
          <a:off x="1165200" y="2478485"/>
          <a:ext cx="3234149" cy="35763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1.5 Lepsza oferta w zakresie kultury i rekreacji dla mieszkańców</a:t>
          </a:r>
        </a:p>
      </dsp:txBody>
      <dsp:txXfrm>
        <a:off x="1175675" y="2488960"/>
        <a:ext cx="3213199" cy="336683"/>
      </dsp:txXfrm>
    </dsp:sp>
    <dsp:sp modelId="{FD8830AA-2612-4553-957F-780A4E9100AE}">
      <dsp:nvSpPr>
        <dsp:cNvPr id="0" name=""/>
        <dsp:cNvSpPr/>
      </dsp:nvSpPr>
      <dsp:spPr>
        <a:xfrm>
          <a:off x="785804" y="606385"/>
          <a:ext cx="379395" cy="2497958"/>
        </a:xfrm>
        <a:custGeom>
          <a:avLst/>
          <a:gdLst/>
          <a:ahLst/>
          <a:cxnLst/>
          <a:rect l="0" t="0" r="0" b="0"/>
          <a:pathLst>
            <a:path>
              <a:moveTo>
                <a:pt x="0" y="0"/>
              </a:moveTo>
              <a:lnTo>
                <a:pt x="0" y="2497958"/>
              </a:lnTo>
              <a:lnTo>
                <a:pt x="379395" y="2497958"/>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FBFE4B0-D101-49BA-A04C-A9744F546DC2}">
      <dsp:nvSpPr>
        <dsp:cNvPr id="0" name=""/>
        <dsp:cNvSpPr/>
      </dsp:nvSpPr>
      <dsp:spPr>
        <a:xfrm>
          <a:off x="1165200" y="2925527"/>
          <a:ext cx="3043133" cy="35763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1.6 Uporządkowana przestrzeń i bezpieczeństwo publiczne</a:t>
          </a:r>
        </a:p>
      </dsp:txBody>
      <dsp:txXfrm>
        <a:off x="1175675" y="2936002"/>
        <a:ext cx="3022183" cy="336683"/>
      </dsp:txXfrm>
    </dsp:sp>
    <dsp:sp modelId="{3D47FFAB-29B2-4EA9-8B48-3BC16544D13A}">
      <dsp:nvSpPr>
        <dsp:cNvPr id="0" name=""/>
        <dsp:cNvSpPr/>
      </dsp:nvSpPr>
      <dsp:spPr>
        <a:xfrm>
          <a:off x="785804" y="606385"/>
          <a:ext cx="379395" cy="2945001"/>
        </a:xfrm>
        <a:custGeom>
          <a:avLst/>
          <a:gdLst/>
          <a:ahLst/>
          <a:cxnLst/>
          <a:rect l="0" t="0" r="0" b="0"/>
          <a:pathLst>
            <a:path>
              <a:moveTo>
                <a:pt x="0" y="0"/>
              </a:moveTo>
              <a:lnTo>
                <a:pt x="0" y="2945001"/>
              </a:lnTo>
              <a:lnTo>
                <a:pt x="379395" y="2945001"/>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CEA1F62-B990-4A4B-8537-313A4CAEB7EA}">
      <dsp:nvSpPr>
        <dsp:cNvPr id="0" name=""/>
        <dsp:cNvSpPr/>
      </dsp:nvSpPr>
      <dsp:spPr>
        <a:xfrm>
          <a:off x="1165200" y="3372570"/>
          <a:ext cx="3039785" cy="35763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1.7 Integracja społeczna i aktywna polityka senioralna</a:t>
          </a:r>
        </a:p>
      </dsp:txBody>
      <dsp:txXfrm>
        <a:off x="1175675" y="3383045"/>
        <a:ext cx="3018835" cy="336683"/>
      </dsp:txXfrm>
    </dsp:sp>
    <dsp:sp modelId="{17E49BC0-CEEE-4248-965D-68268A3F631F}">
      <dsp:nvSpPr>
        <dsp:cNvPr id="0" name=""/>
        <dsp:cNvSpPr/>
      </dsp:nvSpPr>
      <dsp:spPr>
        <a:xfrm>
          <a:off x="785804" y="606385"/>
          <a:ext cx="379395" cy="3392043"/>
        </a:xfrm>
        <a:custGeom>
          <a:avLst/>
          <a:gdLst/>
          <a:ahLst/>
          <a:cxnLst/>
          <a:rect l="0" t="0" r="0" b="0"/>
          <a:pathLst>
            <a:path>
              <a:moveTo>
                <a:pt x="0" y="0"/>
              </a:moveTo>
              <a:lnTo>
                <a:pt x="0" y="3392043"/>
              </a:lnTo>
              <a:lnTo>
                <a:pt x="379395" y="3392043"/>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6AE8D9-C0D5-470B-AC00-3503564A35C9}">
      <dsp:nvSpPr>
        <dsp:cNvPr id="0" name=""/>
        <dsp:cNvSpPr/>
      </dsp:nvSpPr>
      <dsp:spPr>
        <a:xfrm>
          <a:off x="1165200" y="3819612"/>
          <a:ext cx="3902101" cy="35763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1.8 Pogłębienie współpracy obszaru HOF w zakresie usług integracji społecznej</a:t>
          </a:r>
          <a:endParaRPr lang="pl-PL" sz="2000" kern="1200"/>
        </a:p>
      </dsp:txBody>
      <dsp:txXfrm>
        <a:off x="1175675" y="3830087"/>
        <a:ext cx="3881151" cy="336683"/>
      </dsp:txXfrm>
    </dsp:sp>
    <dsp:sp modelId="{D20472C9-206B-456F-A19E-5DAE8C684362}">
      <dsp:nvSpPr>
        <dsp:cNvPr id="0" name=""/>
        <dsp:cNvSpPr/>
      </dsp:nvSpPr>
      <dsp:spPr>
        <a:xfrm>
          <a:off x="785804" y="606385"/>
          <a:ext cx="379395" cy="3839086"/>
        </a:xfrm>
        <a:custGeom>
          <a:avLst/>
          <a:gdLst/>
          <a:ahLst/>
          <a:cxnLst/>
          <a:rect l="0" t="0" r="0" b="0"/>
          <a:pathLst>
            <a:path>
              <a:moveTo>
                <a:pt x="0" y="0"/>
              </a:moveTo>
              <a:lnTo>
                <a:pt x="0" y="3839086"/>
              </a:lnTo>
              <a:lnTo>
                <a:pt x="379395" y="3839086"/>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780BE5-C032-4685-B584-C4D89D667C1C}">
      <dsp:nvSpPr>
        <dsp:cNvPr id="0" name=""/>
        <dsp:cNvSpPr/>
      </dsp:nvSpPr>
      <dsp:spPr>
        <a:xfrm>
          <a:off x="1165200" y="4266655"/>
          <a:ext cx="3703983" cy="357633"/>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1.9 Zintegrowane wzmocnienie potencjału edukacyjnego i kulturowego HOF</a:t>
          </a:r>
          <a:endParaRPr lang="pl-PL" sz="2000" kern="1200"/>
        </a:p>
      </dsp:txBody>
      <dsp:txXfrm>
        <a:off x="1175675" y="4277130"/>
        <a:ext cx="3683033" cy="33668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F8E3CA-5847-4835-AC41-DBCB14E4D140}">
      <dsp:nvSpPr>
        <dsp:cNvPr id="0" name=""/>
        <dsp:cNvSpPr/>
      </dsp:nvSpPr>
      <dsp:spPr>
        <a:xfrm>
          <a:off x="81239" y="9981"/>
          <a:ext cx="4974011" cy="799807"/>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pl-PL" sz="1100" kern="1200"/>
            <a:t>2. CZYSTE ŚRODOWISKO I ADAPTACJA DO ZMIAN KLIMATU</a:t>
          </a:r>
        </a:p>
      </dsp:txBody>
      <dsp:txXfrm>
        <a:off x="104665" y="33407"/>
        <a:ext cx="4927159" cy="752955"/>
      </dsp:txXfrm>
    </dsp:sp>
    <dsp:sp modelId="{E811F24B-BBC3-416E-8E00-C7D10C8D754A}">
      <dsp:nvSpPr>
        <dsp:cNvPr id="0" name=""/>
        <dsp:cNvSpPr/>
      </dsp:nvSpPr>
      <dsp:spPr>
        <a:xfrm>
          <a:off x="578640" y="809789"/>
          <a:ext cx="505860" cy="350328"/>
        </a:xfrm>
        <a:custGeom>
          <a:avLst/>
          <a:gdLst/>
          <a:ahLst/>
          <a:cxnLst/>
          <a:rect l="0" t="0" r="0" b="0"/>
          <a:pathLst>
            <a:path>
              <a:moveTo>
                <a:pt x="0" y="0"/>
              </a:moveTo>
              <a:lnTo>
                <a:pt x="0" y="350328"/>
              </a:lnTo>
              <a:lnTo>
                <a:pt x="505860" y="350328"/>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BF2DE2-8204-4F7B-9262-8DFDE515E2B9}">
      <dsp:nvSpPr>
        <dsp:cNvPr id="0" name=""/>
        <dsp:cNvSpPr/>
      </dsp:nvSpPr>
      <dsp:spPr>
        <a:xfrm>
          <a:off x="1084501" y="921695"/>
          <a:ext cx="3847218" cy="476845"/>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2.1 Racjonalne gospodarowanie zasobami wodnymi</a:t>
          </a:r>
        </a:p>
      </dsp:txBody>
      <dsp:txXfrm>
        <a:off x="1098467" y="935661"/>
        <a:ext cx="3819286" cy="448913"/>
      </dsp:txXfrm>
    </dsp:sp>
    <dsp:sp modelId="{6BAB3C95-9C46-4E7A-93F5-94F6FE50C105}">
      <dsp:nvSpPr>
        <dsp:cNvPr id="0" name=""/>
        <dsp:cNvSpPr/>
      </dsp:nvSpPr>
      <dsp:spPr>
        <a:xfrm>
          <a:off x="578640" y="809789"/>
          <a:ext cx="505860" cy="946385"/>
        </a:xfrm>
        <a:custGeom>
          <a:avLst/>
          <a:gdLst/>
          <a:ahLst/>
          <a:cxnLst/>
          <a:rect l="0" t="0" r="0" b="0"/>
          <a:pathLst>
            <a:path>
              <a:moveTo>
                <a:pt x="0" y="0"/>
              </a:moveTo>
              <a:lnTo>
                <a:pt x="0" y="946385"/>
              </a:lnTo>
              <a:lnTo>
                <a:pt x="505860" y="946385"/>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56352D-6D24-43EC-8CFA-DD4D869B9994}">
      <dsp:nvSpPr>
        <dsp:cNvPr id="0" name=""/>
        <dsp:cNvSpPr/>
      </dsp:nvSpPr>
      <dsp:spPr>
        <a:xfrm>
          <a:off x="1084501" y="1517751"/>
          <a:ext cx="4305401" cy="476845"/>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2.2 Transformacja gospodarki odpadami w kierunku obiegu zamkniętego</a:t>
          </a:r>
        </a:p>
      </dsp:txBody>
      <dsp:txXfrm>
        <a:off x="1098467" y="1531717"/>
        <a:ext cx="4277469" cy="448913"/>
      </dsp:txXfrm>
    </dsp:sp>
    <dsp:sp modelId="{6FFD2F8F-4EEE-4C8E-B7D3-ABB5F34A2D4C}">
      <dsp:nvSpPr>
        <dsp:cNvPr id="0" name=""/>
        <dsp:cNvSpPr/>
      </dsp:nvSpPr>
      <dsp:spPr>
        <a:xfrm>
          <a:off x="578640" y="809789"/>
          <a:ext cx="505860" cy="1542441"/>
        </a:xfrm>
        <a:custGeom>
          <a:avLst/>
          <a:gdLst/>
          <a:ahLst/>
          <a:cxnLst/>
          <a:rect l="0" t="0" r="0" b="0"/>
          <a:pathLst>
            <a:path>
              <a:moveTo>
                <a:pt x="0" y="0"/>
              </a:moveTo>
              <a:lnTo>
                <a:pt x="0" y="1542441"/>
              </a:lnTo>
              <a:lnTo>
                <a:pt x="505860" y="1542441"/>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8D9C18-65CE-4A3F-9330-A92579ECA450}">
      <dsp:nvSpPr>
        <dsp:cNvPr id="0" name=""/>
        <dsp:cNvSpPr/>
      </dsp:nvSpPr>
      <dsp:spPr>
        <a:xfrm>
          <a:off x="1084501" y="2113808"/>
          <a:ext cx="3881993" cy="476845"/>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2.3 Transformacja energetyczna i czyste powietrze</a:t>
          </a:r>
        </a:p>
      </dsp:txBody>
      <dsp:txXfrm>
        <a:off x="1098467" y="2127774"/>
        <a:ext cx="3854061" cy="448913"/>
      </dsp:txXfrm>
    </dsp:sp>
    <dsp:sp modelId="{E672734B-1002-4AF0-8818-A010335C20C5}">
      <dsp:nvSpPr>
        <dsp:cNvPr id="0" name=""/>
        <dsp:cNvSpPr/>
      </dsp:nvSpPr>
      <dsp:spPr>
        <a:xfrm>
          <a:off x="578640" y="809789"/>
          <a:ext cx="505860" cy="2138498"/>
        </a:xfrm>
        <a:custGeom>
          <a:avLst/>
          <a:gdLst/>
          <a:ahLst/>
          <a:cxnLst/>
          <a:rect l="0" t="0" r="0" b="0"/>
          <a:pathLst>
            <a:path>
              <a:moveTo>
                <a:pt x="0" y="0"/>
              </a:moveTo>
              <a:lnTo>
                <a:pt x="0" y="2138498"/>
              </a:lnTo>
              <a:lnTo>
                <a:pt x="505860" y="2138498"/>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A54E53-5D5A-4FCB-AC27-3C862FCDF39A}">
      <dsp:nvSpPr>
        <dsp:cNvPr id="0" name=""/>
        <dsp:cNvSpPr/>
      </dsp:nvSpPr>
      <dsp:spPr>
        <a:xfrm>
          <a:off x="1084501" y="2709865"/>
          <a:ext cx="3929815" cy="476845"/>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2.4 Ochrona walorów przyrodniczych i kulturowych obszaru HOF</a:t>
          </a:r>
        </a:p>
      </dsp:txBody>
      <dsp:txXfrm>
        <a:off x="1098467" y="2723831"/>
        <a:ext cx="3901883" cy="448913"/>
      </dsp:txXfrm>
    </dsp:sp>
    <dsp:sp modelId="{95F2A124-6F6B-45FE-9EF5-40F43BF007B6}">
      <dsp:nvSpPr>
        <dsp:cNvPr id="0" name=""/>
        <dsp:cNvSpPr/>
      </dsp:nvSpPr>
      <dsp:spPr>
        <a:xfrm>
          <a:off x="578640" y="809789"/>
          <a:ext cx="505860" cy="2734555"/>
        </a:xfrm>
        <a:custGeom>
          <a:avLst/>
          <a:gdLst/>
          <a:ahLst/>
          <a:cxnLst/>
          <a:rect l="0" t="0" r="0" b="0"/>
          <a:pathLst>
            <a:path>
              <a:moveTo>
                <a:pt x="0" y="0"/>
              </a:moveTo>
              <a:lnTo>
                <a:pt x="0" y="2734555"/>
              </a:lnTo>
              <a:lnTo>
                <a:pt x="505860" y="2734555"/>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0523A70-D43E-4AB8-BD08-9CCD9B809B51}">
      <dsp:nvSpPr>
        <dsp:cNvPr id="0" name=""/>
        <dsp:cNvSpPr/>
      </dsp:nvSpPr>
      <dsp:spPr>
        <a:xfrm>
          <a:off x="1084501" y="3305921"/>
          <a:ext cx="4312199" cy="476845"/>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2.5 Edukacja ekologiczna i kształtowanie postaw proekologicznych wśród mieszkańców</a:t>
          </a:r>
        </a:p>
      </dsp:txBody>
      <dsp:txXfrm>
        <a:off x="1098467" y="3319887"/>
        <a:ext cx="4284267" cy="448913"/>
      </dsp:txXfrm>
    </dsp:sp>
    <dsp:sp modelId="{CCC0A630-ED07-4489-ADBE-F4188A95E3CD}">
      <dsp:nvSpPr>
        <dsp:cNvPr id="0" name=""/>
        <dsp:cNvSpPr/>
      </dsp:nvSpPr>
      <dsp:spPr>
        <a:xfrm>
          <a:off x="578640" y="809789"/>
          <a:ext cx="505860" cy="3330611"/>
        </a:xfrm>
        <a:custGeom>
          <a:avLst/>
          <a:gdLst/>
          <a:ahLst/>
          <a:cxnLst/>
          <a:rect l="0" t="0" r="0" b="0"/>
          <a:pathLst>
            <a:path>
              <a:moveTo>
                <a:pt x="0" y="0"/>
              </a:moveTo>
              <a:lnTo>
                <a:pt x="0" y="3330611"/>
              </a:lnTo>
              <a:lnTo>
                <a:pt x="505860" y="3330611"/>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939DD7-F51E-4DA5-BAF7-CC38DB62E92C}">
      <dsp:nvSpPr>
        <dsp:cNvPr id="0" name=""/>
        <dsp:cNvSpPr/>
      </dsp:nvSpPr>
      <dsp:spPr>
        <a:xfrm>
          <a:off x="1084501" y="3901978"/>
          <a:ext cx="3712687" cy="476845"/>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2.6 Partnerskie wspieranie efektywności energetycznej i energooszczędności na obszarze HOF</a:t>
          </a:r>
        </a:p>
      </dsp:txBody>
      <dsp:txXfrm>
        <a:off x="1098467" y="3915944"/>
        <a:ext cx="3684755" cy="448913"/>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F8E3CA-5847-4835-AC41-DBCB14E4D140}">
      <dsp:nvSpPr>
        <dsp:cNvPr id="0" name=""/>
        <dsp:cNvSpPr/>
      </dsp:nvSpPr>
      <dsp:spPr>
        <a:xfrm>
          <a:off x="0" y="320469"/>
          <a:ext cx="4533895" cy="729038"/>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pl-PL" sz="1100" kern="1200"/>
            <a:t>3. ROZWIJAJĄCA SIĘ GOSPODARKA I LOKALNY RYNEK PRACY</a:t>
          </a:r>
        </a:p>
      </dsp:txBody>
      <dsp:txXfrm>
        <a:off x="21353" y="341822"/>
        <a:ext cx="4491189" cy="686332"/>
      </dsp:txXfrm>
    </dsp:sp>
    <dsp:sp modelId="{E811F24B-BBC3-416E-8E00-C7D10C8D754A}">
      <dsp:nvSpPr>
        <dsp:cNvPr id="0" name=""/>
        <dsp:cNvSpPr/>
      </dsp:nvSpPr>
      <dsp:spPr>
        <a:xfrm>
          <a:off x="453389" y="1049507"/>
          <a:ext cx="454364" cy="319330"/>
        </a:xfrm>
        <a:custGeom>
          <a:avLst/>
          <a:gdLst/>
          <a:ahLst/>
          <a:cxnLst/>
          <a:rect l="0" t="0" r="0" b="0"/>
          <a:pathLst>
            <a:path>
              <a:moveTo>
                <a:pt x="0" y="0"/>
              </a:moveTo>
              <a:lnTo>
                <a:pt x="0" y="319330"/>
              </a:lnTo>
              <a:lnTo>
                <a:pt x="454364" y="319330"/>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BF2DE2-8204-4F7B-9262-8DFDE515E2B9}">
      <dsp:nvSpPr>
        <dsp:cNvPr id="0" name=""/>
        <dsp:cNvSpPr/>
      </dsp:nvSpPr>
      <dsp:spPr>
        <a:xfrm>
          <a:off x="907754" y="1151511"/>
          <a:ext cx="3506804" cy="434652"/>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3.1 Rozwój i wzmocnienie konkurencyjności istniejących przedsiębiorstw</a:t>
          </a:r>
        </a:p>
      </dsp:txBody>
      <dsp:txXfrm>
        <a:off x="920485" y="1164242"/>
        <a:ext cx="3481342" cy="409190"/>
      </dsp:txXfrm>
    </dsp:sp>
    <dsp:sp modelId="{6BAB3C95-9C46-4E7A-93F5-94F6FE50C105}">
      <dsp:nvSpPr>
        <dsp:cNvPr id="0" name=""/>
        <dsp:cNvSpPr/>
      </dsp:nvSpPr>
      <dsp:spPr>
        <a:xfrm>
          <a:off x="453389" y="1049507"/>
          <a:ext cx="454364" cy="862646"/>
        </a:xfrm>
        <a:custGeom>
          <a:avLst/>
          <a:gdLst/>
          <a:ahLst/>
          <a:cxnLst/>
          <a:rect l="0" t="0" r="0" b="0"/>
          <a:pathLst>
            <a:path>
              <a:moveTo>
                <a:pt x="0" y="0"/>
              </a:moveTo>
              <a:lnTo>
                <a:pt x="0" y="862646"/>
              </a:lnTo>
              <a:lnTo>
                <a:pt x="454364" y="862646"/>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56352D-6D24-43EC-8CFA-DD4D869B9994}">
      <dsp:nvSpPr>
        <dsp:cNvPr id="0" name=""/>
        <dsp:cNvSpPr/>
      </dsp:nvSpPr>
      <dsp:spPr>
        <a:xfrm>
          <a:off x="907754" y="1694827"/>
          <a:ext cx="3512096" cy="434652"/>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3.2 Kreowanie przyjaznych warunków do przyciągania inwestycji i rozwoju nowych firm</a:t>
          </a:r>
        </a:p>
      </dsp:txBody>
      <dsp:txXfrm>
        <a:off x="920485" y="1707558"/>
        <a:ext cx="3486634" cy="409190"/>
      </dsp:txXfrm>
    </dsp:sp>
    <dsp:sp modelId="{6FFD2F8F-4EEE-4C8E-B7D3-ABB5F34A2D4C}">
      <dsp:nvSpPr>
        <dsp:cNvPr id="0" name=""/>
        <dsp:cNvSpPr/>
      </dsp:nvSpPr>
      <dsp:spPr>
        <a:xfrm>
          <a:off x="453389" y="1049507"/>
          <a:ext cx="454364" cy="1405961"/>
        </a:xfrm>
        <a:custGeom>
          <a:avLst/>
          <a:gdLst/>
          <a:ahLst/>
          <a:cxnLst/>
          <a:rect l="0" t="0" r="0" b="0"/>
          <a:pathLst>
            <a:path>
              <a:moveTo>
                <a:pt x="0" y="0"/>
              </a:moveTo>
              <a:lnTo>
                <a:pt x="0" y="1405961"/>
              </a:lnTo>
              <a:lnTo>
                <a:pt x="454364" y="1405961"/>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8D9C18-65CE-4A3F-9330-A92579ECA450}">
      <dsp:nvSpPr>
        <dsp:cNvPr id="0" name=""/>
        <dsp:cNvSpPr/>
      </dsp:nvSpPr>
      <dsp:spPr>
        <a:xfrm>
          <a:off x="907754" y="2238142"/>
          <a:ext cx="3538502" cy="434652"/>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3.3 Rozwój sektora rolno-spożywczego z większą wartością dodaną</a:t>
          </a:r>
        </a:p>
      </dsp:txBody>
      <dsp:txXfrm>
        <a:off x="920485" y="2250873"/>
        <a:ext cx="3513040" cy="409190"/>
      </dsp:txXfrm>
    </dsp:sp>
    <dsp:sp modelId="{E672734B-1002-4AF0-8818-A010335C20C5}">
      <dsp:nvSpPr>
        <dsp:cNvPr id="0" name=""/>
        <dsp:cNvSpPr/>
      </dsp:nvSpPr>
      <dsp:spPr>
        <a:xfrm>
          <a:off x="453389" y="1049507"/>
          <a:ext cx="454364" cy="1949277"/>
        </a:xfrm>
        <a:custGeom>
          <a:avLst/>
          <a:gdLst/>
          <a:ahLst/>
          <a:cxnLst/>
          <a:rect l="0" t="0" r="0" b="0"/>
          <a:pathLst>
            <a:path>
              <a:moveTo>
                <a:pt x="0" y="0"/>
              </a:moveTo>
              <a:lnTo>
                <a:pt x="0" y="1949277"/>
              </a:lnTo>
              <a:lnTo>
                <a:pt x="454364" y="1949277"/>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A54E53-5D5A-4FCB-AC27-3C862FCDF39A}">
      <dsp:nvSpPr>
        <dsp:cNvPr id="0" name=""/>
        <dsp:cNvSpPr/>
      </dsp:nvSpPr>
      <dsp:spPr>
        <a:xfrm>
          <a:off x="907754" y="2781458"/>
          <a:ext cx="4577670" cy="434652"/>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3.4 Rozwój i promocja zintegrowanego produktu turystycznego Ziemi Hrubieszowskiej</a:t>
          </a:r>
        </a:p>
      </dsp:txBody>
      <dsp:txXfrm>
        <a:off x="920485" y="2794189"/>
        <a:ext cx="4552208" cy="409190"/>
      </dsp:txXfrm>
    </dsp:sp>
    <dsp:sp modelId="{8A1D7790-9A97-4A26-963B-DDE43FC6AEAE}">
      <dsp:nvSpPr>
        <dsp:cNvPr id="0" name=""/>
        <dsp:cNvSpPr/>
      </dsp:nvSpPr>
      <dsp:spPr>
        <a:xfrm>
          <a:off x="453389" y="1049507"/>
          <a:ext cx="454364" cy="2492593"/>
        </a:xfrm>
        <a:custGeom>
          <a:avLst/>
          <a:gdLst/>
          <a:ahLst/>
          <a:cxnLst/>
          <a:rect l="0" t="0" r="0" b="0"/>
          <a:pathLst>
            <a:path>
              <a:moveTo>
                <a:pt x="0" y="0"/>
              </a:moveTo>
              <a:lnTo>
                <a:pt x="0" y="2492593"/>
              </a:lnTo>
              <a:lnTo>
                <a:pt x="454364" y="2492593"/>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5FC89D-70AB-4179-8D79-5DA63281AABD}">
      <dsp:nvSpPr>
        <dsp:cNvPr id="0" name=""/>
        <dsp:cNvSpPr/>
      </dsp:nvSpPr>
      <dsp:spPr>
        <a:xfrm>
          <a:off x="907754" y="3324774"/>
          <a:ext cx="3499745" cy="434652"/>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3.5 Wzmocnienie zintegrowanego potencjału gospodarczego HOF</a:t>
          </a:r>
        </a:p>
      </dsp:txBody>
      <dsp:txXfrm>
        <a:off x="920485" y="3337505"/>
        <a:ext cx="3474283" cy="409190"/>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F8E3CA-5847-4835-AC41-DBCB14E4D140}">
      <dsp:nvSpPr>
        <dsp:cNvPr id="0" name=""/>
        <dsp:cNvSpPr/>
      </dsp:nvSpPr>
      <dsp:spPr>
        <a:xfrm>
          <a:off x="0" y="303721"/>
          <a:ext cx="4561839" cy="733531"/>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13970" rIns="20955" bIns="13970" numCol="1" spcCol="1270" anchor="ctr" anchorCtr="0">
          <a:noAutofit/>
        </a:bodyPr>
        <a:lstStyle/>
        <a:p>
          <a:pPr lvl="0" algn="ctr" defTabSz="488950">
            <a:lnSpc>
              <a:spcPct val="90000"/>
            </a:lnSpc>
            <a:spcBef>
              <a:spcPct val="0"/>
            </a:spcBef>
            <a:spcAft>
              <a:spcPct val="35000"/>
            </a:spcAft>
          </a:pPr>
          <a:r>
            <a:rPr lang="pl-PL" sz="1100" kern="1200"/>
            <a:t>4. SPRAWNA ADMINISTRACJA I AKTYWNE SPOŁECZEŃSTWO OBYWATELSKIE </a:t>
          </a:r>
        </a:p>
      </dsp:txBody>
      <dsp:txXfrm>
        <a:off x="21484" y="325205"/>
        <a:ext cx="4518871" cy="690563"/>
      </dsp:txXfrm>
    </dsp:sp>
    <dsp:sp modelId="{E811F24B-BBC3-416E-8E00-C7D10C8D754A}">
      <dsp:nvSpPr>
        <dsp:cNvPr id="0" name=""/>
        <dsp:cNvSpPr/>
      </dsp:nvSpPr>
      <dsp:spPr>
        <a:xfrm>
          <a:off x="456183" y="1037252"/>
          <a:ext cx="456813" cy="327469"/>
        </a:xfrm>
        <a:custGeom>
          <a:avLst/>
          <a:gdLst/>
          <a:ahLst/>
          <a:cxnLst/>
          <a:rect l="0" t="0" r="0" b="0"/>
          <a:pathLst>
            <a:path>
              <a:moveTo>
                <a:pt x="0" y="0"/>
              </a:moveTo>
              <a:lnTo>
                <a:pt x="0" y="327469"/>
              </a:lnTo>
              <a:lnTo>
                <a:pt x="456813" y="327469"/>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BBF2DE2-8204-4F7B-9262-8DFDE515E2B9}">
      <dsp:nvSpPr>
        <dsp:cNvPr id="0" name=""/>
        <dsp:cNvSpPr/>
      </dsp:nvSpPr>
      <dsp:spPr>
        <a:xfrm>
          <a:off x="912997" y="1146056"/>
          <a:ext cx="4375252" cy="437331"/>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4.1 Wzmacnianie zdolności instytucjonalnej administracji samorządowej w zakresie zintegrowanego zarządzania rozwojem HOF</a:t>
          </a:r>
        </a:p>
      </dsp:txBody>
      <dsp:txXfrm>
        <a:off x="925806" y="1158865"/>
        <a:ext cx="4349634" cy="411713"/>
      </dsp:txXfrm>
    </dsp:sp>
    <dsp:sp modelId="{6BAB3C95-9C46-4E7A-93F5-94F6FE50C105}">
      <dsp:nvSpPr>
        <dsp:cNvPr id="0" name=""/>
        <dsp:cNvSpPr/>
      </dsp:nvSpPr>
      <dsp:spPr>
        <a:xfrm>
          <a:off x="456183" y="1037252"/>
          <a:ext cx="456813" cy="874133"/>
        </a:xfrm>
        <a:custGeom>
          <a:avLst/>
          <a:gdLst/>
          <a:ahLst/>
          <a:cxnLst/>
          <a:rect l="0" t="0" r="0" b="0"/>
          <a:pathLst>
            <a:path>
              <a:moveTo>
                <a:pt x="0" y="0"/>
              </a:moveTo>
              <a:lnTo>
                <a:pt x="0" y="874133"/>
              </a:lnTo>
              <a:lnTo>
                <a:pt x="456813" y="874133"/>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156352D-6D24-43EC-8CFA-DD4D869B9994}">
      <dsp:nvSpPr>
        <dsp:cNvPr id="0" name=""/>
        <dsp:cNvSpPr/>
      </dsp:nvSpPr>
      <dsp:spPr>
        <a:xfrm>
          <a:off x="912997" y="1692720"/>
          <a:ext cx="3533743" cy="437331"/>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4.2 Cyfryzacja usług i zasobów administracji samorządowej</a:t>
          </a:r>
        </a:p>
      </dsp:txBody>
      <dsp:txXfrm>
        <a:off x="925806" y="1705529"/>
        <a:ext cx="3508125" cy="411713"/>
      </dsp:txXfrm>
    </dsp:sp>
    <dsp:sp modelId="{6FFD2F8F-4EEE-4C8E-B7D3-ABB5F34A2D4C}">
      <dsp:nvSpPr>
        <dsp:cNvPr id="0" name=""/>
        <dsp:cNvSpPr/>
      </dsp:nvSpPr>
      <dsp:spPr>
        <a:xfrm>
          <a:off x="456183" y="1037252"/>
          <a:ext cx="456813" cy="1420798"/>
        </a:xfrm>
        <a:custGeom>
          <a:avLst/>
          <a:gdLst/>
          <a:ahLst/>
          <a:cxnLst/>
          <a:rect l="0" t="0" r="0" b="0"/>
          <a:pathLst>
            <a:path>
              <a:moveTo>
                <a:pt x="0" y="0"/>
              </a:moveTo>
              <a:lnTo>
                <a:pt x="0" y="1420798"/>
              </a:lnTo>
              <a:lnTo>
                <a:pt x="456813" y="1420798"/>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18D9C18-65CE-4A3F-9330-A92579ECA450}">
      <dsp:nvSpPr>
        <dsp:cNvPr id="0" name=""/>
        <dsp:cNvSpPr/>
      </dsp:nvSpPr>
      <dsp:spPr>
        <a:xfrm>
          <a:off x="912997" y="2239385"/>
          <a:ext cx="4411659" cy="437331"/>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4.3 Aktywizacja obywatelska mieszkańców oraz budowanie kapitału społecznego</a:t>
          </a:r>
        </a:p>
      </dsp:txBody>
      <dsp:txXfrm>
        <a:off x="925806" y="2252194"/>
        <a:ext cx="4386041" cy="411713"/>
      </dsp:txXfrm>
    </dsp:sp>
    <dsp:sp modelId="{E672734B-1002-4AF0-8818-A010335C20C5}">
      <dsp:nvSpPr>
        <dsp:cNvPr id="0" name=""/>
        <dsp:cNvSpPr/>
      </dsp:nvSpPr>
      <dsp:spPr>
        <a:xfrm>
          <a:off x="456183" y="1037252"/>
          <a:ext cx="456813" cy="1967462"/>
        </a:xfrm>
        <a:custGeom>
          <a:avLst/>
          <a:gdLst/>
          <a:ahLst/>
          <a:cxnLst/>
          <a:rect l="0" t="0" r="0" b="0"/>
          <a:pathLst>
            <a:path>
              <a:moveTo>
                <a:pt x="0" y="0"/>
              </a:moveTo>
              <a:lnTo>
                <a:pt x="0" y="1967462"/>
              </a:lnTo>
              <a:lnTo>
                <a:pt x="456813" y="1967462"/>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A54E53-5D5A-4FCB-AC27-3C862FCDF39A}">
      <dsp:nvSpPr>
        <dsp:cNvPr id="0" name=""/>
        <dsp:cNvSpPr/>
      </dsp:nvSpPr>
      <dsp:spPr>
        <a:xfrm>
          <a:off x="912997" y="2786049"/>
          <a:ext cx="4384545" cy="437331"/>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4.4 Skuteczny marketing oraz promocja obszaru HOF i jego potencjałów rozwoju</a:t>
          </a:r>
        </a:p>
      </dsp:txBody>
      <dsp:txXfrm>
        <a:off x="925806" y="2798858"/>
        <a:ext cx="4358927" cy="411713"/>
      </dsp:txXfrm>
    </dsp:sp>
    <dsp:sp modelId="{092213B6-F6C3-4702-9DF7-D81A35B3E63D}">
      <dsp:nvSpPr>
        <dsp:cNvPr id="0" name=""/>
        <dsp:cNvSpPr/>
      </dsp:nvSpPr>
      <dsp:spPr>
        <a:xfrm>
          <a:off x="456183" y="1037252"/>
          <a:ext cx="456813" cy="2514126"/>
        </a:xfrm>
        <a:custGeom>
          <a:avLst/>
          <a:gdLst/>
          <a:ahLst/>
          <a:cxnLst/>
          <a:rect l="0" t="0" r="0" b="0"/>
          <a:pathLst>
            <a:path>
              <a:moveTo>
                <a:pt x="0" y="0"/>
              </a:moveTo>
              <a:lnTo>
                <a:pt x="0" y="2514126"/>
              </a:lnTo>
              <a:lnTo>
                <a:pt x="456813" y="2514126"/>
              </a:lnTo>
            </a:path>
          </a:pathLst>
        </a:custGeom>
        <a:noFill/>
        <a:ln w="25400" cap="flat" cmpd="sng" algn="ctr">
          <a:solidFill>
            <a:schemeClr val="accent2">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0ADBDB08-FF15-45AD-A453-70B1BD3800DB}">
      <dsp:nvSpPr>
        <dsp:cNvPr id="0" name=""/>
        <dsp:cNvSpPr/>
      </dsp:nvSpPr>
      <dsp:spPr>
        <a:xfrm>
          <a:off x="912997" y="3332713"/>
          <a:ext cx="4572772" cy="437331"/>
        </a:xfrm>
        <a:prstGeom prst="roundRect">
          <a:avLst>
            <a:gd name="adj" fmla="val 10000"/>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13970" rIns="20955" bIns="13970" numCol="1" spcCol="1270" anchor="ctr" anchorCtr="0">
          <a:noAutofit/>
        </a:bodyPr>
        <a:lstStyle/>
        <a:p>
          <a:pPr lvl="0" algn="l" defTabSz="488950">
            <a:lnSpc>
              <a:spcPct val="90000"/>
            </a:lnSpc>
            <a:spcBef>
              <a:spcPct val="0"/>
            </a:spcBef>
            <a:spcAft>
              <a:spcPct val="35000"/>
            </a:spcAft>
          </a:pPr>
          <a:r>
            <a:rPr lang="pl-PL" sz="1100" kern="1200"/>
            <a:t>4.5 Zintegrowana cyfryzacja usług publicznych kierowana do mieszkańców HOF</a:t>
          </a:r>
        </a:p>
      </dsp:txBody>
      <dsp:txXfrm>
        <a:off x="925806" y="3345522"/>
        <a:ext cx="4547154" cy="41171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3646467-2955-4FFD-84BE-5288A19CA741}">
      <dsp:nvSpPr>
        <dsp:cNvPr id="0" name=""/>
        <dsp:cNvSpPr/>
      </dsp:nvSpPr>
      <dsp:spPr>
        <a:xfrm>
          <a:off x="1684343" y="414343"/>
          <a:ext cx="2835262" cy="2835262"/>
        </a:xfrm>
        <a:prstGeom prst="blockArc">
          <a:avLst>
            <a:gd name="adj1" fmla="val 12600000"/>
            <a:gd name="adj2" fmla="val 16200000"/>
            <a:gd name="adj3" fmla="val 4518"/>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2578F8A-11D9-4544-B689-7B77DBB11F35}">
      <dsp:nvSpPr>
        <dsp:cNvPr id="0" name=""/>
        <dsp:cNvSpPr/>
      </dsp:nvSpPr>
      <dsp:spPr>
        <a:xfrm>
          <a:off x="1684343" y="414343"/>
          <a:ext cx="2835262" cy="2835262"/>
        </a:xfrm>
        <a:prstGeom prst="blockArc">
          <a:avLst>
            <a:gd name="adj1" fmla="val 9000000"/>
            <a:gd name="adj2" fmla="val 12600000"/>
            <a:gd name="adj3" fmla="val 4518"/>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9282FF8-3542-477B-B1D7-9075FF6EAE9E}">
      <dsp:nvSpPr>
        <dsp:cNvPr id="0" name=""/>
        <dsp:cNvSpPr/>
      </dsp:nvSpPr>
      <dsp:spPr>
        <a:xfrm>
          <a:off x="1684343" y="414343"/>
          <a:ext cx="2835262" cy="2835262"/>
        </a:xfrm>
        <a:prstGeom prst="blockArc">
          <a:avLst>
            <a:gd name="adj1" fmla="val 5400000"/>
            <a:gd name="adj2" fmla="val 9000000"/>
            <a:gd name="adj3" fmla="val 4518"/>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23BDB24A-A12B-48DF-AC35-E9C9B7E71A04}">
      <dsp:nvSpPr>
        <dsp:cNvPr id="0" name=""/>
        <dsp:cNvSpPr/>
      </dsp:nvSpPr>
      <dsp:spPr>
        <a:xfrm>
          <a:off x="1684343" y="414343"/>
          <a:ext cx="2835262" cy="2835262"/>
        </a:xfrm>
        <a:prstGeom prst="blockArc">
          <a:avLst>
            <a:gd name="adj1" fmla="val 1800000"/>
            <a:gd name="adj2" fmla="val 5400000"/>
            <a:gd name="adj3" fmla="val 4518"/>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3B376C2-B5FD-4F06-A324-97ECBC172917}">
      <dsp:nvSpPr>
        <dsp:cNvPr id="0" name=""/>
        <dsp:cNvSpPr/>
      </dsp:nvSpPr>
      <dsp:spPr>
        <a:xfrm>
          <a:off x="1684343" y="414343"/>
          <a:ext cx="2835262" cy="2835262"/>
        </a:xfrm>
        <a:prstGeom prst="blockArc">
          <a:avLst>
            <a:gd name="adj1" fmla="val 19800000"/>
            <a:gd name="adj2" fmla="val 1800000"/>
            <a:gd name="adj3" fmla="val 4518"/>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C1128B4-865E-4016-B43F-F6282F7EDA19}">
      <dsp:nvSpPr>
        <dsp:cNvPr id="0" name=""/>
        <dsp:cNvSpPr/>
      </dsp:nvSpPr>
      <dsp:spPr>
        <a:xfrm>
          <a:off x="1684343" y="414343"/>
          <a:ext cx="2835262" cy="2835262"/>
        </a:xfrm>
        <a:prstGeom prst="blockArc">
          <a:avLst>
            <a:gd name="adj1" fmla="val 16200000"/>
            <a:gd name="adj2" fmla="val 19800000"/>
            <a:gd name="adj3" fmla="val 4518"/>
          </a:avLst>
        </a:prstGeom>
        <a:solidFill>
          <a:schemeClr val="accent5">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C00C7B4-06F1-4FE5-AD9B-B9D3BF052724}">
      <dsp:nvSpPr>
        <dsp:cNvPr id="0" name=""/>
        <dsp:cNvSpPr/>
      </dsp:nvSpPr>
      <dsp:spPr>
        <a:xfrm>
          <a:off x="2488366" y="1196585"/>
          <a:ext cx="1270779" cy="1270779"/>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pl-PL" sz="1200" kern="1200"/>
            <a:t>Model funkcjonalno-przestrzenny HOF</a:t>
          </a:r>
        </a:p>
      </dsp:txBody>
      <dsp:txXfrm>
        <a:off x="2674467" y="1382686"/>
        <a:ext cx="898577" cy="898577"/>
      </dsp:txXfrm>
    </dsp:sp>
    <dsp:sp modelId="{B33C9BA5-05B6-4425-BCCC-A9D85891DD4D}">
      <dsp:nvSpPr>
        <dsp:cNvPr id="0" name=""/>
        <dsp:cNvSpPr/>
      </dsp:nvSpPr>
      <dsp:spPr>
        <a:xfrm>
          <a:off x="2464121" y="-103803"/>
          <a:ext cx="1275706" cy="1100341"/>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t>SRWL</a:t>
          </a:r>
        </a:p>
      </dsp:txBody>
      <dsp:txXfrm>
        <a:off x="2650944" y="57338"/>
        <a:ext cx="902060" cy="778059"/>
      </dsp:txXfrm>
    </dsp:sp>
    <dsp:sp modelId="{EF3E424C-8B4C-4885-9082-B367BDF50985}">
      <dsp:nvSpPr>
        <dsp:cNvPr id="0" name=""/>
        <dsp:cNvSpPr/>
      </dsp:nvSpPr>
      <dsp:spPr>
        <a:xfrm>
          <a:off x="3664093" y="589000"/>
          <a:ext cx="1275706" cy="1100341"/>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t>Środowisko przyrodnicze i kulturowe</a:t>
          </a:r>
        </a:p>
      </dsp:txBody>
      <dsp:txXfrm>
        <a:off x="3850916" y="750141"/>
        <a:ext cx="902060" cy="778059"/>
      </dsp:txXfrm>
    </dsp:sp>
    <dsp:sp modelId="{51BEFDC7-9F22-4D99-8172-4525425C4DF1}">
      <dsp:nvSpPr>
        <dsp:cNvPr id="0" name=""/>
        <dsp:cNvSpPr/>
      </dsp:nvSpPr>
      <dsp:spPr>
        <a:xfrm>
          <a:off x="3664093" y="1974608"/>
          <a:ext cx="1275706" cy="1100341"/>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t>infrastruktura techniczna</a:t>
          </a:r>
        </a:p>
      </dsp:txBody>
      <dsp:txXfrm>
        <a:off x="3850916" y="2135749"/>
        <a:ext cx="902060" cy="778059"/>
      </dsp:txXfrm>
    </dsp:sp>
    <dsp:sp modelId="{AC25BF23-A5B2-4507-81F5-45C862474EC1}">
      <dsp:nvSpPr>
        <dsp:cNvPr id="0" name=""/>
        <dsp:cNvSpPr/>
      </dsp:nvSpPr>
      <dsp:spPr>
        <a:xfrm>
          <a:off x="2464121" y="2667411"/>
          <a:ext cx="1275706" cy="1100341"/>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t>Potrzeby </a:t>
          </a:r>
        </a:p>
      </dsp:txBody>
      <dsp:txXfrm>
        <a:off x="2650944" y="2828552"/>
        <a:ext cx="902060" cy="778059"/>
      </dsp:txXfrm>
    </dsp:sp>
    <dsp:sp modelId="{E2339253-E4E8-4CFB-AC91-CA5269DC599E}">
      <dsp:nvSpPr>
        <dsp:cNvPr id="0" name=""/>
        <dsp:cNvSpPr/>
      </dsp:nvSpPr>
      <dsp:spPr>
        <a:xfrm>
          <a:off x="1264150" y="1974608"/>
          <a:ext cx="1275706" cy="1100341"/>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t>Demografia, układ osadniczy</a:t>
          </a:r>
        </a:p>
      </dsp:txBody>
      <dsp:txXfrm>
        <a:off x="1450973" y="2135749"/>
        <a:ext cx="902060" cy="778059"/>
      </dsp:txXfrm>
    </dsp:sp>
    <dsp:sp modelId="{7C98515C-F09F-4758-A02F-439ADA4ADB0B}">
      <dsp:nvSpPr>
        <dsp:cNvPr id="0" name=""/>
        <dsp:cNvSpPr/>
      </dsp:nvSpPr>
      <dsp:spPr>
        <a:xfrm>
          <a:off x="1264150" y="589000"/>
          <a:ext cx="1275706" cy="1100341"/>
        </a:xfrm>
        <a:prstGeom prst="ellipse">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pl-PL" sz="1100" kern="1200"/>
            <a:t>Dokumenty planistyczne</a:t>
          </a:r>
        </a:p>
      </dsp:txBody>
      <dsp:txXfrm>
        <a:off x="1450973" y="750141"/>
        <a:ext cx="902060" cy="77805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7E0D63-7704-43EC-BC22-7F7EBE97857E}">
      <dsp:nvSpPr>
        <dsp:cNvPr id="0" name=""/>
        <dsp:cNvSpPr/>
      </dsp:nvSpPr>
      <dsp:spPr>
        <a:xfrm>
          <a:off x="1277620" y="1160145"/>
          <a:ext cx="1417955" cy="1417955"/>
        </a:xfrm>
        <a:prstGeom prst="gear9">
          <a:avLst/>
        </a:prstGeom>
        <a:solidFill>
          <a:srgbClr val="31B6FD">
            <a:shade val="8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kern="1200">
              <a:solidFill>
                <a:sysClr val="window" lastClr="FFFFFF"/>
              </a:solidFill>
              <a:latin typeface="Calibri"/>
              <a:ea typeface="+mn-ea"/>
              <a:cs typeface="+mn-cs"/>
            </a:rPr>
            <a:t>sektor publiczny</a:t>
          </a:r>
        </a:p>
      </dsp:txBody>
      <dsp:txXfrm>
        <a:off x="1562692" y="1492294"/>
        <a:ext cx="847811" cy="728858"/>
      </dsp:txXfrm>
    </dsp:sp>
    <dsp:sp modelId="{E6F8D5E1-4499-481D-961C-544686059A88}">
      <dsp:nvSpPr>
        <dsp:cNvPr id="0" name=""/>
        <dsp:cNvSpPr/>
      </dsp:nvSpPr>
      <dsp:spPr>
        <a:xfrm>
          <a:off x="452628" y="824992"/>
          <a:ext cx="1031240" cy="1031240"/>
        </a:xfrm>
        <a:prstGeom prst="gear6">
          <a:avLst/>
        </a:prstGeom>
        <a:solidFill>
          <a:srgbClr val="31B6FD">
            <a:shade val="80000"/>
            <a:hueOff val="203439"/>
            <a:satOff val="9472"/>
            <a:lumOff val="13191"/>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kern="1200">
              <a:solidFill>
                <a:sysClr val="window" lastClr="FFFFFF"/>
              </a:solidFill>
              <a:latin typeface="Calibri"/>
              <a:ea typeface="+mn-ea"/>
              <a:cs typeface="+mn-cs"/>
            </a:rPr>
            <a:t>sektor biznesowy</a:t>
          </a:r>
        </a:p>
      </dsp:txBody>
      <dsp:txXfrm>
        <a:off x="712246" y="1086179"/>
        <a:ext cx="512004" cy="508866"/>
      </dsp:txXfrm>
    </dsp:sp>
    <dsp:sp modelId="{AC290301-A70F-4015-8EE4-90AD121758B1}">
      <dsp:nvSpPr>
        <dsp:cNvPr id="0" name=""/>
        <dsp:cNvSpPr/>
      </dsp:nvSpPr>
      <dsp:spPr>
        <a:xfrm rot="20700000">
          <a:off x="1030227" y="113541"/>
          <a:ext cx="1010404" cy="1010404"/>
        </a:xfrm>
        <a:prstGeom prst="gear6">
          <a:avLst/>
        </a:prstGeom>
        <a:solidFill>
          <a:srgbClr val="31B6FD">
            <a:shade val="80000"/>
            <a:hueOff val="406879"/>
            <a:satOff val="18945"/>
            <a:lumOff val="26382"/>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kern="1200">
              <a:solidFill>
                <a:sysClr val="window" lastClr="FFFFFF"/>
              </a:solidFill>
              <a:latin typeface="Calibri"/>
              <a:ea typeface="+mn-ea"/>
              <a:cs typeface="+mn-cs"/>
            </a:rPr>
            <a:t>sektor społeczny</a:t>
          </a:r>
        </a:p>
      </dsp:txBody>
      <dsp:txXfrm rot="-20700000">
        <a:off x="1251839" y="335153"/>
        <a:ext cx="567182" cy="567182"/>
      </dsp:txXfrm>
    </dsp:sp>
    <dsp:sp modelId="{150BEF7F-487C-4B4D-8E09-4EA24F7DE3C3}">
      <dsp:nvSpPr>
        <dsp:cNvPr id="0" name=""/>
        <dsp:cNvSpPr/>
      </dsp:nvSpPr>
      <dsp:spPr>
        <a:xfrm>
          <a:off x="1151781" y="955564"/>
          <a:ext cx="1814982" cy="1814982"/>
        </a:xfrm>
        <a:prstGeom prst="circularArrow">
          <a:avLst>
            <a:gd name="adj1" fmla="val 4687"/>
            <a:gd name="adj2" fmla="val 299029"/>
            <a:gd name="adj3" fmla="val 2458810"/>
            <a:gd name="adj4" fmla="val 15990882"/>
            <a:gd name="adj5" fmla="val 5469"/>
          </a:avLst>
        </a:prstGeom>
        <a:solidFill>
          <a:srgbClr val="31B6FD">
            <a:shade val="9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FE331C09-AB17-49D3-ACB4-CD76648648C5}">
      <dsp:nvSpPr>
        <dsp:cNvPr id="0" name=""/>
        <dsp:cNvSpPr/>
      </dsp:nvSpPr>
      <dsp:spPr>
        <a:xfrm>
          <a:off x="269997" y="603753"/>
          <a:ext cx="1318698" cy="1318698"/>
        </a:xfrm>
        <a:prstGeom prst="leftCircularArrow">
          <a:avLst>
            <a:gd name="adj1" fmla="val 6452"/>
            <a:gd name="adj2" fmla="val 429999"/>
            <a:gd name="adj3" fmla="val 10489124"/>
            <a:gd name="adj4" fmla="val 14837806"/>
            <a:gd name="adj5" fmla="val 7527"/>
          </a:avLst>
        </a:prstGeom>
        <a:solidFill>
          <a:srgbClr val="31B6FD">
            <a:shade val="90000"/>
            <a:hueOff val="203451"/>
            <a:satOff val="4701"/>
            <a:lumOff val="11708"/>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2B6D1BE-CA1B-449E-B796-F3A4A8F6F6A3}">
      <dsp:nvSpPr>
        <dsp:cNvPr id="0" name=""/>
        <dsp:cNvSpPr/>
      </dsp:nvSpPr>
      <dsp:spPr>
        <a:xfrm>
          <a:off x="796510" y="-100838"/>
          <a:ext cx="1421822" cy="1421822"/>
        </a:xfrm>
        <a:prstGeom prst="circularArrow">
          <a:avLst>
            <a:gd name="adj1" fmla="val 5984"/>
            <a:gd name="adj2" fmla="val 394124"/>
            <a:gd name="adj3" fmla="val 13313824"/>
            <a:gd name="adj4" fmla="val 10508221"/>
            <a:gd name="adj5" fmla="val 6981"/>
          </a:avLst>
        </a:prstGeom>
        <a:solidFill>
          <a:srgbClr val="31B6FD">
            <a:shade val="90000"/>
            <a:hueOff val="406902"/>
            <a:satOff val="9403"/>
            <a:lumOff val="23416"/>
            <a:alphaOff val="0"/>
          </a:srgb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3.xml><?xml version="1.0" encoding="utf-8"?>
<dgm:layoutDef xmlns:dgm="http://schemas.openxmlformats.org/drawingml/2006/diagram" xmlns:a="http://schemas.openxmlformats.org/drawingml/2006/main" uniqueId="urn:microsoft.com/office/officeart/2005/8/layout/pyramid2">
  <dgm:title val=""/>
  <dgm:desc val=""/>
  <dgm:catLst>
    <dgm:cat type="pyramid" pri="3000"/>
    <dgm:cat type="list" pri="21000"/>
    <dgm:cat type="convert" pri="17000"/>
  </dgm:catLst>
  <dgm:sampData useDef="1">
    <dgm:dataModel>
      <dgm:ptLst/>
      <dgm:bg/>
      <dgm:whole/>
    </dgm:dataModel>
  </dgm:sampData>
  <dgm:styleData useDef="1">
    <dgm:dataModel>
      <dgm:ptLst/>
      <dgm:bg/>
      <dgm:whole/>
    </dgm:dataModel>
  </dgm:styleData>
  <dgm:clrData useDef="1">
    <dgm:dataModel>
      <dgm:ptLst/>
      <dgm:bg/>
      <dgm:whole/>
    </dgm:dataModel>
  </dgm:clrData>
  <dgm:layoutNode name="compositeShape">
    <dgm:alg type="composite"/>
    <dgm:shape xmlns:r="http://schemas.openxmlformats.org/officeDocument/2006/relationships" r:blip="">
      <dgm:adjLst/>
    </dgm:shape>
    <dgm:presOf/>
    <dgm:varLst>
      <dgm:dir/>
      <dgm:resizeHandles/>
    </dgm:varLst>
    <dgm:choose name="Name0">
      <dgm:if name="Name1" func="var" arg="dir" op="equ" val="norm">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l" for="ch" forName="theList" refType="w" refFor="ch" refForName="pyramid" fact="0.5"/>
          <dgm:constr type="h" for="des" forName="aSpace" refType="h" fact="0.1"/>
        </dgm:constrLst>
      </dgm:if>
      <dgm:else name="Name2">
        <dgm:constrLst>
          <dgm:constr type="w" for="ch" forName="pyramid" refType="h"/>
          <dgm:constr type="h" for="ch" forName="pyramid" refType="h"/>
          <dgm:constr type="h" for="ch" forName="theList" refType="h" fact="0.8"/>
          <dgm:constr type="w" for="ch" forName="theList" refType="h" fact="0.65"/>
          <dgm:constr type="ctrY" for="ch" forName="theList" refType="h" refFor="ch" refForName="pyramid" fact="0.5"/>
          <dgm:constr type="r" for="ch" forName="theList" refType="w" refFor="ch" refForName="pyramid" fact="0.5"/>
          <dgm:constr type="h" for="des" forName="aSpace" refType="h" fact="0.1"/>
        </dgm:constrLst>
      </dgm:else>
    </dgm:choose>
    <dgm:ruleLst/>
    <dgm:choose name="Name3">
      <dgm:if name="Name4" axis="ch" ptType="node" func="cnt" op="gte" val="1">
        <dgm:layoutNode name="pyramid" styleLbl="node1">
          <dgm:alg type="sp"/>
          <dgm:shape xmlns:r="http://schemas.openxmlformats.org/officeDocument/2006/relationships" type="triangle" r:blip="">
            <dgm:adjLst/>
          </dgm:shape>
          <dgm:presOf/>
          <dgm:constrLst/>
          <dgm:ruleLst/>
        </dgm:layoutNode>
        <dgm:layoutNode name="theList">
          <dgm:alg type="lin">
            <dgm:param type="linDir" val="fromT"/>
          </dgm:alg>
          <dgm:shape xmlns:r="http://schemas.openxmlformats.org/officeDocument/2006/relationships" r:blip="">
            <dgm:adjLst/>
          </dgm:shape>
          <dgm:presOf/>
          <dgm:constrLst>
            <dgm:constr type="w" for="ch" forName="aNode" refType="w"/>
            <dgm:constr type="h" for="ch" forName="aNode" refType="h"/>
            <dgm:constr type="primFontSz" for="ch" ptType="node" op="equ"/>
          </dgm:constrLst>
          <dgm:ruleLst/>
          <dgm:forEach name="aNodeForEach" axis="ch" ptType="node">
            <dgm:layoutNode name="aNode" styleLbl="fgAcc1">
              <dgm:varLst>
                <dgm:bulletEnabled val="1"/>
              </dgm:varLst>
              <dgm:alg type="tx"/>
              <dgm:shape xmlns:r="http://schemas.openxmlformats.org/officeDocument/2006/relationships" type="roundRect" r:blip="">
                <dgm:adjLst/>
              </dgm:shape>
              <dgm:presOf axis="desOrSelf" ptType="node"/>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aSpace">
              <dgm:alg type="sp"/>
              <dgm:shape xmlns:r="http://schemas.openxmlformats.org/officeDocument/2006/relationships" r:blip="">
                <dgm:adjLst/>
              </dgm:shape>
              <dgm:presOf/>
              <dgm:constrLst/>
              <dgm:ruleLst/>
            </dgm:layoutNode>
          </dgm:forEach>
        </dgm:layoutNode>
      </dgm:if>
      <dgm:else name="Name5"/>
    </dgm:choose>
  </dgm:layoutNode>
</dgm:layoutDef>
</file>

<file path=word/diagrams/layout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Kształt fali">
      <a:dk1>
        <a:sysClr val="windowText" lastClr="000000"/>
      </a:dk1>
      <a:lt1>
        <a:sysClr val="window" lastClr="FFFFFF"/>
      </a:lt1>
      <a:dk2>
        <a:srgbClr val="073E87"/>
      </a:dk2>
      <a:lt2>
        <a:srgbClr val="C6E7FC"/>
      </a:lt2>
      <a:accent1>
        <a:srgbClr val="31B6FD"/>
      </a:accent1>
      <a:accent2>
        <a:srgbClr val="4584D3"/>
      </a:accent2>
      <a:accent3>
        <a:srgbClr val="5BD078"/>
      </a:accent3>
      <a:accent4>
        <a:srgbClr val="A5D028"/>
      </a:accent4>
      <a:accent5>
        <a:srgbClr val="F5C040"/>
      </a:accent5>
      <a:accent6>
        <a:srgbClr val="05E0DB"/>
      </a:accent6>
      <a:hlink>
        <a:srgbClr val="0080FF"/>
      </a:hlink>
      <a:folHlink>
        <a:srgbClr val="5EAEFF"/>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280D4A-6752-4684-8765-9BF858A3A0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32628</TotalTime>
  <Pages>230</Pages>
  <Words>77032</Words>
  <Characters>462192</Characters>
  <Application>Microsoft Office Word</Application>
  <DocSecurity>0</DocSecurity>
  <Lines>3851</Lines>
  <Paragraphs>1076</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538148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EuroCompass Sp. z o.o.</dc:creator>
  <cp:lastModifiedBy>EuroCompass Sp. z o.o.</cp:lastModifiedBy>
  <cp:revision>87</cp:revision>
  <cp:lastPrinted>2023-07-25T08:04:00Z</cp:lastPrinted>
  <dcterms:created xsi:type="dcterms:W3CDTF">2023-03-14T05:20:00Z</dcterms:created>
  <dcterms:modified xsi:type="dcterms:W3CDTF">2023-07-25T08:09:00Z</dcterms:modified>
</cp:coreProperties>
</file>